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color w:val="333333"/>
          <w:spacing w:val="0"/>
          <w:sz w:val="44"/>
          <w:szCs w:val="44"/>
          <w:lang w:val="en-US" w:eastAsia="zh-CN"/>
        </w:rPr>
      </w:pPr>
      <w:r>
        <w:rPr>
          <w:rFonts w:hint="eastAsia" w:ascii="方正小标宋简体" w:hAnsi="方正小标宋简体" w:eastAsia="方正小标宋简体" w:cs="方正小标宋简体"/>
          <w:b w:val="0"/>
          <w:bCs w:val="0"/>
          <w:color w:val="333333"/>
          <w:spacing w:val="0"/>
          <w:sz w:val="44"/>
          <w:szCs w:val="44"/>
          <w:lang w:val="en-US" w:eastAsia="zh-CN"/>
        </w:rPr>
        <w:t>北戴河区水务局</w:t>
      </w:r>
    </w:p>
    <w:p>
      <w:pPr>
        <w:pStyle w:val="4"/>
        <w:shd w:val="clear" w:color="auto"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color w:val="333333"/>
          <w:spacing w:val="0"/>
          <w:sz w:val="44"/>
          <w:szCs w:val="44"/>
        </w:rPr>
      </w:pPr>
      <w:r>
        <w:rPr>
          <w:rFonts w:hint="eastAsia" w:ascii="方正小标宋简体" w:hAnsi="方正小标宋简体" w:eastAsia="方正小标宋简体" w:cs="方正小标宋简体"/>
          <w:b w:val="0"/>
          <w:bCs w:val="0"/>
          <w:color w:val="333333"/>
          <w:spacing w:val="0"/>
          <w:sz w:val="44"/>
          <w:szCs w:val="44"/>
          <w:lang w:val="en-US" w:eastAsia="zh-CN"/>
        </w:rPr>
        <w:t>2021年</w:t>
      </w:r>
      <w:r>
        <w:rPr>
          <w:rFonts w:hint="eastAsia" w:ascii="方正小标宋简体" w:hAnsi="方正小标宋简体" w:eastAsia="方正小标宋简体" w:cs="方正小标宋简体"/>
          <w:b w:val="0"/>
          <w:bCs w:val="0"/>
          <w:color w:val="333333"/>
          <w:spacing w:val="0"/>
          <w:sz w:val="44"/>
          <w:szCs w:val="44"/>
        </w:rPr>
        <w:t>政府信息公开工作年度报告</w:t>
      </w:r>
    </w:p>
    <w:p>
      <w:pPr>
        <w:pStyle w:val="4"/>
        <w:shd w:val="clear" w:color="auto" w:fill="FFFFFF"/>
        <w:spacing w:before="0" w:beforeAutospacing="0" w:after="0" w:afterAutospacing="0"/>
        <w:ind w:right="0"/>
        <w:rPr>
          <w:rFonts w:hint="eastAsia" w:ascii="方正小标宋简体" w:hAnsi="方正小标宋简体" w:eastAsia="方正小标宋简体" w:cs="方正小标宋简体"/>
          <w:color w:val="333333"/>
          <w:spacing w:val="0"/>
          <w:sz w:val="15"/>
          <w:szCs w:val="15"/>
        </w:rPr>
      </w:pPr>
    </w:p>
    <w:p>
      <w:pPr>
        <w:pStyle w:val="4"/>
        <w:shd w:val="clear" w:color="auto" w:fill="FFFFFF"/>
        <w:spacing w:before="0" w:beforeAutospacing="0" w:after="0" w:afterAutospacing="0"/>
        <w:ind w:left="0" w:right="0" w:firstLine="480"/>
        <w:rPr>
          <w:rFonts w:hint="eastAsia" w:ascii="宋体" w:eastAsia="宋体"/>
          <w:color w:val="333333"/>
          <w:spacing w:val="0"/>
          <w:sz w:val="24"/>
          <w:szCs w:val="24"/>
        </w:rPr>
      </w:pPr>
      <w:r>
        <w:rPr>
          <w:rFonts w:hint="eastAsia" w:ascii="黑体" w:hAnsi="黑体" w:eastAsia="黑体" w:cs="黑体"/>
          <w:b w:val="0"/>
          <w:bCs w:val="0"/>
          <w:color w:val="333333"/>
          <w:spacing w:val="0"/>
          <w:sz w:val="32"/>
          <w:szCs w:val="32"/>
        </w:rPr>
        <w:t>一、总体情况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2021年，我局认真贯彻落实《中华人民共和国政府信息公开条例》和区委、区政府统一部署，强化日常管理，健全完善政务信息公开工作制度，扎实做好政务信息公开工作，切实保障人民群众的知情权、参与权、监督权和表达权。现将政府信息公开工作情况报告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方正楷体简体" w:hAnsi="方正楷体简体" w:eastAsia="方正楷体简体" w:cs="方正楷体简体"/>
          <w:b w:val="0"/>
          <w:bCs w:val="0"/>
          <w:color w:val="000000"/>
          <w:kern w:val="0"/>
          <w:sz w:val="32"/>
          <w:szCs w:val="32"/>
          <w:lang w:val="en-US" w:eastAsia="zh-CN" w:bidi="ar-SA"/>
        </w:rPr>
      </w:pPr>
      <w:r>
        <w:rPr>
          <w:rFonts w:hint="eastAsia" w:ascii="方正楷体简体" w:hAnsi="方正楷体简体" w:eastAsia="方正楷体简体" w:cs="方正楷体简体"/>
          <w:b w:val="0"/>
          <w:bCs w:val="0"/>
          <w:color w:val="000000"/>
          <w:kern w:val="0"/>
          <w:sz w:val="32"/>
          <w:szCs w:val="32"/>
          <w:lang w:val="en-US" w:eastAsia="zh-CN" w:bidi="ar-SA"/>
        </w:rPr>
        <w:t xml:space="preserve"> （一） 主动公开政府信息情况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我局围绕工程建设项目审批、权责清单及政务服务日常中心工作等涉及群众切实利益和社会需要广泛知晓的内容，严格按照“公开为常态，不公开为例外”的原则，依托北戴河区政府门户网站,全年主动公开、主动更新48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（二）健全工作制度，加强人员配备。</w:t>
      </w:r>
      <w:r>
        <w:rPr>
          <w:rFonts w:hint="default" w:ascii="方正仿宋_GBK" w:hAnsi="方正仿宋_GBK" w:eastAsia="方正仿宋_GBK" w:cs="方正仿宋_GBK"/>
          <w:color w:val="000000"/>
          <w:sz w:val="32"/>
          <w:szCs w:val="32"/>
          <w:lang w:val="en-US" w:eastAsia="zh-CN"/>
        </w:rPr>
        <w:t>建立政府信息公开领导小组，</w:t>
      </w:r>
      <w:r>
        <w:rPr>
          <w:rFonts w:hint="eastAsia" w:ascii="方正仿宋_GBK" w:hAnsi="方正仿宋_GBK" w:eastAsia="方正仿宋_GBK" w:cs="方正仿宋_GBK"/>
          <w:color w:val="000000"/>
          <w:sz w:val="32"/>
          <w:szCs w:val="32"/>
          <w:lang w:val="en-US" w:eastAsia="zh-CN"/>
        </w:rPr>
        <w:t>明确人员分工，</w:t>
      </w:r>
      <w:r>
        <w:rPr>
          <w:rFonts w:hint="default" w:ascii="方正仿宋_GBK" w:hAnsi="方正仿宋_GBK" w:eastAsia="方正仿宋_GBK" w:cs="方正仿宋_GBK"/>
          <w:color w:val="000000"/>
          <w:sz w:val="32"/>
          <w:szCs w:val="32"/>
          <w:lang w:val="en-US" w:eastAsia="zh-CN"/>
        </w:rPr>
        <w:t>具体负责政府信息公开工作</w:t>
      </w:r>
      <w:r>
        <w:rPr>
          <w:rFonts w:hint="eastAsia" w:ascii="方正仿宋_GBK" w:hAnsi="方正仿宋_GBK" w:eastAsia="方正仿宋_GBK" w:cs="方正仿宋_GBK"/>
          <w:color w:val="000000"/>
          <w:sz w:val="32"/>
          <w:szCs w:val="32"/>
          <w:lang w:val="en-US" w:eastAsia="zh-CN"/>
        </w:rPr>
        <w:t>，并且</w:t>
      </w:r>
      <w:r>
        <w:rPr>
          <w:rFonts w:hint="default" w:ascii="方正仿宋_GBK" w:hAnsi="方正仿宋_GBK" w:eastAsia="方正仿宋_GBK" w:cs="方正仿宋_GBK"/>
          <w:color w:val="000000"/>
          <w:sz w:val="32"/>
          <w:szCs w:val="32"/>
          <w:lang w:val="en-US" w:eastAsia="zh-CN"/>
        </w:rPr>
        <w:t>及时调整优化政府信息公开工作队伍，保证信息公开工作的领导力量。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（三）强化审查督查，确保信息公开与保密安全同步进行。</w:t>
      </w:r>
      <w:r>
        <w:rPr>
          <w:rFonts w:hint="eastAsia" w:ascii="方正仿宋_GBK" w:hAnsi="方正仿宋_GBK" w:eastAsia="方正仿宋_GBK" w:cs="方正仿宋_GBK"/>
          <w:color w:val="000000"/>
          <w:sz w:val="32"/>
          <w:szCs w:val="32"/>
          <w:lang w:val="en-US" w:eastAsia="zh-CN"/>
        </w:rPr>
        <w:t>在主动政府信息过程中，根据政务信息公开保密和审查制度，</w:t>
      </w:r>
      <w:r>
        <w:rPr>
          <w:rFonts w:hint="default" w:ascii="方正仿宋_GBK" w:hAnsi="方正仿宋_GBK" w:eastAsia="方正仿宋_GBK" w:cs="方正仿宋_GBK"/>
          <w:color w:val="000000"/>
          <w:sz w:val="32"/>
          <w:szCs w:val="32"/>
          <w:lang w:val="en-US" w:eastAsia="zh-CN"/>
        </w:rPr>
        <w:t>按照“公开为原则，不公开为例外”的要求，</w:t>
      </w:r>
      <w:r>
        <w:rPr>
          <w:rFonts w:hint="eastAsia" w:ascii="方正仿宋_GBK" w:hAnsi="方正仿宋_GBK" w:eastAsia="方正仿宋_GBK" w:cs="方正仿宋_GBK"/>
          <w:color w:val="000000"/>
          <w:sz w:val="32"/>
          <w:szCs w:val="32"/>
          <w:lang w:val="en-US" w:eastAsia="zh-CN"/>
        </w:rPr>
        <w:t>严格区分政府信息公开类别，</w:t>
      </w:r>
      <w:r>
        <w:rPr>
          <w:rFonts w:hint="default" w:ascii="方正仿宋_GBK" w:hAnsi="方正仿宋_GBK" w:eastAsia="方正仿宋_GBK" w:cs="方正仿宋_GBK"/>
          <w:color w:val="000000"/>
          <w:sz w:val="32"/>
          <w:szCs w:val="32"/>
          <w:lang w:val="en-US" w:eastAsia="zh-CN"/>
        </w:rPr>
        <w:t>并始终做好保密工作，做到“上网信息不涉密，涉密信息不上网”</w:t>
      </w:r>
      <w:r>
        <w:rPr>
          <w:rFonts w:hint="eastAsia" w:ascii="方正仿宋_GBK" w:hAnsi="方正仿宋_GBK" w:eastAsia="方正仿宋_GBK" w:cs="方正仿宋_GBK"/>
          <w:color w:val="000000"/>
          <w:sz w:val="32"/>
          <w:szCs w:val="32"/>
          <w:lang w:val="en-US"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（四）加强传阅学习，深入了解信息公开制度。</w:t>
      </w:r>
      <w:r>
        <w:rPr>
          <w:rFonts w:hint="eastAsia" w:ascii="方正仿宋_GBK" w:hAnsi="方正仿宋_GBK" w:eastAsia="方正仿宋_GBK" w:cs="方正仿宋_GBK"/>
          <w:color w:val="000000"/>
          <w:sz w:val="32"/>
          <w:szCs w:val="32"/>
          <w:lang w:val="en-US" w:eastAsia="zh-CN"/>
        </w:rPr>
        <w:t>积极</w:t>
      </w:r>
      <w:r>
        <w:rPr>
          <w:rFonts w:hint="default" w:ascii="方正仿宋_GBK" w:hAnsi="方正仿宋_GBK" w:eastAsia="方正仿宋_GBK" w:cs="方正仿宋_GBK"/>
          <w:color w:val="000000"/>
          <w:sz w:val="32"/>
          <w:szCs w:val="32"/>
          <w:lang w:val="en-US" w:eastAsia="zh-CN"/>
        </w:rPr>
        <w:t>组织</w:t>
      </w:r>
      <w:r>
        <w:rPr>
          <w:rFonts w:hint="eastAsia" w:ascii="方正仿宋_GBK" w:hAnsi="方正仿宋_GBK" w:eastAsia="方正仿宋_GBK" w:cs="方正仿宋_GBK"/>
          <w:color w:val="000000"/>
          <w:sz w:val="32"/>
          <w:szCs w:val="32"/>
          <w:lang w:val="en-US" w:eastAsia="zh-CN"/>
        </w:rPr>
        <w:t>本局</w:t>
      </w:r>
      <w:r>
        <w:rPr>
          <w:rFonts w:hint="default" w:ascii="方正仿宋_GBK" w:hAnsi="方正仿宋_GBK" w:eastAsia="方正仿宋_GBK" w:cs="方正仿宋_GBK"/>
          <w:color w:val="000000"/>
          <w:sz w:val="32"/>
          <w:szCs w:val="32"/>
          <w:lang w:val="en-US" w:eastAsia="zh-CN"/>
        </w:rPr>
        <w:t>干部职工</w:t>
      </w:r>
      <w:r>
        <w:rPr>
          <w:rFonts w:hint="eastAsia" w:ascii="方正仿宋_GBK" w:hAnsi="方正仿宋_GBK" w:eastAsia="方正仿宋_GBK" w:cs="方正仿宋_GBK"/>
          <w:color w:val="000000"/>
          <w:sz w:val="32"/>
          <w:szCs w:val="32"/>
          <w:lang w:val="en-US" w:eastAsia="zh-CN"/>
        </w:rPr>
        <w:t>深入</w:t>
      </w:r>
      <w:r>
        <w:rPr>
          <w:rFonts w:hint="default" w:ascii="方正仿宋_GBK" w:hAnsi="方正仿宋_GBK" w:eastAsia="方正仿宋_GBK" w:cs="方正仿宋_GBK"/>
          <w:color w:val="000000"/>
          <w:sz w:val="32"/>
          <w:szCs w:val="32"/>
          <w:lang w:val="en-US" w:eastAsia="zh-CN"/>
        </w:rPr>
        <w:t>学习《政府信息公开条例》以及</w:t>
      </w:r>
      <w:r>
        <w:rPr>
          <w:rFonts w:hint="eastAsia" w:ascii="方正仿宋_GBK" w:hAnsi="方正仿宋_GBK" w:eastAsia="方正仿宋_GBK" w:cs="方正仿宋_GBK"/>
          <w:color w:val="000000"/>
          <w:sz w:val="32"/>
          <w:szCs w:val="32"/>
          <w:lang w:val="en-US" w:eastAsia="zh-CN"/>
        </w:rPr>
        <w:t>区</w:t>
      </w:r>
      <w:r>
        <w:rPr>
          <w:rFonts w:hint="default" w:ascii="方正仿宋_GBK" w:hAnsi="方正仿宋_GBK" w:eastAsia="方正仿宋_GBK" w:cs="方正仿宋_GBK"/>
          <w:color w:val="000000"/>
          <w:sz w:val="32"/>
          <w:szCs w:val="32"/>
          <w:lang w:val="en-US" w:eastAsia="zh-CN"/>
        </w:rPr>
        <w:t>政府相关文件，</w:t>
      </w:r>
      <w:r>
        <w:rPr>
          <w:rFonts w:hint="eastAsia" w:ascii="方正仿宋_GBK" w:hAnsi="方正仿宋_GBK" w:eastAsia="方正仿宋_GBK" w:cs="方正仿宋_GBK"/>
          <w:color w:val="000000"/>
          <w:sz w:val="32"/>
          <w:szCs w:val="32"/>
          <w:lang w:val="en-US" w:eastAsia="zh-CN"/>
        </w:rPr>
        <w:t>强调</w:t>
      </w:r>
      <w:r>
        <w:rPr>
          <w:rFonts w:hint="default" w:ascii="方正仿宋_GBK" w:hAnsi="方正仿宋_GBK" w:eastAsia="方正仿宋_GBK" w:cs="方正仿宋_GBK"/>
          <w:color w:val="000000"/>
          <w:sz w:val="32"/>
          <w:szCs w:val="32"/>
          <w:lang w:val="en-US" w:eastAsia="zh-CN"/>
        </w:rPr>
        <w:t>推行政府信息公开的</w:t>
      </w:r>
      <w:r>
        <w:rPr>
          <w:rFonts w:hint="eastAsia" w:ascii="方正仿宋_GBK" w:hAnsi="方正仿宋_GBK" w:eastAsia="方正仿宋_GBK" w:cs="方正仿宋_GBK"/>
          <w:color w:val="000000"/>
          <w:sz w:val="32"/>
          <w:szCs w:val="32"/>
          <w:lang w:val="en-US" w:eastAsia="zh-CN"/>
        </w:rPr>
        <w:t>性</w:t>
      </w:r>
      <w:r>
        <w:rPr>
          <w:rFonts w:hint="default" w:ascii="方正仿宋_GBK" w:hAnsi="方正仿宋_GBK" w:eastAsia="方正仿宋_GBK" w:cs="方正仿宋_GBK"/>
          <w:color w:val="000000"/>
          <w:sz w:val="32"/>
          <w:szCs w:val="32"/>
          <w:lang w:val="en-US" w:eastAsia="zh-CN"/>
        </w:rPr>
        <w:t>，使</w:t>
      </w:r>
      <w:r>
        <w:rPr>
          <w:rFonts w:hint="eastAsia" w:ascii="方正仿宋_GBK" w:hAnsi="方正仿宋_GBK" w:eastAsia="方正仿宋_GBK" w:cs="方正仿宋_GBK"/>
          <w:color w:val="000000"/>
          <w:sz w:val="32"/>
          <w:szCs w:val="32"/>
          <w:lang w:val="en-US" w:eastAsia="zh-CN"/>
        </w:rPr>
        <w:t>本局</w:t>
      </w:r>
      <w:r>
        <w:rPr>
          <w:rFonts w:hint="default" w:ascii="方正仿宋_GBK" w:hAnsi="方正仿宋_GBK" w:eastAsia="方正仿宋_GBK" w:cs="方正仿宋_GBK"/>
          <w:color w:val="000000"/>
          <w:sz w:val="32"/>
          <w:szCs w:val="32"/>
          <w:lang w:val="en-US" w:eastAsia="zh-CN"/>
        </w:rPr>
        <w:t>干部职工深切</w:t>
      </w:r>
      <w:r>
        <w:rPr>
          <w:rFonts w:hint="eastAsia" w:ascii="方正仿宋_GBK" w:hAnsi="方正仿宋_GBK" w:eastAsia="方正仿宋_GBK" w:cs="方正仿宋_GBK"/>
          <w:color w:val="000000"/>
          <w:sz w:val="32"/>
          <w:szCs w:val="32"/>
          <w:lang w:val="en-US" w:eastAsia="zh-CN"/>
        </w:rPr>
        <w:t>了解</w:t>
      </w:r>
      <w:r>
        <w:rPr>
          <w:rFonts w:hint="default" w:ascii="方正仿宋_GBK" w:hAnsi="方正仿宋_GBK" w:eastAsia="方正仿宋_GBK" w:cs="方正仿宋_GBK"/>
          <w:color w:val="000000"/>
          <w:sz w:val="32"/>
          <w:szCs w:val="32"/>
          <w:lang w:val="en-US" w:eastAsia="zh-CN"/>
        </w:rPr>
        <w:t>政府信息公开在新形势下的重要</w:t>
      </w:r>
      <w:r>
        <w:rPr>
          <w:rFonts w:hint="eastAsia" w:ascii="方正仿宋_GBK" w:hAnsi="方正仿宋_GBK" w:eastAsia="方正仿宋_GBK" w:cs="方正仿宋_GBK"/>
          <w:color w:val="000000"/>
          <w:sz w:val="32"/>
          <w:szCs w:val="32"/>
          <w:lang w:val="en-US" w:eastAsia="zh-CN"/>
        </w:rPr>
        <w:t>意义，做到常态化信息公开</w:t>
      </w:r>
      <w:r>
        <w:rPr>
          <w:rFonts w:hint="default" w:ascii="方正仿宋_GBK" w:hAnsi="方正仿宋_GBK" w:eastAsia="方正仿宋_GBK" w:cs="方正仿宋_GBK"/>
          <w:color w:val="000000"/>
          <w:sz w:val="32"/>
          <w:szCs w:val="32"/>
          <w:lang w:val="en-US" w:eastAsia="zh-CN"/>
        </w:rPr>
        <w:t>。</w:t>
      </w:r>
    </w:p>
    <w:p>
      <w:pPr>
        <w:widowControl/>
        <w:spacing w:before="0" w:beforeAutospacing="0" w:after="0" w:afterAutospacing="0" w:line="560" w:lineRule="exact"/>
        <w:ind w:firstLine="482"/>
        <w:jc w:val="left"/>
        <w:rPr>
          <w:rFonts w:hint="eastAsia" w:ascii="方正楷体简体" w:hAnsi="方正楷体简体" w:eastAsia="方正楷体简体" w:cs="方正楷体简体"/>
          <w:color w:val="000000"/>
          <w:kern w:val="0"/>
          <w:sz w:val="32"/>
          <w:szCs w:val="32"/>
          <w:lang w:val="en-US" w:eastAsia="zh-CN" w:bidi="ar-SA"/>
        </w:rPr>
      </w:pPr>
    </w:p>
    <w:p>
      <w:pPr>
        <w:widowControl/>
        <w:spacing w:before="0" w:beforeAutospacing="0" w:after="0" w:afterAutospacing="0" w:line="560" w:lineRule="exact"/>
        <w:ind w:firstLine="482"/>
        <w:jc w:val="left"/>
        <w:rPr>
          <w:rFonts w:hint="eastAsia" w:ascii="宋体" w:eastAsia="宋体"/>
          <w:color w:val="333333"/>
          <w:spacing w:val="0"/>
          <w:sz w:val="24"/>
          <w:szCs w:val="24"/>
        </w:rPr>
      </w:pPr>
      <w:r>
        <w:rPr>
          <w:rFonts w:hint="eastAsia" w:ascii="方正楷体简体" w:hAnsi="方正楷体简体" w:eastAsia="方正楷体简体" w:cs="方正楷体简体"/>
          <w:color w:val="000000"/>
          <w:kern w:val="0"/>
          <w:sz w:val="32"/>
          <w:szCs w:val="32"/>
          <w:lang w:val="en-US" w:eastAsia="zh-CN" w:bidi="ar-SA"/>
        </w:rPr>
        <w:t xml:space="preserve"> </w:t>
      </w:r>
      <w:r>
        <w:rPr>
          <w:rFonts w:hint="eastAsia" w:ascii="黑体" w:hAnsi="Times New Roman" w:eastAsia="黑体" w:cs="宋体"/>
          <w:color w:val="000000"/>
          <w:kern w:val="0"/>
          <w:sz w:val="32"/>
          <w:szCs w:val="32"/>
          <w:lang w:val="en-US" w:eastAsia="zh-CN" w:bidi="ar-SA"/>
        </w:rPr>
        <w:t>二、主动公开政府信息情况</w:t>
      </w:r>
      <w:r>
        <w:rPr>
          <w:rFonts w:hint="eastAsia" w:ascii="宋体" w:eastAsia="宋体"/>
          <w:color w:val="333333"/>
          <w:spacing w:val="0"/>
          <w:sz w:val="24"/>
          <w:szCs w:val="24"/>
        </w:rPr>
        <w:br w:type="textWrapping"/>
      </w:r>
    </w:p>
    <w:tbl>
      <w:tblPr>
        <w:tblStyle w:val="5"/>
        <w:tblW w:w="9740" w:type="dxa"/>
        <w:jc w:val="center"/>
        <w:tblLayout w:type="autofit"/>
        <w:tblCellMar>
          <w:top w:w="15" w:type="dxa"/>
          <w:left w:w="15" w:type="dxa"/>
          <w:bottom w:w="15" w:type="dxa"/>
          <w:right w:w="15" w:type="dxa"/>
        </w:tblCellMar>
      </w:tblPr>
      <w:tblGrid>
        <w:gridCol w:w="2435"/>
        <w:gridCol w:w="2435"/>
        <w:gridCol w:w="2435"/>
        <w:gridCol w:w="2435"/>
      </w:tblGrid>
      <w:tr>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vAlign w:val="center"/>
          </w:tcPr>
          <w:p>
            <w:pPr>
              <w:spacing w:before="0" w:beforeAutospacing="0" w:after="0" w:afterAutospacing="0"/>
              <w:ind w:left="0" w:right="0"/>
              <w:jc w:val="center"/>
              <w:rPr>
                <w:rFonts w:hint="default" w:ascii="Calibri" w:hAnsi="Calibri" w:eastAsia="宋体"/>
                <w:color w:val="333333"/>
                <w:spacing w:val="0"/>
                <w:sz w:val="21"/>
                <w:szCs w:val="21"/>
              </w:rPr>
            </w:pPr>
            <w:r>
              <w:rPr>
                <w:rFonts w:hint="eastAsia" w:ascii="宋体" w:eastAsia="宋体"/>
                <w:color w:val="000000"/>
                <w:spacing w:val="0"/>
                <w:sz w:val="20"/>
                <w:szCs w:val="20"/>
              </w:rPr>
              <w:t>第二十条第（一）项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1"/>
                <w:szCs w:val="21"/>
              </w:rPr>
            </w:pPr>
            <w:r>
              <w:rPr>
                <w:rFonts w:hint="eastAsia" w:ascii="宋体" w:eastAsia="宋体"/>
                <w:color w:val="000000"/>
                <w:spacing w:val="0"/>
                <w:sz w:val="20"/>
                <w:szCs w:val="20"/>
              </w:rPr>
              <w:t>信息内容</w:t>
            </w:r>
          </w:p>
        </w:tc>
        <w:tc>
          <w:tcPr>
            <w:tcW w:w="2435" w:type="dxa"/>
            <w:tcBorders>
              <w:top w:val="single" w:color="auto" w:sz="8" w:space="0"/>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1"/>
                <w:szCs w:val="21"/>
              </w:rPr>
            </w:pPr>
            <w:r>
              <w:rPr>
                <w:rFonts w:hint="eastAsia" w:ascii="宋体" w:eastAsia="宋体"/>
                <w:color w:val="000000"/>
                <w:spacing w:val="0"/>
                <w:sz w:val="20"/>
                <w:szCs w:val="20"/>
              </w:rPr>
              <w:t>本年</w:t>
            </w:r>
            <w:r>
              <w:rPr>
                <w:rFonts w:hint="eastAsia" w:ascii="宋体" w:eastAsia="宋体"/>
                <w:color w:val="333333"/>
                <w:spacing w:val="0"/>
                <w:sz w:val="20"/>
                <w:szCs w:val="20"/>
              </w:rPr>
              <w:t>制发件数</w:t>
            </w:r>
          </w:p>
        </w:tc>
        <w:tc>
          <w:tcPr>
            <w:tcW w:w="2435" w:type="dxa"/>
            <w:tcBorders>
              <w:top w:val="single" w:color="auto" w:sz="8" w:space="0"/>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1"/>
                <w:szCs w:val="21"/>
              </w:rPr>
            </w:pPr>
            <w:r>
              <w:rPr>
                <w:rFonts w:hint="eastAsia" w:ascii="宋体" w:eastAsia="宋体"/>
                <w:color w:val="000000"/>
                <w:spacing w:val="0"/>
                <w:sz w:val="20"/>
                <w:szCs w:val="20"/>
              </w:rPr>
              <w:t>本年废止件数</w:t>
            </w:r>
          </w:p>
        </w:tc>
        <w:tc>
          <w:tcPr>
            <w:tcW w:w="2435" w:type="dxa"/>
            <w:tcBorders>
              <w:top w:val="single" w:color="auto" w:sz="8" w:space="0"/>
              <w:left w:val="nil"/>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000000"/>
                <w:spacing w:val="0"/>
                <w:sz w:val="20"/>
                <w:szCs w:val="20"/>
              </w:rPr>
            </w:pPr>
            <w:r>
              <w:rPr>
                <w:rFonts w:hint="eastAsia" w:ascii="宋体" w:eastAsia="宋体"/>
                <w:color w:val="000000"/>
                <w:spacing w:val="0"/>
                <w:sz w:val="20"/>
                <w:szCs w:val="20"/>
              </w:rPr>
              <w:t>现行有效件</w:t>
            </w:r>
            <w:r>
              <w:rPr>
                <w:rFonts w:hint="eastAsia" w:ascii="宋体" w:eastAsia="宋体"/>
                <w:color w:val="333333"/>
                <w:spacing w:val="0"/>
                <w:sz w:val="20"/>
                <w:szCs w:val="20"/>
              </w:rPr>
              <w:t>数</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left"/>
              <w:rPr>
                <w:rFonts w:hint="default" w:ascii="Calibri" w:hAnsi="Calibri" w:eastAsia="宋体"/>
                <w:color w:val="333333"/>
                <w:spacing w:val="0"/>
                <w:sz w:val="21"/>
                <w:szCs w:val="21"/>
              </w:rPr>
            </w:pPr>
            <w:r>
              <w:rPr>
                <w:rFonts w:hint="eastAsia" w:ascii="宋体" w:eastAsia="宋体"/>
                <w:color w:val="000000"/>
                <w:spacing w:val="0"/>
                <w:sz w:val="20"/>
                <w:szCs w:val="20"/>
              </w:rPr>
              <w:t>规章</w:t>
            </w:r>
          </w:p>
        </w:tc>
        <w:tc>
          <w:tcPr>
            <w:tcW w:w="2435"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eastAsia" w:ascii="Calibri" w:hAnsi="Calibri" w:eastAsia="宋体"/>
                <w:color w:val="333333"/>
                <w:spacing w:val="0"/>
                <w:sz w:val="21"/>
                <w:szCs w:val="21"/>
                <w:lang w:val="en-US" w:eastAsia="zh-CN"/>
              </w:rPr>
            </w:pPr>
            <w:r>
              <w:rPr>
                <w:rFonts w:hint="eastAsia" w:ascii="Calibri" w:hAnsi="Calibri"/>
                <w:color w:val="333333"/>
                <w:spacing w:val="0"/>
                <w:sz w:val="21"/>
                <w:szCs w:val="21"/>
                <w:lang w:val="en-US" w:eastAsia="zh-CN"/>
              </w:rPr>
              <w:t>0</w:t>
            </w:r>
          </w:p>
        </w:tc>
        <w:tc>
          <w:tcPr>
            <w:tcW w:w="2435"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eastAsia" w:ascii="Calibri" w:hAnsi="Calibri" w:eastAsia="宋体"/>
                <w:color w:val="333333"/>
                <w:spacing w:val="0"/>
                <w:sz w:val="21"/>
                <w:szCs w:val="21"/>
                <w:lang w:val="en-US" w:eastAsia="zh-CN"/>
              </w:rPr>
            </w:pPr>
            <w:r>
              <w:rPr>
                <w:rFonts w:hint="eastAsia" w:ascii="Calibri" w:hAnsi="Calibri"/>
                <w:color w:val="333333"/>
                <w:spacing w:val="0"/>
                <w:sz w:val="21"/>
                <w:szCs w:val="21"/>
                <w:lang w:val="en-US" w:eastAsia="zh-CN"/>
              </w:rPr>
              <w:t>0</w:t>
            </w:r>
          </w:p>
        </w:tc>
        <w:tc>
          <w:tcPr>
            <w:tcW w:w="2435"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宋体" w:eastAsia="宋体"/>
                <w:color w:val="333333"/>
                <w:spacing w:val="0"/>
                <w:sz w:val="24"/>
                <w:szCs w:val="24"/>
                <w:lang w:val="en-US" w:eastAsia="zh-CN"/>
              </w:rPr>
            </w:pPr>
            <w:r>
              <w:rPr>
                <w:rFonts w:hint="eastAsia"/>
                <w:color w:val="333333"/>
                <w:spacing w:val="0"/>
                <w:sz w:val="24"/>
                <w:szCs w:val="24"/>
                <w:lang w:val="en-US" w:eastAsia="zh-CN"/>
              </w:rPr>
              <w:t>0</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left"/>
              <w:rPr>
                <w:rFonts w:hint="default" w:ascii="Calibri" w:hAnsi="Calibri" w:eastAsia="宋体"/>
                <w:color w:val="333333"/>
                <w:spacing w:val="0"/>
                <w:sz w:val="21"/>
                <w:szCs w:val="21"/>
              </w:rPr>
            </w:pPr>
            <w:r>
              <w:rPr>
                <w:rFonts w:hint="eastAsia" w:ascii="宋体" w:eastAsia="宋体"/>
                <w:color w:val="000000"/>
                <w:spacing w:val="0"/>
                <w:sz w:val="20"/>
                <w:szCs w:val="20"/>
              </w:rPr>
              <w:t>行政规范性文件</w:t>
            </w:r>
          </w:p>
        </w:tc>
        <w:tc>
          <w:tcPr>
            <w:tcW w:w="2435"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eastAsia" w:ascii="Calibri" w:hAnsi="Calibri" w:eastAsia="宋体"/>
                <w:color w:val="333333"/>
                <w:spacing w:val="0"/>
                <w:sz w:val="21"/>
                <w:szCs w:val="21"/>
                <w:lang w:val="en-US" w:eastAsia="zh-CN"/>
              </w:rPr>
            </w:pPr>
            <w:r>
              <w:rPr>
                <w:rFonts w:hint="eastAsia" w:ascii="Calibri" w:hAnsi="Calibri"/>
                <w:color w:val="333333"/>
                <w:spacing w:val="0"/>
                <w:sz w:val="21"/>
                <w:szCs w:val="21"/>
                <w:lang w:val="en-US" w:eastAsia="zh-CN"/>
              </w:rPr>
              <w:t>0</w:t>
            </w:r>
          </w:p>
        </w:tc>
        <w:tc>
          <w:tcPr>
            <w:tcW w:w="2435"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eastAsia" w:ascii="Calibri" w:hAnsi="Calibri" w:eastAsia="宋体"/>
                <w:color w:val="333333"/>
                <w:spacing w:val="0"/>
                <w:sz w:val="21"/>
                <w:szCs w:val="21"/>
                <w:lang w:val="en-US" w:eastAsia="zh-CN"/>
              </w:rPr>
            </w:pPr>
            <w:r>
              <w:rPr>
                <w:rFonts w:hint="eastAsia" w:ascii="Calibri" w:hAnsi="Calibri"/>
                <w:color w:val="333333"/>
                <w:spacing w:val="0"/>
                <w:sz w:val="21"/>
                <w:szCs w:val="21"/>
                <w:lang w:val="en-US" w:eastAsia="zh-CN"/>
              </w:rPr>
              <w:t>0</w:t>
            </w:r>
          </w:p>
        </w:tc>
        <w:tc>
          <w:tcPr>
            <w:tcW w:w="2435"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lang w:val="en-US" w:eastAsia="zh-CN"/>
              </w:rPr>
            </w:pPr>
            <w:r>
              <w:rPr>
                <w:rFonts w:hint="eastAsia"/>
                <w:color w:val="333333"/>
                <w:spacing w:val="0"/>
                <w:sz w:val="24"/>
                <w:szCs w:val="24"/>
                <w:lang w:val="en-US" w:eastAsia="zh-CN"/>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vAlign w:val="center"/>
          </w:tcPr>
          <w:p>
            <w:pPr>
              <w:spacing w:before="0" w:beforeAutospacing="0" w:after="0" w:afterAutospacing="0"/>
              <w:ind w:left="0" w:right="0"/>
              <w:jc w:val="center"/>
              <w:rPr>
                <w:rFonts w:hint="default" w:ascii="Calibri" w:hAnsi="Calibri" w:eastAsia="宋体"/>
                <w:color w:val="333333"/>
                <w:spacing w:val="0"/>
                <w:sz w:val="21"/>
                <w:szCs w:val="21"/>
              </w:rPr>
            </w:pPr>
            <w:r>
              <w:rPr>
                <w:rFonts w:hint="eastAsia" w:ascii="宋体" w:eastAsia="宋体"/>
                <w:color w:val="000000"/>
                <w:spacing w:val="0"/>
                <w:sz w:val="20"/>
                <w:szCs w:val="20"/>
              </w:rPr>
              <w:t>第二十条第（五）项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1"/>
                <w:szCs w:val="21"/>
              </w:rPr>
            </w:pPr>
            <w:r>
              <w:rPr>
                <w:rFonts w:hint="eastAsia" w:ascii="宋体" w:eastAsia="宋体"/>
                <w:color w:val="000000"/>
                <w:spacing w:val="0"/>
                <w:sz w:val="20"/>
                <w:szCs w:val="20"/>
              </w:rPr>
              <w:t>信息内容</w:t>
            </w:r>
          </w:p>
        </w:tc>
        <w:tc>
          <w:tcPr>
            <w:tcW w:w="7305" w:type="dxa"/>
            <w:gridSpan w:val="3"/>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1"/>
                <w:szCs w:val="21"/>
              </w:rPr>
            </w:pPr>
            <w:r>
              <w:rPr>
                <w:rFonts w:hint="eastAsia" w:ascii="宋体" w:eastAsia="宋体"/>
                <w:color w:val="000000"/>
                <w:spacing w:val="0"/>
                <w:sz w:val="20"/>
                <w:szCs w:val="20"/>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left"/>
              <w:rPr>
                <w:rFonts w:hint="default" w:ascii="Calibri" w:hAnsi="Calibri" w:eastAsia="宋体"/>
                <w:color w:val="333333"/>
                <w:spacing w:val="0"/>
                <w:sz w:val="21"/>
                <w:szCs w:val="21"/>
              </w:rPr>
            </w:pPr>
            <w:r>
              <w:rPr>
                <w:rFonts w:hint="eastAsia" w:ascii="宋体" w:eastAsia="宋体"/>
                <w:color w:val="000000"/>
                <w:spacing w:val="0"/>
                <w:sz w:val="20"/>
                <w:szCs w:val="20"/>
              </w:rPr>
              <w:t>行政许可</w:t>
            </w:r>
          </w:p>
        </w:tc>
        <w:tc>
          <w:tcPr>
            <w:tcW w:w="7305" w:type="dxa"/>
            <w:gridSpan w:val="3"/>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default" w:ascii="宋体" w:eastAsia="宋体"/>
                <w:color w:val="333333"/>
                <w:spacing w:val="0"/>
                <w:sz w:val="24"/>
                <w:szCs w:val="24"/>
                <w:lang w:val="en-US" w:eastAsia="zh-CN"/>
              </w:rPr>
            </w:pPr>
            <w:r>
              <w:rPr>
                <w:rFonts w:hint="eastAsia" w:ascii="Calibri" w:hAnsi="Calibri"/>
                <w:color w:val="333333"/>
                <w:spacing w:val="0"/>
                <w:sz w:val="21"/>
                <w:szCs w:val="21"/>
                <w:lang w:val="en-US" w:eastAsia="zh-CN"/>
              </w:rPr>
              <w:t>14</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vAlign w:val="center"/>
          </w:tcPr>
          <w:p>
            <w:pPr>
              <w:spacing w:before="0" w:beforeAutospacing="0" w:after="0" w:afterAutospacing="0"/>
              <w:ind w:left="0" w:right="0"/>
              <w:jc w:val="center"/>
              <w:rPr>
                <w:rFonts w:hint="default" w:ascii="Calibri" w:hAnsi="Calibri" w:eastAsia="宋体"/>
                <w:color w:val="333333"/>
                <w:spacing w:val="0"/>
                <w:sz w:val="21"/>
                <w:szCs w:val="21"/>
              </w:rPr>
            </w:pPr>
            <w:r>
              <w:rPr>
                <w:rFonts w:hint="eastAsia" w:ascii="宋体" w:eastAsia="宋体"/>
                <w:color w:val="000000"/>
                <w:spacing w:val="0"/>
                <w:sz w:val="20"/>
                <w:szCs w:val="20"/>
              </w:rPr>
              <w:t>第二十条第（六）项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default" w:ascii="Calibri" w:hAnsi="Calibri" w:eastAsia="宋体"/>
                <w:color w:val="333333"/>
                <w:spacing w:val="0"/>
                <w:sz w:val="21"/>
                <w:szCs w:val="21"/>
              </w:rPr>
            </w:pPr>
            <w:r>
              <w:rPr>
                <w:rFonts w:hint="eastAsia" w:ascii="宋体" w:eastAsia="宋体"/>
                <w:color w:val="000000"/>
                <w:spacing w:val="0"/>
                <w:sz w:val="20"/>
                <w:szCs w:val="20"/>
              </w:rPr>
              <w:t>信息内容</w:t>
            </w:r>
          </w:p>
        </w:tc>
        <w:tc>
          <w:tcPr>
            <w:tcW w:w="7305" w:type="dxa"/>
            <w:gridSpan w:val="3"/>
            <w:tcBorders>
              <w:top w:val="single" w:color="auto" w:sz="8" w:space="0"/>
              <w:left w:val="nil"/>
              <w:bottom w:val="single" w:color="auto" w:sz="8" w:space="0"/>
              <w:right w:val="single" w:color="auto" w:sz="8" w:space="0"/>
            </w:tcBorders>
            <w:noWrap w:val="0"/>
            <w:vAlign w:val="center"/>
          </w:tcPr>
          <w:p>
            <w:pPr>
              <w:spacing w:before="0" w:beforeAutospacing="0" w:after="0" w:afterAutospacing="0"/>
              <w:ind w:left="0" w:right="0" w:firstLine="0"/>
              <w:jc w:val="center"/>
              <w:rPr>
                <w:rFonts w:hint="default" w:ascii="Calibri" w:hAnsi="Calibri" w:eastAsia="宋体"/>
                <w:color w:val="333333"/>
                <w:spacing w:val="0"/>
                <w:sz w:val="21"/>
                <w:szCs w:val="21"/>
              </w:rPr>
            </w:pPr>
            <w:r>
              <w:rPr>
                <w:rFonts w:hint="eastAsia" w:ascii="宋体" w:eastAsia="宋体"/>
                <w:color w:val="000000"/>
                <w:spacing w:val="0"/>
                <w:sz w:val="20"/>
                <w:szCs w:val="20"/>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left"/>
              <w:rPr>
                <w:rFonts w:hint="default" w:ascii="Calibri" w:hAnsi="Calibri" w:eastAsia="宋体"/>
                <w:color w:val="333333"/>
                <w:spacing w:val="0"/>
                <w:sz w:val="21"/>
                <w:szCs w:val="21"/>
              </w:rPr>
            </w:pPr>
            <w:r>
              <w:rPr>
                <w:rFonts w:hint="eastAsia" w:ascii="宋体" w:eastAsia="宋体"/>
                <w:color w:val="000000"/>
                <w:spacing w:val="0"/>
                <w:sz w:val="20"/>
                <w:szCs w:val="20"/>
              </w:rPr>
              <w:t>行政处罚</w:t>
            </w:r>
          </w:p>
        </w:tc>
        <w:tc>
          <w:tcPr>
            <w:tcW w:w="7305" w:type="dxa"/>
            <w:gridSpan w:val="3"/>
            <w:tcBorders>
              <w:top w:val="nil"/>
              <w:left w:val="nil"/>
              <w:bottom w:val="single" w:color="auto" w:sz="8" w:space="0"/>
              <w:right w:val="single" w:color="auto" w:sz="8" w:space="0"/>
            </w:tcBorders>
            <w:noWrap w:val="0"/>
            <w:vAlign w:val="center"/>
          </w:tcPr>
          <w:p>
            <w:pPr>
              <w:spacing w:before="0" w:beforeAutospacing="0" w:after="0" w:afterAutospacing="0"/>
              <w:ind w:left="0" w:right="0"/>
              <w:jc w:val="left"/>
              <w:rPr>
                <w:rFonts w:hint="eastAsia" w:ascii="Calibri" w:hAnsi="Calibri" w:eastAsia="宋体"/>
                <w:color w:val="333333"/>
                <w:spacing w:val="0"/>
                <w:sz w:val="21"/>
                <w:szCs w:val="21"/>
                <w:lang w:val="en-US" w:eastAsia="zh-CN"/>
              </w:rPr>
            </w:pPr>
            <w:r>
              <w:rPr>
                <w:rFonts w:hint="eastAsia" w:ascii="宋体" w:eastAsia="宋体"/>
                <w:color w:val="000000"/>
                <w:spacing w:val="0"/>
                <w:sz w:val="20"/>
                <w:szCs w:val="20"/>
              </w:rPr>
              <w:t>　</w:t>
            </w:r>
            <w:r>
              <w:rPr>
                <w:rFonts w:hint="eastAsia"/>
                <w:color w:val="000000"/>
                <w:spacing w:val="0"/>
                <w:sz w:val="20"/>
                <w:szCs w:val="20"/>
                <w:lang w:val="en-US" w:eastAsia="zh-CN"/>
              </w:rPr>
              <w:t>0</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left"/>
              <w:rPr>
                <w:rFonts w:hint="default" w:ascii="Calibri" w:hAnsi="Calibri" w:eastAsia="宋体"/>
                <w:color w:val="333333"/>
                <w:spacing w:val="0"/>
                <w:sz w:val="21"/>
                <w:szCs w:val="21"/>
              </w:rPr>
            </w:pPr>
            <w:r>
              <w:rPr>
                <w:rFonts w:hint="eastAsia" w:ascii="宋体" w:eastAsia="宋体"/>
                <w:color w:val="000000"/>
                <w:spacing w:val="0"/>
                <w:sz w:val="20"/>
                <w:szCs w:val="20"/>
              </w:rPr>
              <w:t>行政强制</w:t>
            </w:r>
          </w:p>
        </w:tc>
        <w:tc>
          <w:tcPr>
            <w:tcW w:w="7305" w:type="dxa"/>
            <w:gridSpan w:val="3"/>
            <w:tcBorders>
              <w:top w:val="nil"/>
              <w:left w:val="nil"/>
              <w:bottom w:val="single" w:color="auto" w:sz="8" w:space="0"/>
              <w:right w:val="single" w:color="auto" w:sz="8" w:space="0"/>
            </w:tcBorders>
            <w:noWrap w:val="0"/>
            <w:vAlign w:val="center"/>
          </w:tcPr>
          <w:p>
            <w:pPr>
              <w:spacing w:before="0" w:beforeAutospacing="0" w:after="0" w:afterAutospacing="0"/>
              <w:ind w:left="0" w:right="0"/>
              <w:jc w:val="left"/>
              <w:rPr>
                <w:rFonts w:hint="eastAsia" w:ascii="Calibri" w:hAnsi="Calibri" w:eastAsia="宋体"/>
                <w:color w:val="333333"/>
                <w:spacing w:val="0"/>
                <w:sz w:val="21"/>
                <w:szCs w:val="21"/>
                <w:lang w:val="en-US" w:eastAsia="zh-CN"/>
              </w:rPr>
            </w:pPr>
            <w:r>
              <w:rPr>
                <w:rFonts w:hint="eastAsia" w:ascii="宋体" w:eastAsia="宋体"/>
                <w:color w:val="000000"/>
                <w:spacing w:val="0"/>
                <w:sz w:val="20"/>
                <w:szCs w:val="20"/>
              </w:rPr>
              <w:t>　</w:t>
            </w:r>
            <w:r>
              <w:rPr>
                <w:rFonts w:hint="eastAsia"/>
                <w:color w:val="000000"/>
                <w:spacing w:val="0"/>
                <w:sz w:val="20"/>
                <w:szCs w:val="20"/>
                <w:lang w:val="en-US" w:eastAsia="zh-CN"/>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vAlign w:val="center"/>
          </w:tcPr>
          <w:p>
            <w:pPr>
              <w:spacing w:before="0" w:beforeAutospacing="0" w:after="0" w:afterAutospacing="0"/>
              <w:ind w:left="0" w:right="0"/>
              <w:jc w:val="center"/>
              <w:rPr>
                <w:rFonts w:hint="default" w:ascii="Calibri" w:hAnsi="Calibri" w:eastAsia="宋体"/>
                <w:color w:val="333333"/>
                <w:spacing w:val="0"/>
                <w:sz w:val="21"/>
                <w:szCs w:val="21"/>
              </w:rPr>
            </w:pPr>
            <w:r>
              <w:rPr>
                <w:rFonts w:hint="eastAsia" w:ascii="宋体" w:eastAsia="宋体"/>
                <w:color w:val="000000"/>
                <w:spacing w:val="0"/>
                <w:sz w:val="20"/>
                <w:szCs w:val="20"/>
              </w:rPr>
              <w:t>第二十条第（八）项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1"/>
                <w:szCs w:val="21"/>
              </w:rPr>
            </w:pPr>
            <w:r>
              <w:rPr>
                <w:rFonts w:hint="eastAsia" w:ascii="宋体" w:eastAsia="宋体"/>
                <w:color w:val="000000"/>
                <w:spacing w:val="0"/>
                <w:sz w:val="20"/>
                <w:szCs w:val="20"/>
              </w:rPr>
              <w:t>信息内容</w:t>
            </w:r>
          </w:p>
        </w:tc>
        <w:tc>
          <w:tcPr>
            <w:tcW w:w="7305" w:type="dxa"/>
            <w:gridSpan w:val="3"/>
            <w:tcBorders>
              <w:top w:val="nil"/>
              <w:left w:val="nil"/>
              <w:bottom w:val="single" w:color="auto" w:sz="8" w:space="0"/>
              <w:right w:val="single" w:color="000000"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1"/>
                <w:szCs w:val="21"/>
              </w:rPr>
            </w:pPr>
            <w:r>
              <w:rPr>
                <w:rFonts w:hint="eastAsia" w:ascii="宋体" w:eastAsia="宋体"/>
                <w:color w:val="000000"/>
                <w:spacing w:val="0"/>
                <w:sz w:val="20"/>
                <w:szCs w:val="20"/>
              </w:rPr>
              <w:t>本年收费金额（单位：万元）</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rPr>
                <w:rFonts w:hint="default" w:ascii="Calibri" w:hAnsi="Calibri"/>
                <w:color w:val="333333"/>
                <w:spacing w:val="0"/>
                <w:sz w:val="21"/>
                <w:szCs w:val="21"/>
                <w:lang w:val="en-US" w:eastAsia="zh-CN"/>
              </w:rPr>
            </w:pPr>
            <w:r>
              <w:rPr>
                <w:rFonts w:hint="eastAsia" w:ascii="Calibri" w:hAnsi="Calibri"/>
                <w:color w:val="333333"/>
                <w:spacing w:val="0"/>
                <w:sz w:val="21"/>
                <w:szCs w:val="21"/>
                <w:lang w:val="en-US" w:eastAsia="zh-CN"/>
              </w:rPr>
              <w:t>行政事业性收费</w:t>
            </w:r>
          </w:p>
        </w:tc>
        <w:tc>
          <w:tcPr>
            <w:tcW w:w="7305" w:type="dxa"/>
            <w:gridSpan w:val="3"/>
            <w:tcBorders>
              <w:top w:val="nil"/>
              <w:left w:val="nil"/>
              <w:bottom w:val="single" w:color="auto" w:sz="8" w:space="0"/>
              <w:right w:val="single" w:color="000000" w:sz="8" w:space="0"/>
            </w:tcBorders>
            <w:noWrap w:val="0"/>
            <w:vAlign w:val="center"/>
          </w:tcPr>
          <w:p>
            <w:pPr>
              <w:spacing w:before="0" w:beforeAutospacing="0" w:after="0" w:afterAutospacing="0"/>
              <w:ind w:left="0" w:right="0"/>
              <w:rPr>
                <w:rFonts w:hint="default" w:ascii="Calibri" w:hAnsi="Calibri"/>
                <w:color w:val="333333"/>
                <w:spacing w:val="0"/>
                <w:sz w:val="21"/>
                <w:szCs w:val="21"/>
                <w:lang w:val="en-US" w:eastAsia="zh-CN"/>
              </w:rPr>
            </w:pPr>
            <w:bookmarkStart w:id="0" w:name="_GoBack"/>
            <w:bookmarkEnd w:id="0"/>
            <w:r>
              <w:rPr>
                <w:rFonts w:hint="eastAsia" w:ascii="Calibri" w:hAnsi="Calibri"/>
                <w:color w:val="333333"/>
                <w:spacing w:val="0"/>
                <w:sz w:val="21"/>
                <w:szCs w:val="21"/>
                <w:lang w:val="en-US" w:eastAsia="zh-CN"/>
              </w:rPr>
              <w:t>9万元</w:t>
            </w:r>
          </w:p>
        </w:tc>
      </w:tr>
    </w:tbl>
    <w:p>
      <w:pPr>
        <w:pStyle w:val="4"/>
        <w:shd w:val="clear" w:color="auto" w:fill="FFFFFF"/>
        <w:spacing w:before="0" w:beforeAutospacing="0" w:after="0" w:afterAutospacing="0"/>
        <w:ind w:left="0" w:right="0" w:firstLine="480"/>
        <w:rPr>
          <w:rFonts w:hint="eastAsia" w:ascii="黑体" w:hAnsi="黑体" w:eastAsia="黑体" w:cs="黑体"/>
          <w:b w:val="0"/>
          <w:bCs w:val="0"/>
          <w:color w:val="333333"/>
          <w:spacing w:val="0"/>
          <w:sz w:val="32"/>
          <w:szCs w:val="32"/>
        </w:rPr>
      </w:pPr>
    </w:p>
    <w:p>
      <w:pPr>
        <w:pStyle w:val="4"/>
        <w:shd w:val="clear" w:color="auto" w:fill="FFFFFF"/>
        <w:spacing w:before="0" w:beforeAutospacing="0" w:after="0" w:afterAutospacing="0"/>
        <w:ind w:left="0" w:right="0" w:firstLine="480"/>
        <w:rPr>
          <w:rFonts w:hint="eastAsia" w:ascii="宋体" w:eastAsia="宋体"/>
          <w:color w:val="333333"/>
          <w:spacing w:val="0"/>
          <w:sz w:val="24"/>
          <w:szCs w:val="24"/>
        </w:rPr>
      </w:pPr>
      <w:r>
        <w:rPr>
          <w:rFonts w:hint="eastAsia" w:ascii="黑体" w:hAnsi="黑体" w:eastAsia="黑体" w:cs="黑体"/>
          <w:b w:val="0"/>
          <w:bCs w:val="0"/>
          <w:color w:val="333333"/>
          <w:spacing w:val="0"/>
          <w:sz w:val="32"/>
          <w:szCs w:val="32"/>
        </w:rPr>
        <w:t>三、收到和处理政府信息公开申请情况</w:t>
      </w:r>
      <w:r>
        <w:rPr>
          <w:rFonts w:hint="eastAsia" w:ascii="宋体" w:eastAsia="宋体"/>
          <w:b/>
          <w:bCs/>
          <w:color w:val="333333"/>
          <w:spacing w:val="0"/>
          <w:sz w:val="24"/>
          <w:szCs w:val="24"/>
        </w:rPr>
        <w:br w:type="textWrapping"/>
      </w: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53"/>
        <w:gridCol w:w="921"/>
        <w:gridCol w:w="3272"/>
        <w:gridCol w:w="686"/>
        <w:gridCol w:w="686"/>
        <w:gridCol w:w="686"/>
        <w:gridCol w:w="686"/>
        <w:gridCol w:w="686"/>
        <w:gridCol w:w="686"/>
        <w:gridCol w:w="6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47"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jc w:val="left"/>
              <w:rPr>
                <w:rFonts w:hint="eastAsia" w:ascii="楷体_GB2312" w:eastAsia="楷体_GB2312"/>
                <w:color w:val="333333"/>
                <w:spacing w:val="0"/>
                <w:sz w:val="20"/>
                <w:szCs w:val="20"/>
              </w:rPr>
            </w:pPr>
            <w:r>
              <w:rPr>
                <w:rFonts w:hint="eastAsia" w:ascii="楷体" w:eastAsia="楷体"/>
                <w:color w:val="333333"/>
                <w:spacing w:val="0"/>
                <w:sz w:val="20"/>
                <w:szCs w:val="20"/>
              </w:rPr>
              <w:t>（本列数据的勾稽关系为：第一项加第二项之和，等于第三项加第四项之和）</w:t>
            </w:r>
          </w:p>
        </w:tc>
        <w:tc>
          <w:tcPr>
            <w:tcW w:w="4802" w:type="dxa"/>
            <w:gridSpan w:val="7"/>
            <w:tcBorders>
              <w:top w:val="single" w:color="auto" w:sz="8" w:space="0"/>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eastAsia" w:ascii="宋体" w:eastAsia="宋体"/>
                <w:color w:val="333333"/>
                <w:spacing w:val="0"/>
                <w:sz w:val="20"/>
                <w:szCs w:val="20"/>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47" w:type="dxa"/>
            <w:gridSpan w:val="3"/>
            <w:vMerge w:val="continue"/>
            <w:tcBorders>
              <w:top w:val="single" w:color="auto" w:sz="8" w:space="0"/>
              <w:left w:val="single" w:color="auto" w:sz="8" w:space="0"/>
              <w:bottom w:val="single" w:color="auto" w:sz="8" w:space="0"/>
              <w:right w:val="single" w:color="auto" w:sz="8" w:space="0"/>
            </w:tcBorders>
            <w:noWrap w:val="0"/>
            <w:vAlign w:val="center"/>
          </w:tcPr>
          <w:p/>
        </w:tc>
        <w:tc>
          <w:tcPr>
            <w:tcW w:w="686" w:type="dxa"/>
            <w:vMerge w:val="restart"/>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eastAsia" w:ascii="宋体" w:eastAsia="宋体"/>
                <w:color w:val="333333"/>
                <w:spacing w:val="0"/>
                <w:sz w:val="20"/>
                <w:szCs w:val="20"/>
              </w:rPr>
              <w:t>自然人</w:t>
            </w:r>
          </w:p>
        </w:tc>
        <w:tc>
          <w:tcPr>
            <w:tcW w:w="3430" w:type="dxa"/>
            <w:gridSpan w:val="5"/>
            <w:tcBorders>
              <w:top w:val="single" w:color="auto" w:sz="8" w:space="0"/>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eastAsia" w:ascii="宋体" w:eastAsia="宋体"/>
                <w:color w:val="333333"/>
                <w:spacing w:val="0"/>
                <w:sz w:val="20"/>
                <w:szCs w:val="20"/>
              </w:rPr>
              <w:t>法人或其他组织</w:t>
            </w:r>
          </w:p>
        </w:tc>
        <w:tc>
          <w:tcPr>
            <w:tcW w:w="686" w:type="dxa"/>
            <w:vMerge w:val="restart"/>
            <w:tcBorders>
              <w:top w:val="single" w:color="auto" w:sz="8" w:space="0"/>
              <w:left w:val="nil"/>
              <w:bottom w:val="inset"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eastAsia" w:ascii="宋体" w:eastAsia="宋体"/>
                <w:color w:val="333333"/>
                <w:spacing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47" w:type="dxa"/>
            <w:gridSpan w:val="3"/>
            <w:vMerge w:val="continue"/>
            <w:tcBorders>
              <w:top w:val="single" w:color="auto" w:sz="8" w:space="0"/>
              <w:left w:val="single" w:color="auto" w:sz="8" w:space="0"/>
              <w:bottom w:val="single" w:color="auto" w:sz="8" w:space="0"/>
              <w:right w:val="single" w:color="auto" w:sz="8" w:space="0"/>
            </w:tcBorders>
            <w:noWrap w:val="0"/>
            <w:vAlign w:val="center"/>
          </w:tcPr>
          <w:p/>
        </w:tc>
        <w:tc>
          <w:tcPr>
            <w:tcW w:w="686" w:type="dxa"/>
            <w:vMerge w:val="continue"/>
            <w:tcBorders>
              <w:top w:val="nil"/>
              <w:left w:val="nil"/>
              <w:bottom w:val="single" w:color="auto" w:sz="8" w:space="0"/>
              <w:right w:val="single" w:color="auto" w:sz="8" w:space="0"/>
            </w:tcBorders>
            <w:noWrap w:val="0"/>
            <w:vAlign w:val="center"/>
          </w:tcP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0"/>
                <w:szCs w:val="20"/>
              </w:rPr>
            </w:pPr>
            <w:r>
              <w:rPr>
                <w:rFonts w:hint="eastAsia" w:ascii="宋体" w:eastAsia="宋体"/>
                <w:color w:val="333333"/>
                <w:spacing w:val="0"/>
                <w:sz w:val="20"/>
                <w:szCs w:val="20"/>
              </w:rPr>
              <w:t>商业</w:t>
            </w:r>
          </w:p>
          <w:p>
            <w:pPr>
              <w:spacing w:before="0" w:beforeAutospacing="0" w:after="0" w:afterAutospacing="0"/>
              <w:ind w:left="0" w:right="0"/>
              <w:jc w:val="center"/>
              <w:rPr>
                <w:rFonts w:hint="default" w:ascii="Calibri" w:hAnsi="Calibri" w:eastAsia="宋体"/>
                <w:color w:val="333333"/>
                <w:spacing w:val="0"/>
                <w:sz w:val="20"/>
                <w:szCs w:val="20"/>
              </w:rPr>
            </w:pPr>
            <w:r>
              <w:rPr>
                <w:rFonts w:hint="eastAsia" w:ascii="宋体" w:eastAsia="宋体"/>
                <w:color w:val="333333"/>
                <w:spacing w:val="0"/>
                <w:sz w:val="20"/>
                <w:szCs w:val="20"/>
              </w:rPr>
              <w:t>企业</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0"/>
                <w:szCs w:val="20"/>
              </w:rPr>
            </w:pPr>
            <w:r>
              <w:rPr>
                <w:rFonts w:hint="eastAsia" w:ascii="宋体" w:eastAsia="宋体"/>
                <w:color w:val="333333"/>
                <w:spacing w:val="0"/>
                <w:sz w:val="20"/>
                <w:szCs w:val="20"/>
              </w:rPr>
              <w:t>科研</w:t>
            </w:r>
          </w:p>
          <w:p>
            <w:pPr>
              <w:spacing w:before="0" w:beforeAutospacing="0" w:after="0" w:afterAutospacing="0"/>
              <w:ind w:left="0" w:right="0"/>
              <w:jc w:val="center"/>
              <w:rPr>
                <w:rFonts w:hint="default" w:ascii="Calibri" w:hAnsi="Calibri" w:eastAsia="宋体"/>
                <w:color w:val="333333"/>
                <w:spacing w:val="0"/>
                <w:sz w:val="20"/>
                <w:szCs w:val="20"/>
              </w:rPr>
            </w:pPr>
            <w:r>
              <w:rPr>
                <w:rFonts w:hint="eastAsia" w:ascii="宋体" w:eastAsia="宋体"/>
                <w:color w:val="333333"/>
                <w:spacing w:val="0"/>
                <w:sz w:val="20"/>
                <w:szCs w:val="20"/>
              </w:rPr>
              <w:t>机构</w:t>
            </w:r>
          </w:p>
        </w:tc>
        <w:tc>
          <w:tcPr>
            <w:tcW w:w="686" w:type="dxa"/>
            <w:tcBorders>
              <w:top w:val="single" w:color="auto" w:sz="8" w:space="0"/>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eastAsia" w:ascii="宋体" w:eastAsia="宋体"/>
                <w:color w:val="333333"/>
                <w:spacing w:val="0"/>
                <w:sz w:val="20"/>
                <w:szCs w:val="20"/>
              </w:rPr>
              <w:t>社会公益组织</w:t>
            </w:r>
          </w:p>
        </w:tc>
        <w:tc>
          <w:tcPr>
            <w:tcW w:w="686" w:type="dxa"/>
            <w:tcBorders>
              <w:top w:val="single" w:color="auto" w:sz="8" w:space="0"/>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eastAsia" w:ascii="宋体" w:eastAsia="宋体"/>
                <w:color w:val="333333"/>
                <w:spacing w:val="0"/>
                <w:sz w:val="20"/>
                <w:szCs w:val="20"/>
              </w:rPr>
              <w:t>法律服务机构</w:t>
            </w:r>
          </w:p>
        </w:tc>
        <w:tc>
          <w:tcPr>
            <w:tcW w:w="686" w:type="dxa"/>
            <w:tcBorders>
              <w:top w:val="single" w:color="auto" w:sz="8" w:space="0"/>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eastAsia" w:ascii="宋体" w:eastAsia="宋体"/>
                <w:color w:val="333333"/>
                <w:spacing w:val="0"/>
                <w:sz w:val="20"/>
                <w:szCs w:val="20"/>
              </w:rPr>
              <w:t>其他</w:t>
            </w:r>
          </w:p>
        </w:tc>
        <w:tc>
          <w:tcPr>
            <w:tcW w:w="686" w:type="dxa"/>
            <w:vMerge w:val="continue"/>
            <w:tcBorders>
              <w:top w:val="single" w:color="auto" w:sz="8" w:space="0"/>
              <w:left w:val="nil"/>
              <w:bottom w:val="inset" w:color="auto" w:sz="8" w:space="0"/>
              <w:right w:val="single" w:color="auto" w:sz="8" w:space="0"/>
            </w:tcBorders>
            <w:noWrap w:val="0"/>
            <w:vAlign w:val="center"/>
          </w:tc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47" w:type="dxa"/>
            <w:gridSpan w:val="3"/>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left"/>
              <w:rPr>
                <w:rFonts w:hint="default" w:ascii="Calibri" w:hAnsi="Calibri" w:eastAsia="宋体"/>
                <w:color w:val="333333"/>
                <w:spacing w:val="0"/>
                <w:sz w:val="20"/>
                <w:szCs w:val="20"/>
              </w:rPr>
            </w:pPr>
            <w:r>
              <w:rPr>
                <w:rFonts w:hint="eastAsia" w:ascii="宋体" w:eastAsia="宋体"/>
                <w:color w:val="333333"/>
                <w:spacing w:val="0"/>
                <w:sz w:val="20"/>
                <w:szCs w:val="20"/>
              </w:rPr>
              <w:t>一、本年新收政府信息公开申请数量</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47" w:type="dxa"/>
            <w:gridSpan w:val="3"/>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left"/>
              <w:rPr>
                <w:rFonts w:hint="default" w:ascii="Calibri" w:hAnsi="Calibri" w:eastAsia="宋体"/>
                <w:color w:val="333333"/>
                <w:spacing w:val="0"/>
                <w:sz w:val="20"/>
                <w:szCs w:val="20"/>
              </w:rPr>
            </w:pPr>
            <w:r>
              <w:rPr>
                <w:rFonts w:hint="eastAsia" w:ascii="宋体" w:eastAsia="宋体"/>
                <w:color w:val="333333"/>
                <w:spacing w:val="0"/>
                <w:sz w:val="20"/>
                <w:szCs w:val="20"/>
              </w:rPr>
              <w:t>二、上年结转政府信息公开申请数量</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restart"/>
            <w:tcBorders>
              <w:top w:val="nil"/>
              <w:left w:val="single" w:color="auto" w:sz="8" w:space="0"/>
              <w:bottom w:val="inset" w:color="auto" w:sz="8" w:space="0"/>
              <w:right w:val="single" w:color="auto" w:sz="8" w:space="0"/>
            </w:tcBorders>
            <w:noWrap w:val="0"/>
            <w:vAlign w:val="center"/>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三、本年度办理结果</w:t>
            </w:r>
          </w:p>
        </w:tc>
        <w:tc>
          <w:tcPr>
            <w:tcW w:w="4193" w:type="dxa"/>
            <w:gridSpan w:val="2"/>
            <w:tcBorders>
              <w:top w:val="nil"/>
              <w:left w:val="nil"/>
              <w:bottom w:val="single" w:color="auto" w:sz="8" w:space="0"/>
              <w:right w:val="single" w:color="auto" w:sz="8" w:space="0"/>
            </w:tcBorders>
            <w:noWrap w:val="0"/>
            <w:vAlign w:val="center"/>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（一）予以公开</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single" w:color="auto" w:sz="8" w:space="0"/>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4193" w:type="dxa"/>
            <w:gridSpan w:val="2"/>
            <w:tcBorders>
              <w:top w:val="nil"/>
              <w:left w:val="nil"/>
              <w:bottom w:val="single" w:color="auto" w:sz="8" w:space="0"/>
              <w:right w:val="single" w:color="auto" w:sz="8" w:space="0"/>
            </w:tcBorders>
            <w:noWrap w:val="0"/>
            <w:vAlign w:val="center"/>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（二）部分公开</w:t>
            </w:r>
            <w:r>
              <w:rPr>
                <w:rFonts w:hint="eastAsia" w:ascii="楷体" w:eastAsia="楷体"/>
                <w:color w:val="333333"/>
                <w:spacing w:val="0"/>
                <w:sz w:val="20"/>
                <w:szCs w:val="20"/>
              </w:rPr>
              <w:t>（区分处理的，只计这一情形，不计其他情形）</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restart"/>
            <w:tcBorders>
              <w:top w:val="nil"/>
              <w:left w:val="nil"/>
              <w:bottom w:val="inset" w:color="auto" w:sz="8" w:space="0"/>
              <w:right w:val="single" w:color="auto" w:sz="8" w:space="0"/>
            </w:tcBorders>
            <w:noWrap w:val="0"/>
            <w:vAlign w:val="center"/>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（三）不予公开</w:t>
            </w: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1.属于国家秘密</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single" w:color="auto" w:sz="8" w:space="0"/>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nil"/>
              <w:left w:val="nil"/>
              <w:bottom w:val="inset" w:color="auto" w:sz="8" w:space="0"/>
              <w:right w:val="single" w:color="auto" w:sz="8" w:space="0"/>
            </w:tcBorders>
            <w:noWrap w:val="0"/>
            <w:vAlign w:val="center"/>
          </w:tcP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2.其他法律行政法规禁止公开</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nil"/>
              <w:left w:val="nil"/>
              <w:bottom w:val="inset" w:color="auto" w:sz="8" w:space="0"/>
              <w:right w:val="single" w:color="auto" w:sz="8" w:space="0"/>
            </w:tcBorders>
            <w:noWrap w:val="0"/>
            <w:vAlign w:val="center"/>
          </w:tcP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3.危及“三安全一稳定”</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nil"/>
              <w:left w:val="nil"/>
              <w:bottom w:val="inset" w:color="auto" w:sz="8" w:space="0"/>
              <w:right w:val="single" w:color="auto" w:sz="8" w:space="0"/>
            </w:tcBorders>
            <w:noWrap w:val="0"/>
            <w:vAlign w:val="center"/>
          </w:tcP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4.保护第三方合法权益</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nil"/>
              <w:left w:val="nil"/>
              <w:bottom w:val="inset" w:color="auto" w:sz="8" w:space="0"/>
              <w:right w:val="single" w:color="auto" w:sz="8" w:space="0"/>
            </w:tcBorders>
            <w:noWrap w:val="0"/>
            <w:vAlign w:val="center"/>
          </w:tcP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5.属于三类内部事务信息</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nil"/>
              <w:left w:val="nil"/>
              <w:bottom w:val="inset" w:color="auto" w:sz="8" w:space="0"/>
              <w:right w:val="single" w:color="auto" w:sz="8" w:space="0"/>
            </w:tcBorders>
            <w:noWrap w:val="0"/>
            <w:vAlign w:val="center"/>
          </w:tcP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6.属于四类过程性信息</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nil"/>
              <w:left w:val="nil"/>
              <w:bottom w:val="inset" w:color="auto" w:sz="8" w:space="0"/>
              <w:right w:val="single" w:color="auto" w:sz="8" w:space="0"/>
            </w:tcBorders>
            <w:noWrap w:val="0"/>
            <w:vAlign w:val="center"/>
          </w:tcP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7.属于行政执法案卷</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nil"/>
              <w:left w:val="nil"/>
              <w:bottom w:val="inset" w:color="auto" w:sz="8" w:space="0"/>
              <w:right w:val="single" w:color="auto" w:sz="8" w:space="0"/>
            </w:tcBorders>
            <w:noWrap w:val="0"/>
            <w:vAlign w:val="center"/>
          </w:tcP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8.属于行政查询事项</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restart"/>
            <w:tcBorders>
              <w:top w:val="nil"/>
              <w:left w:val="nil"/>
              <w:bottom w:val="inset" w:color="auto" w:sz="8" w:space="0"/>
              <w:right w:val="single" w:color="auto" w:sz="8" w:space="0"/>
            </w:tcBorders>
            <w:noWrap w:val="0"/>
            <w:vAlign w:val="center"/>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（四）无法提供</w:t>
            </w: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1.本机关不掌握相关政府信息</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nil"/>
              <w:left w:val="nil"/>
              <w:bottom w:val="inset" w:color="auto" w:sz="8" w:space="0"/>
              <w:right w:val="single" w:color="auto" w:sz="8" w:space="0"/>
            </w:tcBorders>
            <w:noWrap w:val="0"/>
            <w:vAlign w:val="center"/>
          </w:tcP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2.没有现成信息需要另行制作</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nil"/>
              <w:left w:val="nil"/>
              <w:bottom w:val="inset" w:color="auto" w:sz="8" w:space="0"/>
              <w:right w:val="single" w:color="auto" w:sz="8" w:space="0"/>
            </w:tcBorders>
            <w:noWrap w:val="0"/>
            <w:vAlign w:val="center"/>
          </w:tcP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3.补正后申请内容仍不明确</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restart"/>
            <w:tcBorders>
              <w:top w:val="nil"/>
              <w:left w:val="nil"/>
              <w:bottom w:val="inset" w:color="auto" w:sz="8" w:space="0"/>
              <w:right w:val="single" w:color="auto" w:sz="8" w:space="0"/>
            </w:tcBorders>
            <w:noWrap w:val="0"/>
            <w:vAlign w:val="center"/>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（五）不予处理</w:t>
            </w: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1.信访举报投诉类申请</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default" w:ascii="Calibri" w:hAnsi="Calibri" w:eastAsia="宋体"/>
                <w:color w:val="333333"/>
                <w:spacing w:val="0"/>
                <w:sz w:val="20"/>
                <w:szCs w:val="20"/>
              </w:rPr>
              <w:t> </w:t>
            </w: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nil"/>
              <w:left w:val="nil"/>
              <w:bottom w:val="inset" w:color="auto" w:sz="8" w:space="0"/>
              <w:right w:val="single" w:color="auto" w:sz="8" w:space="0"/>
            </w:tcBorders>
            <w:noWrap w:val="0"/>
            <w:vAlign w:val="center"/>
          </w:tcP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2.重复申请</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nil"/>
              <w:left w:val="nil"/>
              <w:bottom w:val="inset" w:color="auto" w:sz="8" w:space="0"/>
              <w:right w:val="single" w:color="auto" w:sz="8" w:space="0"/>
            </w:tcBorders>
            <w:noWrap w:val="0"/>
            <w:vAlign w:val="center"/>
          </w:tcP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3.要求提供公开出版物</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eastAsia="宋体"/>
                <w:color w:val="333333"/>
                <w:spacing w:val="0"/>
                <w:sz w:val="20"/>
                <w:szCs w:val="20"/>
                <w:lang w:val="en-US" w:eastAsia="zh-CN"/>
              </w:rPr>
            </w:pP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nil"/>
              <w:left w:val="nil"/>
              <w:bottom w:val="inset" w:color="auto" w:sz="8" w:space="0"/>
              <w:right w:val="single" w:color="auto" w:sz="8" w:space="0"/>
            </w:tcBorders>
            <w:noWrap w:val="0"/>
            <w:vAlign w:val="center"/>
          </w:tcPr>
          <w:p/>
        </w:tc>
        <w:tc>
          <w:tcPr>
            <w:tcW w:w="3272"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4.无正当理由大量反复申请</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49" w:hRule="atLeast"/>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nil"/>
              <w:left w:val="nil"/>
              <w:bottom w:val="inset" w:color="auto" w:sz="8" w:space="0"/>
              <w:right w:val="single" w:color="auto" w:sz="8" w:space="0"/>
            </w:tcBorders>
            <w:noWrap w:val="0"/>
            <w:vAlign w:val="center"/>
          </w:tcPr>
          <w:p/>
        </w:tc>
        <w:tc>
          <w:tcPr>
            <w:tcW w:w="3272" w:type="dxa"/>
            <w:tcBorders>
              <w:top w:val="nil"/>
              <w:left w:val="nil"/>
              <w:bottom w:val="inset"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0"/>
                <w:szCs w:val="20"/>
              </w:rPr>
            </w:pPr>
            <w:r>
              <w:rPr>
                <w:rFonts w:hint="eastAsia" w:ascii="宋体" w:eastAsia="宋体"/>
                <w:color w:val="333333"/>
                <w:spacing w:val="0"/>
                <w:sz w:val="20"/>
                <w:szCs w:val="20"/>
              </w:rPr>
              <w:t>5.要求行政机关确认或重新出具已获取信息</w:t>
            </w:r>
          </w:p>
        </w:tc>
        <w:tc>
          <w:tcPr>
            <w:tcW w:w="686" w:type="dxa"/>
            <w:tcBorders>
              <w:top w:val="nil"/>
              <w:left w:val="nil"/>
              <w:bottom w:val="inset"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inset"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inset"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inset"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inset"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inset" w:color="auto" w:sz="8" w:space="0"/>
              <w:right w:val="single" w:color="auto" w:sz="8" w:space="0"/>
            </w:tcBorders>
            <w:noWrap w:val="0"/>
            <w:vAlign w:val="top"/>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inset" w:color="auto" w:sz="8" w:space="0"/>
              <w:right w:val="single" w:color="auto" w:sz="8" w:space="0"/>
            </w:tcBorders>
            <w:noWrap w:val="0"/>
            <w:vAlign w:val="top"/>
          </w:tcPr>
          <w:p>
            <w:pPr>
              <w:spacing w:before="0" w:beforeAutospacing="0" w:after="0" w:afterAutospacing="0"/>
              <w:ind w:left="0" w:right="0"/>
              <w:jc w:val="center"/>
              <w:rPr>
                <w:rFonts w:hint="eastAsia" w:ascii="Calibri" w:hAnsi="Calibri"/>
                <w:color w:val="333333"/>
                <w:spacing w:val="0"/>
                <w:sz w:val="20"/>
                <w:szCs w:val="20"/>
                <w:lang w:val="en-US" w:eastAsia="zh-CN"/>
              </w:rPr>
            </w:pP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restart"/>
            <w:tcBorders>
              <w:top w:val="inset" w:color="auto" w:sz="8" w:space="0"/>
              <w:left w:val="nil"/>
              <w:bottom w:val="inset" w:color="auto" w:sz="8" w:space="0"/>
              <w:right w:val="single" w:color="auto" w:sz="8" w:space="0"/>
            </w:tcBorders>
            <w:noWrap w:val="0"/>
            <w:vAlign w:val="center"/>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（六）其他处理</w:t>
            </w:r>
          </w:p>
        </w:tc>
        <w:tc>
          <w:tcPr>
            <w:tcW w:w="3272" w:type="dxa"/>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0"/>
                <w:szCs w:val="20"/>
              </w:rPr>
            </w:pPr>
            <w:r>
              <w:rPr>
                <w:rFonts w:hint="eastAsia" w:ascii="宋体" w:eastAsia="宋体"/>
                <w:color w:val="333333"/>
                <w:spacing w:val="0"/>
                <w:sz w:val="20"/>
                <w:szCs w:val="20"/>
              </w:rPr>
              <w:t>1.申请人无正当理由逾期不补正、行政机关不再处理其政府信息公开申请</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4"/>
                <w:szCs w:val="24"/>
              </w:rPr>
            </w:pP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4"/>
                <w:szCs w:val="24"/>
              </w:rPr>
            </w:pP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4"/>
                <w:szCs w:val="24"/>
              </w:rPr>
            </w:pP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4"/>
                <w:szCs w:val="24"/>
              </w:rPr>
            </w:pP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4"/>
                <w:szCs w:val="24"/>
              </w:rPr>
            </w:pP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4"/>
                <w:szCs w:val="24"/>
              </w:rPr>
            </w:pP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color w:val="333333"/>
                <w:spacing w:val="0"/>
                <w:sz w:val="20"/>
                <w:szCs w:val="20"/>
                <w:lang w:val="en-US" w:eastAsia="zh-CN"/>
              </w:rPr>
            </w:pP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inset" w:color="auto" w:sz="8" w:space="0"/>
              <w:left w:val="nil"/>
              <w:bottom w:val="inset" w:color="auto" w:sz="8" w:space="0"/>
              <w:right w:val="single" w:color="auto" w:sz="8" w:space="0"/>
            </w:tcBorders>
            <w:noWrap w:val="0"/>
            <w:vAlign w:val="center"/>
          </w:tcPr>
          <w:p/>
        </w:tc>
        <w:tc>
          <w:tcPr>
            <w:tcW w:w="3272" w:type="dxa"/>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0"/>
                <w:szCs w:val="20"/>
              </w:rPr>
            </w:pPr>
            <w:r>
              <w:rPr>
                <w:rFonts w:hint="eastAsia" w:ascii="宋体" w:eastAsia="宋体"/>
                <w:color w:val="333333"/>
                <w:spacing w:val="0"/>
                <w:sz w:val="20"/>
                <w:szCs w:val="20"/>
              </w:rPr>
              <w:t>2.申请人逾期未按收费通知要求缴纳费用、行政机关不再处理其政府信息公开申请</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4"/>
                <w:szCs w:val="24"/>
              </w:rPr>
            </w:pP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4"/>
                <w:szCs w:val="24"/>
              </w:rPr>
            </w:pP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4"/>
                <w:szCs w:val="24"/>
              </w:rPr>
            </w:pP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4"/>
                <w:szCs w:val="24"/>
              </w:rPr>
            </w:pP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4"/>
                <w:szCs w:val="24"/>
              </w:rPr>
            </w:pP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rPr>
                <w:rFonts w:hint="eastAsia" w:ascii="宋体" w:eastAsia="宋体"/>
                <w:color w:val="333333"/>
                <w:spacing w:val="0"/>
                <w:sz w:val="24"/>
                <w:szCs w:val="24"/>
              </w:rPr>
            </w:pP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color w:val="333333"/>
                <w:spacing w:val="0"/>
                <w:sz w:val="20"/>
                <w:szCs w:val="20"/>
                <w:lang w:val="en-US" w:eastAsia="zh-CN"/>
              </w:rPr>
            </w:pP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921" w:type="dxa"/>
            <w:vMerge w:val="continue"/>
            <w:tcBorders>
              <w:top w:val="inset" w:color="auto" w:sz="8" w:space="0"/>
              <w:left w:val="nil"/>
              <w:bottom w:val="inset" w:color="auto" w:sz="8" w:space="0"/>
              <w:right w:val="single" w:color="auto" w:sz="8" w:space="0"/>
            </w:tcBorders>
            <w:noWrap w:val="0"/>
            <w:vAlign w:val="center"/>
          </w:tcPr>
          <w:p/>
        </w:tc>
        <w:tc>
          <w:tcPr>
            <w:tcW w:w="3272"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3.其他</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color w:val="333333"/>
                <w:spacing w:val="0"/>
                <w:sz w:val="20"/>
                <w:szCs w:val="20"/>
                <w:lang w:val="en-US" w:eastAsia="zh-CN"/>
              </w:rPr>
            </w:pP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cBorders>
            <w:noWrap w:val="0"/>
            <w:vAlign w:val="center"/>
          </w:tcPr>
          <w:p/>
        </w:tc>
        <w:tc>
          <w:tcPr>
            <w:tcW w:w="4193" w:type="dxa"/>
            <w:gridSpan w:val="2"/>
            <w:tcBorders>
              <w:top w:val="nil"/>
              <w:left w:val="nil"/>
              <w:bottom w:val="single" w:color="auto" w:sz="8" w:space="0"/>
              <w:right w:val="single" w:color="auto" w:sz="8" w:space="0"/>
            </w:tcBorders>
            <w:noWrap w:val="0"/>
            <w:vAlign w:val="center"/>
          </w:tcPr>
          <w:p>
            <w:pPr>
              <w:spacing w:before="0" w:beforeAutospacing="0" w:after="0" w:afterAutospacing="0"/>
              <w:ind w:left="0" w:right="0"/>
              <w:jc w:val="left"/>
              <w:rPr>
                <w:rFonts w:hint="eastAsia" w:ascii="宋体" w:eastAsia="宋体"/>
                <w:color w:val="333333"/>
                <w:spacing w:val="0"/>
                <w:sz w:val="20"/>
                <w:szCs w:val="20"/>
              </w:rPr>
            </w:pPr>
            <w:r>
              <w:rPr>
                <w:rFonts w:hint="eastAsia" w:ascii="宋体" w:eastAsia="宋体"/>
                <w:color w:val="333333"/>
                <w:spacing w:val="0"/>
                <w:sz w:val="20"/>
                <w:szCs w:val="20"/>
              </w:rPr>
              <w:t>（七）总计</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default" w:ascii="Calibri" w:hAnsi="Calibri"/>
                <w:color w:val="333333"/>
                <w:spacing w:val="0"/>
                <w:sz w:val="20"/>
                <w:szCs w:val="20"/>
                <w:lang w:val="en-US" w:eastAsia="zh-CN"/>
              </w:rPr>
            </w:pPr>
            <w:r>
              <w:rPr>
                <w:rFonts w:hint="eastAsia" w:ascii="Calibri" w:hAnsi="Calibri"/>
                <w:color w:val="333333"/>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47" w:type="dxa"/>
            <w:gridSpan w:val="3"/>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left"/>
              <w:rPr>
                <w:rFonts w:hint="default" w:ascii="Calibri" w:hAnsi="Calibri" w:eastAsia="宋体"/>
                <w:color w:val="333333"/>
                <w:spacing w:val="0"/>
                <w:sz w:val="20"/>
                <w:szCs w:val="20"/>
              </w:rPr>
            </w:pPr>
            <w:r>
              <w:rPr>
                <w:rFonts w:hint="eastAsia" w:ascii="宋体" w:eastAsia="宋体"/>
                <w:color w:val="333333"/>
                <w:spacing w:val="0"/>
                <w:sz w:val="20"/>
                <w:szCs w:val="20"/>
              </w:rPr>
              <w:t>四、结转下年度继续办理</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center"/>
          </w:tcPr>
          <w:p>
            <w:pPr>
              <w:spacing w:before="0" w:beforeAutospacing="0" w:after="0" w:afterAutospacing="0"/>
              <w:ind w:left="0" w:right="0"/>
              <w:jc w:val="center"/>
              <w:rPr>
                <w:rFonts w:hint="default" w:ascii="Calibri" w:hAnsi="Calibri" w:eastAsia="宋体"/>
                <w:color w:val="333333"/>
                <w:spacing w:val="0"/>
                <w:sz w:val="20"/>
                <w:szCs w:val="20"/>
              </w:rPr>
            </w:pPr>
            <w:r>
              <w:rPr>
                <w:rFonts w:hint="default" w:ascii="Calibri" w:hAnsi="Calibri" w:eastAsia="宋体"/>
                <w:color w:val="333333"/>
                <w:spacing w:val="0"/>
                <w:sz w:val="20"/>
                <w:szCs w:val="20"/>
              </w:rPr>
              <w:t> </w:t>
            </w:r>
          </w:p>
        </w:tc>
        <w:tc>
          <w:tcPr>
            <w:tcW w:w="686" w:type="dxa"/>
            <w:tcBorders>
              <w:top w:val="nil"/>
              <w:left w:val="nil"/>
              <w:bottom w:val="single" w:color="auto" w:sz="8" w:space="0"/>
              <w:right w:val="single" w:color="auto" w:sz="8" w:space="0"/>
            </w:tcBorders>
            <w:noWrap w:val="0"/>
            <w:vAlign w:val="top"/>
          </w:tcPr>
          <w:p>
            <w:pPr>
              <w:spacing w:before="0" w:beforeAutospacing="0" w:after="0" w:afterAutospacing="0"/>
              <w:ind w:left="0" w:right="0"/>
              <w:jc w:val="center"/>
              <w:rPr>
                <w:rFonts w:hint="eastAsia" w:ascii="Calibri" w:hAnsi="Calibri"/>
                <w:color w:val="333333"/>
                <w:spacing w:val="0"/>
                <w:sz w:val="20"/>
                <w:szCs w:val="20"/>
                <w:lang w:val="en-US" w:eastAsia="zh-CN"/>
              </w:rPr>
            </w:pPr>
            <w:r>
              <w:rPr>
                <w:rFonts w:hint="eastAsia" w:ascii="Calibri" w:hAnsi="Calibri"/>
                <w:color w:val="333333"/>
                <w:spacing w:val="0"/>
                <w:sz w:val="20"/>
                <w:szCs w:val="20"/>
                <w:lang w:val="en-US" w:eastAsia="zh-CN"/>
              </w:rPr>
              <w:t>0</w:t>
            </w:r>
          </w:p>
        </w:tc>
      </w:tr>
    </w:tbl>
    <w:p>
      <w:pPr>
        <w:shd w:val="clear" w:color="auto" w:fill="FFFFFF"/>
        <w:spacing w:before="0" w:beforeAutospacing="0" w:after="0" w:afterAutospacing="0"/>
        <w:ind w:left="0" w:right="0" w:firstLine="0"/>
        <w:jc w:val="both"/>
        <w:rPr>
          <w:rFonts w:hint="eastAsia" w:ascii="宋体" w:eastAsia="宋体"/>
          <w:color w:val="333333"/>
          <w:spacing w:val="0"/>
          <w:sz w:val="24"/>
          <w:szCs w:val="24"/>
        </w:rPr>
      </w:pPr>
    </w:p>
    <w:p>
      <w:pPr>
        <w:pStyle w:val="4"/>
        <w:numPr>
          <w:ilvl w:val="0"/>
          <w:numId w:val="0"/>
        </w:numPr>
        <w:shd w:val="clear" w:color="auto" w:fill="FFFFFF"/>
        <w:spacing w:before="0" w:beforeAutospacing="0" w:after="0" w:afterAutospacing="0"/>
        <w:ind w:left="480" w:leftChars="0" w:right="0" w:rightChars="0"/>
        <w:rPr>
          <w:rFonts w:hint="eastAsia" w:ascii="黑体" w:hAnsi="黑体" w:eastAsia="黑体" w:cs="黑体"/>
          <w:b w:val="0"/>
          <w:bCs w:val="0"/>
          <w:color w:val="333333"/>
          <w:spacing w:val="0"/>
          <w:sz w:val="24"/>
          <w:szCs w:val="24"/>
        </w:rPr>
      </w:pPr>
      <w:r>
        <w:rPr>
          <w:rFonts w:hint="eastAsia" w:ascii="黑体" w:hAnsi="黑体" w:eastAsia="黑体" w:cs="黑体"/>
          <w:b w:val="0"/>
          <w:bCs w:val="0"/>
          <w:color w:val="333333"/>
          <w:spacing w:val="0"/>
          <w:sz w:val="32"/>
          <w:szCs w:val="32"/>
        </w:rPr>
        <w:t>四、政府信息公开行政复议、行政诉讼情况</w:t>
      </w:r>
      <w:r>
        <w:rPr>
          <w:rFonts w:hint="eastAsia" w:ascii="黑体" w:hAnsi="黑体" w:eastAsia="黑体" w:cs="黑体"/>
          <w:b w:val="0"/>
          <w:bCs w:val="0"/>
          <w:color w:val="333333"/>
          <w:spacing w:val="0"/>
          <w:sz w:val="24"/>
          <w:szCs w:val="24"/>
        </w:rPr>
        <w:br w:type="textWrapping"/>
      </w: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结果维持</w:t>
            </w:r>
          </w:p>
        </w:tc>
        <w:tc>
          <w:tcPr>
            <w:tcW w:w="649" w:type="dxa"/>
            <w:vMerge w:val="restart"/>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结果</w:t>
            </w:r>
            <w:r>
              <w:rPr>
                <w:rFonts w:hint="eastAsia" w:ascii="宋体" w:eastAsia="宋体"/>
                <w:color w:val="333333"/>
                <w:spacing w:val="0"/>
                <w:sz w:val="20"/>
                <w:szCs w:val="20"/>
              </w:rPr>
              <w:br w:type="textWrapping"/>
            </w:r>
            <w:r>
              <w:rPr>
                <w:rFonts w:hint="eastAsia" w:ascii="宋体" w:eastAsia="宋体"/>
                <w:color w:val="333333"/>
                <w:spacing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其他</w:t>
            </w:r>
            <w:r>
              <w:rPr>
                <w:rFonts w:hint="eastAsia" w:ascii="宋体" w:eastAsia="宋体"/>
                <w:color w:val="333333"/>
                <w:spacing w:val="0"/>
                <w:sz w:val="20"/>
                <w:szCs w:val="20"/>
              </w:rPr>
              <w:br w:type="textWrapping"/>
            </w:r>
            <w:r>
              <w:rPr>
                <w:rFonts w:hint="eastAsia" w:ascii="宋体" w:eastAsia="宋体"/>
                <w:color w:val="333333"/>
                <w:spacing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尚未</w:t>
            </w:r>
            <w:r>
              <w:rPr>
                <w:rFonts w:hint="eastAsia" w:ascii="宋体" w:eastAsia="宋体"/>
                <w:color w:val="333333"/>
                <w:spacing w:val="0"/>
                <w:sz w:val="20"/>
                <w:szCs w:val="20"/>
              </w:rPr>
              <w:br w:type="textWrapping"/>
            </w:r>
            <w:r>
              <w:rPr>
                <w:rFonts w:hint="eastAsia" w:ascii="宋体" w:eastAsia="宋体"/>
                <w:color w:val="333333"/>
                <w:spacing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vAlign w:val="center"/>
          </w:tcPr>
          <w:p/>
        </w:tc>
        <w:tc>
          <w:tcPr>
            <w:tcW w:w="649" w:type="dxa"/>
            <w:vMerge w:val="continue"/>
            <w:tcBorders>
              <w:top w:val="nil"/>
              <w:left w:val="single" w:color="auto" w:sz="8" w:space="0"/>
              <w:bottom w:val="single" w:color="auto" w:sz="8" w:space="0"/>
              <w:right w:val="single" w:color="auto" w:sz="8" w:space="0"/>
            </w:tcBorders>
            <w:noWrap w:val="0"/>
            <w:vAlign w:val="center"/>
          </w:tc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tc>
        <w:tc>
          <w:tcPr>
            <w:tcW w:w="649"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结果</w:t>
            </w:r>
            <w:r>
              <w:rPr>
                <w:rFonts w:hint="eastAsia" w:ascii="宋体" w:eastAsia="宋体"/>
                <w:color w:val="333333"/>
                <w:spacing w:val="0"/>
                <w:sz w:val="20"/>
                <w:szCs w:val="20"/>
              </w:rPr>
              <w:br w:type="textWrapping"/>
            </w:r>
            <w:r>
              <w:rPr>
                <w:rFonts w:hint="eastAsia" w:ascii="宋体" w:eastAsia="宋体"/>
                <w:color w:val="333333"/>
                <w:spacing w:val="0"/>
                <w:sz w:val="20"/>
                <w:szCs w:val="20"/>
              </w:rPr>
              <w:t>维持</w:t>
            </w:r>
          </w:p>
        </w:tc>
        <w:tc>
          <w:tcPr>
            <w:tcW w:w="649"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结果</w:t>
            </w:r>
            <w:r>
              <w:rPr>
                <w:rFonts w:hint="eastAsia" w:ascii="宋体" w:eastAsia="宋体"/>
                <w:color w:val="333333"/>
                <w:spacing w:val="0"/>
                <w:sz w:val="20"/>
                <w:szCs w:val="20"/>
              </w:rPr>
              <w:br w:type="textWrapping"/>
            </w:r>
            <w:r>
              <w:rPr>
                <w:rFonts w:hint="eastAsia" w:ascii="宋体" w:eastAsia="宋体"/>
                <w:color w:val="333333"/>
                <w:spacing w:val="0"/>
                <w:sz w:val="20"/>
                <w:szCs w:val="20"/>
              </w:rPr>
              <w:t>纠正</w:t>
            </w:r>
          </w:p>
        </w:tc>
        <w:tc>
          <w:tcPr>
            <w:tcW w:w="650" w:type="dxa"/>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其他</w:t>
            </w:r>
            <w:r>
              <w:rPr>
                <w:rFonts w:hint="eastAsia" w:ascii="宋体" w:eastAsia="宋体"/>
                <w:color w:val="333333"/>
                <w:spacing w:val="0"/>
                <w:sz w:val="20"/>
                <w:szCs w:val="20"/>
              </w:rPr>
              <w:br w:type="textWrapping"/>
            </w:r>
            <w:r>
              <w:rPr>
                <w:rFonts w:hint="eastAsia" w:ascii="宋体" w:eastAsia="宋体"/>
                <w:color w:val="333333"/>
                <w:spacing w:val="0"/>
                <w:sz w:val="20"/>
                <w:szCs w:val="20"/>
              </w:rPr>
              <w:t>结果</w:t>
            </w:r>
          </w:p>
        </w:tc>
        <w:tc>
          <w:tcPr>
            <w:tcW w:w="650" w:type="dxa"/>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尚未</w:t>
            </w:r>
            <w:r>
              <w:rPr>
                <w:rFonts w:hint="eastAsia" w:ascii="宋体" w:eastAsia="宋体"/>
                <w:color w:val="333333"/>
                <w:spacing w:val="0"/>
                <w:sz w:val="20"/>
                <w:szCs w:val="20"/>
              </w:rPr>
              <w:br w:type="textWrapping"/>
            </w:r>
            <w:r>
              <w:rPr>
                <w:rFonts w:hint="eastAsia" w:ascii="宋体" w:eastAsia="宋体"/>
                <w:color w:val="333333"/>
                <w:spacing w:val="0"/>
                <w:sz w:val="20"/>
                <w:szCs w:val="20"/>
              </w:rPr>
              <w:t>审结</w:t>
            </w:r>
          </w:p>
        </w:tc>
        <w:tc>
          <w:tcPr>
            <w:tcW w:w="650" w:type="dxa"/>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000000"/>
                <w:spacing w:val="0"/>
                <w:sz w:val="20"/>
                <w:szCs w:val="20"/>
              </w:rPr>
              <w:t>总计</w:t>
            </w:r>
          </w:p>
        </w:tc>
        <w:tc>
          <w:tcPr>
            <w:tcW w:w="651" w:type="dxa"/>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结果</w:t>
            </w:r>
            <w:r>
              <w:rPr>
                <w:rFonts w:hint="eastAsia" w:ascii="宋体" w:eastAsia="宋体"/>
                <w:color w:val="333333"/>
                <w:spacing w:val="0"/>
                <w:sz w:val="20"/>
                <w:szCs w:val="20"/>
              </w:rPr>
              <w:br w:type="textWrapping"/>
            </w:r>
            <w:r>
              <w:rPr>
                <w:rFonts w:hint="eastAsia" w:ascii="宋体" w:eastAsia="宋体"/>
                <w:color w:val="333333"/>
                <w:spacing w:val="0"/>
                <w:sz w:val="20"/>
                <w:szCs w:val="20"/>
              </w:rPr>
              <w:t>维持</w:t>
            </w:r>
          </w:p>
        </w:tc>
        <w:tc>
          <w:tcPr>
            <w:tcW w:w="651" w:type="dxa"/>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结果</w:t>
            </w:r>
            <w:r>
              <w:rPr>
                <w:rFonts w:hint="eastAsia" w:ascii="宋体" w:eastAsia="宋体"/>
                <w:color w:val="333333"/>
                <w:spacing w:val="0"/>
                <w:sz w:val="20"/>
                <w:szCs w:val="20"/>
              </w:rPr>
              <w:br w:type="textWrapping"/>
            </w:r>
            <w:r>
              <w:rPr>
                <w:rFonts w:hint="eastAsia" w:ascii="宋体" w:eastAsia="宋体"/>
                <w:color w:val="333333"/>
                <w:spacing w:val="0"/>
                <w:sz w:val="20"/>
                <w:szCs w:val="20"/>
              </w:rPr>
              <w:t>纠正</w:t>
            </w:r>
          </w:p>
        </w:tc>
        <w:tc>
          <w:tcPr>
            <w:tcW w:w="651" w:type="dxa"/>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000000"/>
                <w:spacing w:val="0"/>
                <w:sz w:val="20"/>
                <w:szCs w:val="20"/>
              </w:rPr>
              <w:t>其他</w:t>
            </w:r>
            <w:r>
              <w:rPr>
                <w:rFonts w:hint="eastAsia" w:ascii="宋体" w:eastAsia="宋体"/>
                <w:color w:val="000000"/>
                <w:spacing w:val="0"/>
                <w:sz w:val="20"/>
                <w:szCs w:val="20"/>
              </w:rPr>
              <w:br w:type="textWrapping"/>
            </w:r>
            <w:r>
              <w:rPr>
                <w:rFonts w:hint="eastAsia" w:ascii="宋体" w:eastAsia="宋体"/>
                <w:color w:val="000000"/>
                <w:spacing w:val="0"/>
                <w:sz w:val="20"/>
                <w:szCs w:val="20"/>
              </w:rPr>
              <w:t>结果</w:t>
            </w:r>
          </w:p>
        </w:tc>
        <w:tc>
          <w:tcPr>
            <w:tcW w:w="651" w:type="dxa"/>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333333"/>
                <w:spacing w:val="0"/>
                <w:sz w:val="20"/>
                <w:szCs w:val="20"/>
              </w:rPr>
              <w:t>尚未</w:t>
            </w:r>
            <w:r>
              <w:rPr>
                <w:rFonts w:hint="eastAsia" w:ascii="宋体" w:eastAsia="宋体"/>
                <w:color w:val="333333"/>
                <w:spacing w:val="0"/>
                <w:sz w:val="20"/>
                <w:szCs w:val="20"/>
              </w:rPr>
              <w:br w:type="textWrapping"/>
            </w:r>
            <w:r>
              <w:rPr>
                <w:rFonts w:hint="eastAsia" w:ascii="宋体" w:eastAsia="宋体"/>
                <w:color w:val="333333"/>
                <w:spacing w:val="0"/>
                <w:sz w:val="20"/>
                <w:szCs w:val="20"/>
              </w:rPr>
              <w:t>审结</w:t>
            </w:r>
          </w:p>
        </w:tc>
        <w:tc>
          <w:tcPr>
            <w:tcW w:w="651" w:type="dxa"/>
            <w:tcBorders>
              <w:top w:val="single" w:color="auto" w:sz="8" w:space="0"/>
              <w:left w:val="single" w:color="auto" w:sz="8" w:space="0"/>
              <w:bottom w:val="single" w:color="auto" w:sz="8" w:space="0"/>
              <w:right w:val="single" w:color="auto" w:sz="8" w:space="0"/>
            </w:tcBorders>
            <w:noWrap w:val="0"/>
            <w:vAlign w:val="center"/>
          </w:tcPr>
          <w:p>
            <w:pPr>
              <w:spacing w:before="0" w:beforeAutospacing="0" w:after="0" w:afterAutospacing="0"/>
              <w:ind w:left="0" w:right="0" w:firstLine="0"/>
              <w:jc w:val="center"/>
              <w:rPr>
                <w:rFonts w:hint="eastAsia" w:ascii="黑体" w:eastAsia="黑体"/>
                <w:color w:val="333333"/>
                <w:spacing w:val="0"/>
                <w:sz w:val="20"/>
                <w:szCs w:val="20"/>
              </w:rPr>
            </w:pPr>
            <w:r>
              <w:rPr>
                <w:rFonts w:hint="eastAsia" w:ascii="宋体" w:eastAsia="宋体"/>
                <w:color w:val="000000"/>
                <w:spacing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rPr>
            </w:pPr>
          </w:p>
        </w:tc>
        <w:tc>
          <w:tcPr>
            <w:tcW w:w="649"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rPr>
            </w:pPr>
          </w:p>
        </w:tc>
        <w:tc>
          <w:tcPr>
            <w:tcW w:w="649"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rPr>
            </w:pPr>
          </w:p>
        </w:tc>
        <w:tc>
          <w:tcPr>
            <w:tcW w:w="649"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rPr>
            </w:pPr>
          </w:p>
        </w:tc>
        <w:tc>
          <w:tcPr>
            <w:tcW w:w="649"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lang w:val="en-US" w:eastAsia="zh-CN"/>
              </w:rPr>
            </w:pPr>
            <w:r>
              <w:rPr>
                <w:rFonts w:hint="eastAsia"/>
                <w:color w:val="333333"/>
                <w:spacing w:val="0"/>
                <w:sz w:val="24"/>
                <w:szCs w:val="24"/>
                <w:lang w:val="en-US" w:eastAsia="zh-CN"/>
              </w:rPr>
              <w:t>0</w:t>
            </w:r>
          </w:p>
        </w:tc>
        <w:tc>
          <w:tcPr>
            <w:tcW w:w="649"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rPr>
            </w:pPr>
          </w:p>
        </w:tc>
        <w:tc>
          <w:tcPr>
            <w:tcW w:w="649"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rPr>
            </w:pPr>
          </w:p>
        </w:tc>
        <w:tc>
          <w:tcPr>
            <w:tcW w:w="650"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rPr>
            </w:pPr>
          </w:p>
        </w:tc>
        <w:tc>
          <w:tcPr>
            <w:tcW w:w="650"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rPr>
            </w:pPr>
          </w:p>
        </w:tc>
        <w:tc>
          <w:tcPr>
            <w:tcW w:w="650"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lang w:val="en-US" w:eastAsia="zh-CN"/>
              </w:rPr>
            </w:pPr>
            <w:r>
              <w:rPr>
                <w:rFonts w:hint="eastAsia"/>
                <w:color w:val="333333"/>
                <w:spacing w:val="0"/>
                <w:sz w:val="24"/>
                <w:szCs w:val="24"/>
                <w:lang w:val="en-US" w:eastAsia="zh-CN"/>
              </w:rPr>
              <w:t>0</w:t>
            </w:r>
          </w:p>
        </w:tc>
        <w:tc>
          <w:tcPr>
            <w:tcW w:w="651"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rPr>
            </w:pPr>
          </w:p>
        </w:tc>
        <w:tc>
          <w:tcPr>
            <w:tcW w:w="651"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rPr>
            </w:pPr>
          </w:p>
        </w:tc>
        <w:tc>
          <w:tcPr>
            <w:tcW w:w="651"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rPr>
            </w:pPr>
          </w:p>
        </w:tc>
        <w:tc>
          <w:tcPr>
            <w:tcW w:w="651"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rPr>
            </w:pPr>
          </w:p>
        </w:tc>
        <w:tc>
          <w:tcPr>
            <w:tcW w:w="651" w:type="dxa"/>
            <w:tcBorders>
              <w:top w:val="nil"/>
              <w:left w:val="single" w:color="auto" w:sz="8" w:space="0"/>
              <w:bottom w:val="single" w:color="auto" w:sz="8" w:space="0"/>
              <w:right w:val="single" w:color="auto" w:sz="8" w:space="0"/>
            </w:tcBorders>
            <w:noWrap w:val="0"/>
            <w:vAlign w:val="center"/>
          </w:tcPr>
          <w:p>
            <w:pPr>
              <w:spacing w:before="0" w:beforeAutospacing="0" w:after="0" w:afterAutospacing="0"/>
              <w:ind w:left="0" w:right="0"/>
              <w:jc w:val="center"/>
              <w:rPr>
                <w:rFonts w:hint="eastAsia" w:ascii="宋体" w:eastAsia="宋体"/>
                <w:color w:val="333333"/>
                <w:spacing w:val="0"/>
                <w:sz w:val="24"/>
                <w:szCs w:val="24"/>
                <w:lang w:val="en-US" w:eastAsia="zh-CN"/>
              </w:rPr>
            </w:pPr>
            <w:r>
              <w:rPr>
                <w:rFonts w:hint="eastAsia"/>
                <w:color w:val="333333"/>
                <w:spacing w:val="0"/>
                <w:sz w:val="24"/>
                <w:szCs w:val="24"/>
                <w:lang w:val="en-US" w:eastAsia="zh-CN"/>
              </w:rPr>
              <w:t>0</w:t>
            </w:r>
          </w:p>
        </w:tc>
      </w:tr>
    </w:tbl>
    <w:p>
      <w:pPr>
        <w:rPr>
          <w:rFonts w:hint="eastAsia" w:ascii="黑体" w:hAnsi="黑体" w:eastAsia="黑体" w:cs="黑体"/>
          <w:b w:val="0"/>
          <w:bCs w:val="0"/>
        </w:rPr>
      </w:pPr>
    </w:p>
    <w:p>
      <w:pPr>
        <w:pStyle w:val="4"/>
        <w:numPr>
          <w:ilvl w:val="0"/>
          <w:numId w:val="1"/>
        </w:numPr>
        <w:shd w:val="clear" w:color="auto" w:fill="FFFFFF"/>
        <w:spacing w:before="0" w:beforeAutospacing="0" w:after="0" w:afterAutospacing="0"/>
        <w:ind w:left="0" w:right="0" w:firstLine="480"/>
        <w:rPr>
          <w:rFonts w:hint="eastAsia" w:ascii="黑体" w:hAnsi="黑体" w:eastAsia="黑体" w:cs="黑体"/>
          <w:b w:val="0"/>
          <w:bCs w:val="0"/>
          <w:color w:val="333333"/>
          <w:spacing w:val="0"/>
          <w:sz w:val="32"/>
          <w:szCs w:val="32"/>
        </w:rPr>
      </w:pPr>
      <w:r>
        <w:rPr>
          <w:rFonts w:hint="eastAsia" w:ascii="黑体" w:hAnsi="黑体" w:eastAsia="黑体" w:cs="黑体"/>
          <w:b w:val="0"/>
          <w:bCs w:val="0"/>
          <w:color w:val="333333"/>
          <w:spacing w:val="0"/>
          <w:sz w:val="32"/>
          <w:szCs w:val="32"/>
        </w:rPr>
        <w:t>存在的主要问题及改进情况</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方正仿宋_GBK" w:hAnsi="方正仿宋_GBK" w:eastAsia="方正仿宋_GBK" w:cs="方正仿宋_GBK"/>
          <w:b w:val="0"/>
          <w:bCs w:val="0"/>
          <w:color w:val="333333"/>
          <w:spacing w:val="0"/>
          <w:sz w:val="32"/>
          <w:szCs w:val="32"/>
          <w:lang w:val="en-US" w:eastAsia="zh-CN"/>
        </w:rPr>
      </w:pPr>
      <w:r>
        <w:rPr>
          <w:rFonts w:hint="eastAsia" w:ascii="方正仿宋_GBK" w:hAnsi="方正仿宋_GBK" w:eastAsia="方正仿宋_GBK" w:cs="方正仿宋_GBK"/>
          <w:b w:val="0"/>
          <w:bCs w:val="0"/>
          <w:color w:val="333333"/>
          <w:spacing w:val="0"/>
          <w:sz w:val="32"/>
          <w:szCs w:val="32"/>
          <w:lang w:val="en-US" w:eastAsia="zh-CN"/>
        </w:rPr>
        <w:t xml:space="preserve">政府信息公开工作虽然取得了好的成效，但也存在一些不足之处。一是政府信息公开的内容不尽全面，时效性有待提高，政府信息公开形式较单一；二是政务公开监督机制还不健全；三是干部队伍建设需进一步加强。    </w:t>
      </w:r>
    </w:p>
    <w:p>
      <w:pPr>
        <w:pStyle w:val="4"/>
        <w:numPr>
          <w:ilvl w:val="0"/>
          <w:numId w:val="0"/>
        </w:numPr>
        <w:shd w:val="clear" w:color="auto" w:fill="FFFFFF"/>
        <w:spacing w:before="0" w:beforeAutospacing="0" w:after="0" w:afterAutospacing="0"/>
        <w:ind w:right="0" w:rightChars="0" w:firstLine="640" w:firstLineChars="200"/>
        <w:jc w:val="both"/>
        <w:rPr>
          <w:rFonts w:hint="eastAsia" w:ascii="方正仿宋_GBK" w:hAnsi="方正仿宋_GBK" w:eastAsia="方正仿宋_GBK" w:cs="方正仿宋_GBK"/>
          <w:b w:val="0"/>
          <w:bCs w:val="0"/>
          <w:color w:val="333333"/>
          <w:spacing w:val="0"/>
          <w:sz w:val="32"/>
          <w:szCs w:val="32"/>
          <w:lang w:val="en-US" w:eastAsia="zh-CN"/>
        </w:rPr>
      </w:pPr>
      <w:r>
        <w:rPr>
          <w:rFonts w:hint="eastAsia" w:ascii="方正仿宋_GBK" w:hAnsi="方正仿宋_GBK" w:eastAsia="方正仿宋_GBK" w:cs="方正仿宋_GBK"/>
          <w:b w:val="0"/>
          <w:bCs w:val="0"/>
          <w:color w:val="333333"/>
          <w:spacing w:val="0"/>
          <w:sz w:val="32"/>
          <w:szCs w:val="32"/>
          <w:lang w:val="en-US" w:eastAsia="zh-CN"/>
        </w:rPr>
        <w:t>为此，我局将采取以下改进措施：</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方正仿宋_GBK" w:hAnsi="方正仿宋_GBK" w:eastAsia="方正仿宋_GBK" w:cs="方正仿宋_GBK"/>
          <w:b w:val="0"/>
          <w:bCs w:val="0"/>
          <w:color w:val="333333"/>
          <w:spacing w:val="0"/>
          <w:sz w:val="32"/>
          <w:szCs w:val="32"/>
          <w:lang w:val="en-US" w:eastAsia="zh-CN"/>
        </w:rPr>
      </w:pPr>
      <w:r>
        <w:rPr>
          <w:rFonts w:hint="eastAsia" w:ascii="方正楷体简体" w:hAnsi="方正楷体简体" w:eastAsia="方正楷体简体" w:cs="方正楷体简体"/>
          <w:b w:val="0"/>
          <w:bCs w:val="0"/>
          <w:color w:val="333333"/>
          <w:spacing w:val="0"/>
          <w:sz w:val="32"/>
          <w:szCs w:val="32"/>
          <w:lang w:val="en-US" w:eastAsia="zh-CN"/>
        </w:rPr>
        <w:t>（一）提高认识，加强领导。</w:t>
      </w:r>
      <w:r>
        <w:rPr>
          <w:rFonts w:hint="eastAsia" w:ascii="方正仿宋_GBK" w:hAnsi="方正仿宋_GBK" w:eastAsia="方正仿宋_GBK" w:cs="方正仿宋_GBK"/>
          <w:b w:val="0"/>
          <w:bCs w:val="0"/>
          <w:color w:val="333333"/>
          <w:spacing w:val="0"/>
          <w:sz w:val="32"/>
          <w:szCs w:val="32"/>
          <w:lang w:val="en-US" w:eastAsia="zh-CN"/>
        </w:rPr>
        <w:t>进一步提高对政务公开和信息公开工作重要性的认识。继续加强对政务公开和信息公开工作的领导，将政务信息公开工作纳入全局总体工作，一并抓好、落实好。</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left="480" w:leftChars="0" w:right="0" w:rightChars="0" w:firstLine="640" w:firstLineChars="200"/>
        <w:jc w:val="both"/>
        <w:textAlignment w:val="auto"/>
        <w:rPr>
          <w:rFonts w:hint="eastAsia" w:ascii="方正仿宋_GBK" w:hAnsi="方正仿宋_GBK" w:eastAsia="方正仿宋_GBK" w:cs="方正仿宋_GBK"/>
          <w:b w:val="0"/>
          <w:bCs w:val="0"/>
          <w:color w:val="333333"/>
          <w:spacing w:val="0"/>
          <w:sz w:val="32"/>
          <w:szCs w:val="32"/>
          <w:lang w:val="en-US" w:eastAsia="zh-CN"/>
        </w:rPr>
      </w:pP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方正仿宋_GBK" w:hAnsi="方正仿宋_GBK" w:eastAsia="方正仿宋_GBK" w:cs="方正仿宋_GBK"/>
          <w:b w:val="0"/>
          <w:bCs w:val="0"/>
          <w:color w:val="333333"/>
          <w:spacing w:val="0"/>
          <w:sz w:val="32"/>
          <w:szCs w:val="32"/>
          <w:lang w:val="en-US" w:eastAsia="zh-CN"/>
        </w:rPr>
      </w:pPr>
      <w:r>
        <w:rPr>
          <w:rFonts w:hint="eastAsia" w:ascii="方正楷体简体" w:hAnsi="方正楷体简体" w:eastAsia="方正楷体简体" w:cs="方正楷体简体"/>
          <w:b w:val="0"/>
          <w:bCs w:val="0"/>
          <w:color w:val="333333"/>
          <w:spacing w:val="0"/>
          <w:sz w:val="32"/>
          <w:szCs w:val="32"/>
          <w:lang w:val="en-US" w:eastAsia="zh-CN"/>
        </w:rPr>
        <w:t>（二）规范形式，注重实效。</w:t>
      </w:r>
      <w:r>
        <w:rPr>
          <w:rFonts w:hint="eastAsia" w:ascii="方正仿宋_GBK" w:hAnsi="方正仿宋_GBK" w:eastAsia="方正仿宋_GBK" w:cs="方正仿宋_GBK"/>
          <w:b w:val="0"/>
          <w:bCs w:val="0"/>
          <w:color w:val="333333"/>
          <w:spacing w:val="0"/>
          <w:sz w:val="32"/>
          <w:szCs w:val="32"/>
          <w:lang w:val="en-US" w:eastAsia="zh-CN"/>
        </w:rPr>
        <w:t>依照国家法规和政策，建立科学合理、行之有效、具体明确、易于运行操作的运行体系，全面规范政务公开工作，深入实际，办实事、重实效。完善政府信息公开制度，加强各种监督，重视服务性和实效性。对在政务公开工作中造成不良影响的行为，依据有关规定追究责任人的相关责任。</w:t>
      </w:r>
    </w:p>
    <w:p>
      <w:pPr>
        <w:pStyle w:val="4"/>
        <w:numPr>
          <w:ilvl w:val="0"/>
          <w:numId w:val="0"/>
        </w:numPr>
        <w:shd w:val="clear" w:color="auto" w:fill="FFFFFF"/>
        <w:spacing w:before="0" w:beforeAutospacing="0" w:after="0" w:afterAutospacing="0"/>
        <w:ind w:right="0" w:rightChars="0" w:firstLine="640" w:firstLineChars="200"/>
        <w:jc w:val="both"/>
        <w:rPr>
          <w:rFonts w:hint="eastAsia" w:ascii="黑体" w:hAnsi="黑体" w:eastAsia="黑体" w:cs="黑体"/>
          <w:b/>
          <w:bCs/>
          <w:color w:val="333333"/>
          <w:spacing w:val="0"/>
          <w:sz w:val="32"/>
          <w:szCs w:val="32"/>
        </w:rPr>
      </w:pPr>
      <w:r>
        <w:rPr>
          <w:rFonts w:hint="eastAsia" w:ascii="方正楷体简体" w:hAnsi="方正楷体简体" w:eastAsia="方正楷体简体" w:cs="方正楷体简体"/>
          <w:b w:val="0"/>
          <w:bCs w:val="0"/>
          <w:color w:val="333333"/>
          <w:spacing w:val="0"/>
          <w:sz w:val="32"/>
          <w:szCs w:val="32"/>
          <w:lang w:val="en-US" w:eastAsia="zh-CN"/>
        </w:rPr>
        <w:t>（三）做好宣教，优化能力。</w:t>
      </w:r>
      <w:r>
        <w:rPr>
          <w:rFonts w:hint="eastAsia" w:ascii="方正仿宋_GBK" w:hAnsi="方正仿宋_GBK" w:eastAsia="方正仿宋_GBK" w:cs="方正仿宋_GBK"/>
          <w:b w:val="0"/>
          <w:bCs w:val="0"/>
          <w:color w:val="333333"/>
          <w:spacing w:val="0"/>
          <w:sz w:val="32"/>
          <w:szCs w:val="32"/>
          <w:lang w:val="en-US" w:eastAsia="zh-CN"/>
        </w:rPr>
        <w:t>要进一步加强干部队伍的思想政治教育和业务知识培训，不断提高干部队伍的思想政治素质和业务能力水平，增强广大干部职工的责任意识和服务意识，树立良好的单位形象，确保信息公开工作有序开展。</w:t>
      </w:r>
    </w:p>
    <w:p>
      <w:pPr>
        <w:pStyle w:val="4"/>
        <w:numPr>
          <w:ilvl w:val="0"/>
          <w:numId w:val="2"/>
        </w:numPr>
        <w:shd w:val="clear" w:color="auto" w:fill="FFFFFF"/>
        <w:spacing w:before="0" w:beforeAutospacing="0" w:after="0" w:afterAutospacing="0"/>
        <w:ind w:left="0" w:right="0" w:firstLine="480"/>
        <w:rPr>
          <w:rFonts w:hint="eastAsia" w:ascii="黑体" w:hAnsi="黑体" w:eastAsia="黑体" w:cs="黑体"/>
          <w:b w:val="0"/>
          <w:bCs w:val="0"/>
          <w:color w:val="333333"/>
          <w:spacing w:val="0"/>
          <w:sz w:val="32"/>
          <w:szCs w:val="32"/>
        </w:rPr>
      </w:pPr>
      <w:r>
        <w:rPr>
          <w:rFonts w:hint="eastAsia" w:ascii="黑体" w:hAnsi="黑体" w:eastAsia="黑体" w:cs="黑体"/>
          <w:b w:val="0"/>
          <w:bCs w:val="0"/>
          <w:color w:val="333333"/>
          <w:spacing w:val="0"/>
          <w:sz w:val="32"/>
          <w:szCs w:val="32"/>
        </w:rPr>
        <w:t>其他需要报告的事项</w:t>
      </w:r>
    </w:p>
    <w:p>
      <w:pPr>
        <w:pStyle w:val="4"/>
        <w:numPr>
          <w:ilvl w:val="0"/>
          <w:numId w:val="0"/>
        </w:numPr>
        <w:shd w:val="clear" w:color="auto" w:fill="FFFFFF"/>
        <w:spacing w:before="0" w:beforeAutospacing="0" w:after="0" w:afterAutospacing="0"/>
        <w:ind w:right="0" w:rightChars="0" w:firstLine="640" w:firstLineChars="200"/>
        <w:jc w:val="both"/>
        <w:rPr>
          <w:rFonts w:hint="eastAsia" w:ascii="方正仿宋_GBK" w:hAnsi="方正仿宋_GBK" w:eastAsia="方正仿宋_GBK" w:cs="方正仿宋_GBK"/>
          <w:b w:val="0"/>
          <w:bCs w:val="0"/>
          <w:color w:val="333333"/>
          <w:spacing w:val="0"/>
          <w:sz w:val="32"/>
          <w:szCs w:val="32"/>
          <w:lang w:val="en-US" w:eastAsia="zh-CN"/>
        </w:rPr>
      </w:pPr>
      <w:r>
        <w:rPr>
          <w:rFonts w:hint="eastAsia" w:ascii="方正仿宋_GBK" w:hAnsi="方正仿宋_GBK" w:eastAsia="方正仿宋_GBK" w:cs="方正仿宋_GBK"/>
          <w:b w:val="0"/>
          <w:bCs w:val="0"/>
          <w:color w:val="333333"/>
          <w:spacing w:val="0"/>
          <w:sz w:val="32"/>
          <w:szCs w:val="32"/>
          <w:lang w:val="en-US" w:eastAsia="zh-CN"/>
        </w:rPr>
        <w:t>我局暂无其他报告事项。</w:t>
      </w:r>
    </w:p>
    <w:p>
      <w:pPr>
        <w:pStyle w:val="4"/>
        <w:numPr>
          <w:ilvl w:val="0"/>
          <w:numId w:val="0"/>
        </w:numPr>
        <w:shd w:val="clear" w:color="auto" w:fill="FFFFFF"/>
        <w:spacing w:before="0" w:beforeAutospacing="0" w:after="0" w:afterAutospacing="0"/>
        <w:ind w:right="0" w:rightChars="0" w:firstLine="640" w:firstLineChars="200"/>
        <w:jc w:val="both"/>
        <w:rPr>
          <w:rFonts w:hint="eastAsia" w:ascii="方正仿宋_GBK" w:hAnsi="方正仿宋_GBK" w:eastAsia="方正仿宋_GBK" w:cs="方正仿宋_GBK"/>
          <w:b w:val="0"/>
          <w:bCs w:val="0"/>
          <w:color w:val="333333"/>
          <w:spacing w:val="0"/>
          <w:sz w:val="32"/>
          <w:szCs w:val="32"/>
          <w:lang w:val="en-US" w:eastAsia="zh-CN"/>
        </w:rPr>
      </w:pPr>
    </w:p>
    <w:p>
      <w:pPr>
        <w:pStyle w:val="4"/>
        <w:numPr>
          <w:ilvl w:val="0"/>
          <w:numId w:val="0"/>
        </w:numPr>
        <w:shd w:val="clear" w:color="auto" w:fill="FFFFFF"/>
        <w:spacing w:before="0" w:beforeAutospacing="0" w:after="0" w:afterAutospacing="0"/>
        <w:ind w:right="0" w:rightChars="0" w:firstLine="640" w:firstLineChars="200"/>
        <w:jc w:val="both"/>
        <w:rPr>
          <w:rFonts w:hint="eastAsia" w:ascii="方正仿宋_GBK" w:hAnsi="方正仿宋_GBK" w:eastAsia="方正仿宋_GBK" w:cs="方正仿宋_GBK"/>
          <w:b w:val="0"/>
          <w:bCs w:val="0"/>
          <w:color w:val="333333"/>
          <w:spacing w:val="0"/>
          <w:sz w:val="32"/>
          <w:szCs w:val="32"/>
          <w:lang w:val="en-US" w:eastAsia="zh-CN"/>
        </w:rPr>
      </w:pPr>
    </w:p>
    <w:p>
      <w:pPr>
        <w:pStyle w:val="4"/>
        <w:numPr>
          <w:ilvl w:val="0"/>
          <w:numId w:val="0"/>
        </w:numPr>
        <w:shd w:val="clear" w:color="auto" w:fill="FFFFFF"/>
        <w:spacing w:before="0" w:beforeAutospacing="0" w:after="0" w:afterAutospacing="0"/>
        <w:ind w:right="0" w:rightChars="0" w:firstLine="640" w:firstLineChars="200"/>
        <w:jc w:val="both"/>
        <w:rPr>
          <w:rFonts w:hint="default" w:ascii="方正仿宋_GBK" w:hAnsi="方正仿宋_GBK" w:eastAsia="方正仿宋_GBK" w:cs="方正仿宋_GBK"/>
          <w:b w:val="0"/>
          <w:bCs w:val="0"/>
          <w:color w:val="333333"/>
          <w:spacing w:val="0"/>
          <w:sz w:val="32"/>
          <w:szCs w:val="32"/>
          <w:lang w:val="en-US" w:eastAsia="zh-CN"/>
        </w:rPr>
      </w:pPr>
      <w:r>
        <w:rPr>
          <w:rFonts w:hint="eastAsia" w:ascii="方正仿宋_GBK" w:hAnsi="方正仿宋_GBK" w:eastAsia="方正仿宋_GBK" w:cs="方正仿宋_GBK"/>
          <w:b w:val="0"/>
          <w:bCs w:val="0"/>
          <w:color w:val="333333"/>
          <w:spacing w:val="0"/>
          <w:sz w:val="32"/>
          <w:szCs w:val="32"/>
          <w:lang w:val="en-US" w:eastAsia="zh-CN"/>
        </w:rPr>
        <w:t xml:space="preserve"> </w:t>
      </w:r>
    </w:p>
    <w:p>
      <w:pPr>
        <w:pStyle w:val="4"/>
        <w:numPr>
          <w:ilvl w:val="0"/>
          <w:numId w:val="0"/>
        </w:numPr>
        <w:shd w:val="clear" w:color="auto" w:fill="FFFFFF"/>
        <w:spacing w:before="0" w:beforeAutospacing="0" w:after="0" w:afterAutospacing="0"/>
        <w:ind w:right="0" w:rightChars="0" w:firstLine="4480" w:firstLineChars="1400"/>
        <w:jc w:val="both"/>
        <w:rPr>
          <w:rFonts w:hint="eastAsia" w:ascii="方正仿宋_GBK" w:hAnsi="方正仿宋_GBK" w:eastAsia="方正仿宋_GBK" w:cs="方正仿宋_GBK"/>
          <w:b w:val="0"/>
          <w:bCs w:val="0"/>
          <w:color w:val="333333"/>
          <w:spacing w:val="0"/>
          <w:sz w:val="32"/>
          <w:szCs w:val="32"/>
          <w:lang w:val="en-US" w:eastAsia="zh-CN"/>
        </w:rPr>
      </w:pPr>
      <w:r>
        <w:rPr>
          <w:rFonts w:hint="eastAsia" w:ascii="方正仿宋_GBK" w:hAnsi="方正仿宋_GBK" w:eastAsia="方正仿宋_GBK" w:cs="方正仿宋_GBK"/>
          <w:b w:val="0"/>
          <w:bCs w:val="0"/>
          <w:color w:val="333333"/>
          <w:spacing w:val="0"/>
          <w:sz w:val="32"/>
          <w:szCs w:val="32"/>
          <w:lang w:val="en-US" w:eastAsia="zh-CN"/>
        </w:rPr>
        <w:t>2022年1月21日</w:t>
      </w:r>
    </w:p>
    <w:sectPr>
      <w:footerReference r:id="rId3" w:type="default"/>
      <w:footerReference r:id="rId4" w:type="even"/>
      <w:pgSz w:w="11907" w:h="16840"/>
      <w:pgMar w:top="2098" w:right="1474" w:bottom="1985" w:left="1588" w:header="851" w:footer="992"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pBdr>
                            <w:rPr>
                              <w:sz w:val="28"/>
                              <w:szCs w:val="28"/>
                            </w:rPr>
                          </w:pPr>
                          <w:r>
                            <w:rPr>
                              <w:rStyle w:val="7"/>
                              <w:sz w:val="28"/>
                              <w:szCs w:val="28"/>
                            </w:rPr>
                            <w:fldChar w:fldCharType="begin"/>
                          </w:r>
                          <w:r>
                            <w:rPr>
                              <w:rStyle w:val="7"/>
                              <w:sz w:val="28"/>
                              <w:szCs w:val="28"/>
                            </w:rPr>
                            <w:instrText xml:space="preserve">Page</w:instrText>
                          </w:r>
                          <w:r>
                            <w:rPr>
                              <w:rStyle w:val="7"/>
                              <w:sz w:val="28"/>
                              <w:szCs w:val="28"/>
                            </w:rPr>
                            <w:fldChar w:fldCharType="separate"/>
                          </w:r>
                          <w:r>
                            <w:rPr>
                              <w:rStyle w:val="7"/>
                              <w:sz w:val="28"/>
                              <w:szCs w:val="28"/>
                            </w:rPr>
                            <w:t>1</w:t>
                          </w:r>
                          <w:r>
                            <w:rPr>
                              <w:rStyle w:val="7"/>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pBdr>
                      <w:rPr>
                        <w:sz w:val="28"/>
                        <w:szCs w:val="28"/>
                      </w:rPr>
                    </w:pPr>
                    <w:r>
                      <w:rPr>
                        <w:rStyle w:val="7"/>
                        <w:sz w:val="28"/>
                        <w:szCs w:val="28"/>
                      </w:rPr>
                      <w:fldChar w:fldCharType="begin"/>
                    </w:r>
                    <w:r>
                      <w:rPr>
                        <w:rStyle w:val="7"/>
                        <w:sz w:val="28"/>
                        <w:szCs w:val="28"/>
                      </w:rPr>
                      <w:instrText xml:space="preserve">Page</w:instrText>
                    </w:r>
                    <w:r>
                      <w:rPr>
                        <w:rStyle w:val="7"/>
                        <w:sz w:val="28"/>
                        <w:szCs w:val="28"/>
                      </w:rPr>
                      <w:fldChar w:fldCharType="separate"/>
                    </w:r>
                    <w:r>
                      <w:rPr>
                        <w:rStyle w:val="7"/>
                        <w:sz w:val="28"/>
                        <w:szCs w:val="28"/>
                      </w:rPr>
                      <w:t>1</w:t>
                    </w:r>
                    <w:r>
                      <w:rPr>
                        <w:rStyle w:val="7"/>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C245E1"/>
    <w:multiLevelType w:val="singleLevel"/>
    <w:tmpl w:val="EDC245E1"/>
    <w:lvl w:ilvl="0" w:tentative="0">
      <w:start w:val="5"/>
      <w:numFmt w:val="chineseCounting"/>
      <w:suff w:val="nothing"/>
      <w:lvlText w:val="%1、"/>
      <w:lvlJc w:val="left"/>
      <w:rPr>
        <w:rFonts w:hint="eastAsia"/>
      </w:rPr>
    </w:lvl>
  </w:abstractNum>
  <w:abstractNum w:abstractNumId="1">
    <w:nsid w:val="2FB1D7B9"/>
    <w:multiLevelType w:val="singleLevel"/>
    <w:tmpl w:val="2FB1D7B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C0FB6"/>
    <w:rsid w:val="07734638"/>
    <w:rsid w:val="19D83412"/>
    <w:rsid w:val="28903212"/>
    <w:rsid w:val="33F61DA1"/>
    <w:rsid w:val="38FF7F42"/>
    <w:rsid w:val="3B1A2ABB"/>
    <w:rsid w:val="3B88470D"/>
    <w:rsid w:val="5B2C0FB6"/>
    <w:rsid w:val="65875FCD"/>
    <w:rsid w:val="76E32734"/>
    <w:rsid w:val="7C815352"/>
    <w:rsid w:val="7E30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宋体" w:hAnsi="Times New Roman" w:eastAsia="宋体" w:cs="Times New Roman"/>
      <w:kern w:val="2"/>
      <w:sz w:val="24"/>
      <w:szCs w:val="21"/>
      <w:lang w:val="en-US" w:eastAsia="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2022-01-21T02:17:00Z</dcterms:created>
  <dc:creator>wzz</dc:creator>
  <cp:lastModifiedBy>wzz</cp:lastModifiedBy>
  <cp:lastPrinted>2022-01-24T07:41:00Z</cp:lastPrinted>
  <dcterms:modified xsi:type="dcterms:W3CDTF">2022-01-28T07:47:08Z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F0BF41AF9F144C72BB7AF19BF82460E9</vt:lpwstr>
  </property>
</Properties>
</file>