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hint="eastAsia"/>
          <w:lang w:eastAsia="zh-CN"/>
        </w:rPr>
      </w:pPr>
      <w:r>
        <w:rPr>
          <w:rFonts w:ascii="黑体" w:eastAsia="黑体" w:cs="黑体"/>
          <w:b/>
          <w:color w:val="000000"/>
          <w:sz w:val="44"/>
          <w:lang w:eastAsia="zh-CN"/>
        </w:rPr>
        <w:t>河北</w:t>
      </w:r>
      <w:r>
        <w:rPr>
          <w:rFonts w:ascii="黑体" w:eastAsia="黑体" w:cs="黑体" w:hint="eastAsia"/>
          <w:b/>
          <w:color w:val="000000"/>
          <w:sz w:val="44"/>
          <w:lang w:eastAsia="zh-CN"/>
        </w:rPr>
        <w:t>北戴河经济开发区管理委员会所属单位</w:t>
      </w:r>
      <w:r>
        <w:rPr>
          <w:rFonts w:ascii="黑体" w:eastAsia="黑体" w:cs="黑体"/>
          <w:b/>
          <w:color w:val="000000"/>
          <w:sz w:val="44"/>
        </w:rPr>
        <w:t>2022年</w:t>
      </w:r>
      <w:r>
        <w:rPr>
          <w:rFonts w:ascii="黑体" w:eastAsia="黑体" w:cs="黑体" w:hint="eastAsia"/>
          <w:b/>
          <w:color w:val="000000"/>
          <w:sz w:val="44"/>
          <w:lang w:eastAsia="zh-CN"/>
        </w:rPr>
        <w:t>单位</w:t>
      </w:r>
      <w:r>
        <w:rPr>
          <w:rFonts w:ascii="黑体" w:eastAsia="黑体" w:cs="黑体"/>
          <w:b/>
          <w:color w:val="000000"/>
          <w:sz w:val="44"/>
        </w:rPr>
        <w:t>预算信息公开</w:t>
      </w:r>
      <w:r>
        <w:rPr>
          <w:rFonts w:ascii="黑体" w:eastAsia="黑体" w:cs="黑体" w:hint="eastAsia"/>
          <w:b/>
          <w:color w:val="000000"/>
          <w:sz w:val="44"/>
          <w:lang w:eastAsia="zh-CN"/>
        </w:rPr>
        <w:t>目录</w:t>
      </w:r>
    </w:p>
    <w:p>
      <w:pPr>
        <w:jc w:val="center"/>
      </w:pPr>
    </w:p>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一、河北北戴河经济开发区管理委员会（本级）收支预算</w:t>
        <w:tab/>
      </w:r>
      <w:r>
        <w:fldChar w:fldCharType="begin"/>
      </w:r>
      <w:r>
        <w:instrText>PAGEREF _Toc_4_4_0000000019 \h</w:instrText>
      </w:r>
      <w:r>
        <w:fldChar w:fldCharType="separate"/>
      </w:r>
      <w:r>
        <w:t>3</w:t>
      </w:r>
      <w:r>
        <w:fldChar w:fldCharType="end"/>
      </w:r>
      <w:r>
        <w:fldChar w:fldCharType="end"/>
      </w:r>
    </w:p>
    <w:p>
      <w:pPr>
        <w:rPr>
          <w:rFonts w:eastAsia="宋体" w:hint="eastAsia"/>
          <w:lang w:eastAsia="zh-CN"/>
        </w:rPr>
        <w:sectPr>
          <w:pgSz w:w="16840" w:h="11900" w:orient="landscape"/>
          <w:pgMar w:top="1587" w:right="1134" w:bottom="1361" w:left="1134" w:header="720" w:footer="720" w:gutter="0"/>
          <w:pgNumType w:start="1"/>
          <w:docGrid w:linePitch="326" w:charSpace="0"/>
        </w:sectPr>
      </w:pPr>
      <w:r>
        <w:fldChar w:fldCharType="end"/>
      </w:r>
    </w:p>
    <w:p>
      <w:pPr>
        <w:spacing w:line="500" w:lineRule="exact"/>
        <w:rPr>
          <w:rFonts w:eastAsia="宋体" w:hint="eastAsia"/>
          <w:lang w:eastAsia="zh-CN"/>
        </w:r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3"/>
      </w:pPr>
      <w:bookmarkStart w:id="0" w:name="_Toc_4_4_0000000019"/>
      <w:r>
        <w:rPr>
          <w:rFonts w:ascii="方正小标宋_GBK" w:eastAsia="方正小标宋_GBK" w:cs="方正小标宋_GBK"/>
          <w:color w:val="000000"/>
          <w:sz w:val="44"/>
        </w:rPr>
        <w:t>一、河北北戴河经济开发区管理委员会（本级）收支预算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1020.59</w:t>
            </w:r>
          </w:p>
        </w:tc>
        <w:tc>
          <w:tcPr>
            <w:tcW w:w="4535" w:type="dxa"/>
            <w:vAlign w:val="center"/>
          </w:tcPr>
          <w:p>
            <w:pPr>
              <w:pStyle w:val="20"/>
            </w:pPr>
            <w:r>
              <w:t>一、一般公共服务支出</w:t>
            </w:r>
          </w:p>
        </w:tc>
        <w:tc>
          <w:tcPr>
            <w:tcW w:w="2126" w:type="dxa"/>
            <w:vAlign w:val="center"/>
          </w:tcPr>
          <w:p>
            <w:pPr>
              <w:pStyle w:val="19"/>
            </w:pPr>
            <w:r>
              <w:t>931.75</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r>
              <w:t>9.00</w:t>
            </w: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30.24</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25.27</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r>
              <w:t>2.50</w:t>
            </w: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r>
              <w:t>2.00</w:t>
            </w: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18.33</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1.50</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1020.59</w:t>
            </w:r>
          </w:p>
        </w:tc>
        <w:tc>
          <w:tcPr>
            <w:tcW w:w="4535" w:type="dxa"/>
            <w:vAlign w:val="center"/>
          </w:tcPr>
          <w:p>
            <w:pPr>
              <w:pStyle w:val="22"/>
            </w:pPr>
            <w:r>
              <w:t>本年支出合计</w:t>
            </w:r>
          </w:p>
        </w:tc>
        <w:tc>
          <w:tcPr>
            <w:tcW w:w="2126" w:type="dxa"/>
            <w:vAlign w:val="center"/>
          </w:tcPr>
          <w:p>
            <w:pPr>
              <w:pStyle w:val="23"/>
            </w:pPr>
            <w:r>
              <w:t>1020.59</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1020.59</w:t>
            </w:r>
          </w:p>
        </w:tc>
        <w:tc>
          <w:tcPr>
            <w:tcW w:w="4535" w:type="dxa"/>
            <w:vAlign w:val="center"/>
          </w:tcPr>
          <w:p>
            <w:pPr>
              <w:pStyle w:val="22"/>
            </w:pPr>
            <w:r>
              <w:t>支出总计</w:t>
            </w:r>
          </w:p>
        </w:tc>
        <w:tc>
          <w:tcPr>
            <w:tcW w:w="2126" w:type="dxa"/>
            <w:vAlign w:val="center"/>
          </w:tcPr>
          <w:p>
            <w:pPr>
              <w:pStyle w:val="23"/>
            </w:pPr>
            <w:r>
              <w:t>1020.59</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1020.59</w:t>
            </w:r>
          </w:p>
        </w:tc>
        <w:tc>
          <w:tcPr>
            <w:tcW w:w="1134" w:type="dxa"/>
            <w:vAlign w:val="center"/>
          </w:tcPr>
          <w:p>
            <w:pPr>
              <w:pStyle w:val="23"/>
            </w:pPr>
            <w:r>
              <w:t>1020.59</w:t>
            </w:r>
          </w:p>
        </w:tc>
        <w:tc>
          <w:tcPr>
            <w:tcW w:w="1134" w:type="dxa"/>
            <w:vAlign w:val="center"/>
          </w:tcPr>
          <w:p>
            <w:pPr>
              <w:pStyle w:val="23"/>
            </w:pPr>
            <w:r>
              <w:t>1020.59</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20199</w:t>
            </w:r>
          </w:p>
        </w:tc>
        <w:tc>
          <w:tcPr>
            <w:tcW w:w="1559" w:type="dxa"/>
            <w:vAlign w:val="center"/>
          </w:tcPr>
          <w:p>
            <w:pPr>
              <w:pStyle w:val="20"/>
            </w:pPr>
            <w:r>
              <w:t>其他一般公共服务支出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2019999</w:t>
            </w:r>
          </w:p>
        </w:tc>
        <w:tc>
          <w:tcPr>
            <w:tcW w:w="1559" w:type="dxa"/>
            <w:vAlign w:val="center"/>
          </w:tcPr>
          <w:p>
            <w:pPr>
              <w:pStyle w:val="20"/>
            </w:pPr>
            <w:r>
              <w:t>其他一般公共服务支出</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r>
              <w:t>931.75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206</w:t>
            </w:r>
          </w:p>
        </w:tc>
        <w:tc>
          <w:tcPr>
            <w:tcW w:w="1559" w:type="dxa"/>
            <w:vAlign w:val="center"/>
          </w:tcPr>
          <w:p>
            <w:pPr>
              <w:pStyle w:val="20"/>
            </w:pPr>
            <w:r>
              <w:t>科学技术支出</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20601</w:t>
            </w:r>
          </w:p>
        </w:tc>
        <w:tc>
          <w:tcPr>
            <w:tcW w:w="1559" w:type="dxa"/>
            <w:vAlign w:val="center"/>
          </w:tcPr>
          <w:p>
            <w:pPr>
              <w:pStyle w:val="20"/>
            </w:pPr>
            <w:r>
              <w:t>科学技术管理事务</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2060102</w:t>
            </w:r>
          </w:p>
        </w:tc>
        <w:tc>
          <w:tcPr>
            <w:tcW w:w="1559" w:type="dxa"/>
            <w:vAlign w:val="center"/>
          </w:tcPr>
          <w:p>
            <w:pPr>
              <w:pStyle w:val="20"/>
            </w:pPr>
            <w:r>
              <w:t>一般行政管理事务</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r>
              <w:t>9.00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30.24</w:t>
            </w:r>
          </w:p>
        </w:tc>
        <w:tc>
          <w:tcPr>
            <w:tcW w:w="1134" w:type="dxa"/>
            <w:vAlign w:val="center"/>
          </w:tcPr>
          <w:p>
            <w:pPr>
              <w:pStyle w:val="19"/>
            </w:pPr>
            <w:r>
              <w:t>30.24</w:t>
            </w:r>
          </w:p>
        </w:tc>
        <w:tc>
          <w:tcPr>
            <w:tcW w:w="1134" w:type="dxa"/>
            <w:vAlign w:val="center"/>
          </w:tcPr>
          <w:p>
            <w:pPr>
              <w:pStyle w:val="19"/>
            </w:pPr>
            <w:r>
              <w:t>30.24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29.36</w:t>
            </w:r>
          </w:p>
        </w:tc>
        <w:tc>
          <w:tcPr>
            <w:tcW w:w="1134" w:type="dxa"/>
            <w:vAlign w:val="center"/>
          </w:tcPr>
          <w:p>
            <w:pPr>
              <w:pStyle w:val="19"/>
            </w:pPr>
            <w:r>
              <w:t>29.36</w:t>
            </w:r>
          </w:p>
        </w:tc>
        <w:tc>
          <w:tcPr>
            <w:tcW w:w="1134" w:type="dxa"/>
            <w:vAlign w:val="center"/>
          </w:tcPr>
          <w:p>
            <w:pPr>
              <w:pStyle w:val="19"/>
            </w:pPr>
            <w:r>
              <w:t>29.36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4.93</w:t>
            </w:r>
          </w:p>
        </w:tc>
        <w:tc>
          <w:tcPr>
            <w:tcW w:w="1134" w:type="dxa"/>
            <w:vAlign w:val="center"/>
          </w:tcPr>
          <w:p>
            <w:pPr>
              <w:pStyle w:val="19"/>
            </w:pPr>
            <w:r>
              <w:t>4.93</w:t>
            </w:r>
          </w:p>
        </w:tc>
        <w:tc>
          <w:tcPr>
            <w:tcW w:w="1134" w:type="dxa"/>
            <w:vAlign w:val="center"/>
          </w:tcPr>
          <w:p>
            <w:pPr>
              <w:pStyle w:val="19"/>
            </w:pPr>
            <w:r>
              <w:t>4.93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r>
              <w:t>24.43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20808</w:t>
            </w:r>
          </w:p>
        </w:tc>
        <w:tc>
          <w:tcPr>
            <w:tcW w:w="1559" w:type="dxa"/>
            <w:vAlign w:val="center"/>
          </w:tcPr>
          <w:p>
            <w:pPr>
              <w:pStyle w:val="20"/>
            </w:pPr>
            <w:r>
              <w:t>抚恤</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2080899</w:t>
            </w:r>
          </w:p>
        </w:tc>
        <w:tc>
          <w:tcPr>
            <w:tcW w:w="1559" w:type="dxa"/>
            <w:vAlign w:val="center"/>
          </w:tcPr>
          <w:p>
            <w:pPr>
              <w:pStyle w:val="20"/>
            </w:pPr>
            <w:r>
              <w:t>其他优抚支出</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r>
              <w:t>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r>
              <w:t>25.27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11.84</w:t>
            </w:r>
          </w:p>
        </w:tc>
        <w:tc>
          <w:tcPr>
            <w:tcW w:w="1134" w:type="dxa"/>
            <w:vAlign w:val="center"/>
          </w:tcPr>
          <w:p>
            <w:pPr>
              <w:pStyle w:val="19"/>
            </w:pPr>
            <w:r>
              <w:t>11.84</w:t>
            </w:r>
          </w:p>
        </w:tc>
        <w:tc>
          <w:tcPr>
            <w:tcW w:w="1134" w:type="dxa"/>
            <w:vAlign w:val="center"/>
          </w:tcPr>
          <w:p>
            <w:pPr>
              <w:pStyle w:val="19"/>
            </w:pPr>
            <w:r>
              <w:t>11.84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13.43</w:t>
            </w:r>
          </w:p>
        </w:tc>
        <w:tc>
          <w:tcPr>
            <w:tcW w:w="1134" w:type="dxa"/>
            <w:vAlign w:val="center"/>
          </w:tcPr>
          <w:p>
            <w:pPr>
              <w:pStyle w:val="19"/>
            </w:pPr>
            <w:r>
              <w:t>13.43</w:t>
            </w:r>
          </w:p>
        </w:tc>
        <w:tc>
          <w:tcPr>
            <w:tcW w:w="1134" w:type="dxa"/>
            <w:vAlign w:val="center"/>
          </w:tcPr>
          <w:p>
            <w:pPr>
              <w:pStyle w:val="19"/>
            </w:pPr>
            <w:r>
              <w:t>13.43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21101</w:t>
            </w:r>
          </w:p>
        </w:tc>
        <w:tc>
          <w:tcPr>
            <w:tcW w:w="1559" w:type="dxa"/>
            <w:vAlign w:val="center"/>
          </w:tcPr>
          <w:p>
            <w:pPr>
              <w:pStyle w:val="20"/>
            </w:pPr>
            <w:r>
              <w:t>环境保护管理事务</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2110102</w:t>
            </w:r>
          </w:p>
        </w:tc>
        <w:tc>
          <w:tcPr>
            <w:tcW w:w="1559" w:type="dxa"/>
            <w:vAlign w:val="center"/>
          </w:tcPr>
          <w:p>
            <w:pPr>
              <w:pStyle w:val="20"/>
            </w:pPr>
            <w:r>
              <w:t>一般行政管理事务</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r>
              <w:t>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215</w:t>
            </w:r>
          </w:p>
        </w:tc>
        <w:tc>
          <w:tcPr>
            <w:tcW w:w="1559" w:type="dxa"/>
            <w:vAlign w:val="center"/>
          </w:tcPr>
          <w:p>
            <w:pPr>
              <w:pStyle w:val="20"/>
            </w:pPr>
            <w:r>
              <w:t>资源勘探工业信息等支出</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21505</w:t>
            </w:r>
          </w:p>
        </w:tc>
        <w:tc>
          <w:tcPr>
            <w:tcW w:w="1559" w:type="dxa"/>
            <w:vAlign w:val="center"/>
          </w:tcPr>
          <w:p>
            <w:pPr>
              <w:pStyle w:val="20"/>
            </w:pPr>
            <w:r>
              <w:t>工业和信息产业监管</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2150502</w:t>
            </w:r>
          </w:p>
        </w:tc>
        <w:tc>
          <w:tcPr>
            <w:tcW w:w="1559" w:type="dxa"/>
            <w:vAlign w:val="center"/>
          </w:tcPr>
          <w:p>
            <w:pPr>
              <w:pStyle w:val="20"/>
            </w:pPr>
            <w:r>
              <w:t>一般行政管理事务</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r>
              <w:t>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r>
              <w:t>18.33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2240102</w:t>
            </w:r>
          </w:p>
        </w:tc>
        <w:tc>
          <w:tcPr>
            <w:tcW w:w="1559" w:type="dxa"/>
            <w:vAlign w:val="center"/>
          </w:tcPr>
          <w:p>
            <w:pPr>
              <w:pStyle w:val="20"/>
            </w:pPr>
            <w:r>
              <w:t>一般行政管理事务</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r>
              <w:t>1.50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1020.59</w:t>
            </w:r>
          </w:p>
        </w:tc>
        <w:tc>
          <w:tcPr>
            <w:tcW w:w="1361" w:type="dxa"/>
            <w:vAlign w:val="center"/>
          </w:tcPr>
          <w:p>
            <w:pPr>
              <w:pStyle w:val="23"/>
            </w:pPr>
            <w:r>
              <w:t>340.45</w:t>
            </w:r>
          </w:p>
        </w:tc>
        <w:tc>
          <w:tcPr>
            <w:tcW w:w="1361" w:type="dxa"/>
            <w:vAlign w:val="center"/>
          </w:tcPr>
          <w:p>
            <w:pPr>
              <w:pStyle w:val="23"/>
            </w:pPr>
            <w:r>
              <w:t>680.14</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20199</w:t>
            </w:r>
          </w:p>
        </w:tc>
        <w:tc>
          <w:tcPr>
            <w:tcW w:w="4535" w:type="dxa"/>
            <w:vAlign w:val="center"/>
          </w:tcPr>
          <w:p>
            <w:pPr>
              <w:pStyle w:val="20"/>
            </w:pPr>
            <w:r>
              <w:t>其他一般公共服务支出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2019999</w:t>
            </w:r>
          </w:p>
        </w:tc>
        <w:tc>
          <w:tcPr>
            <w:tcW w:w="4535" w:type="dxa"/>
            <w:vAlign w:val="center"/>
          </w:tcPr>
          <w:p>
            <w:pPr>
              <w:pStyle w:val="20"/>
            </w:pPr>
            <w:r>
              <w:t>其他一般公共服务支出</w:t>
            </w:r>
          </w:p>
        </w:tc>
        <w:tc>
          <w:tcPr>
            <w:tcW w:w="1361" w:type="dxa"/>
            <w:vAlign w:val="center"/>
          </w:tcPr>
          <w:p>
            <w:pPr>
              <w:pStyle w:val="19"/>
            </w:pPr>
            <w:r>
              <w:t>931.75</w:t>
            </w:r>
          </w:p>
        </w:tc>
        <w:tc>
          <w:tcPr>
            <w:tcW w:w="1361" w:type="dxa"/>
            <w:vAlign w:val="center"/>
          </w:tcPr>
          <w:p>
            <w:pPr>
              <w:pStyle w:val="19"/>
            </w:pPr>
            <w:r>
              <w:t>266.61</w:t>
            </w:r>
          </w:p>
        </w:tc>
        <w:tc>
          <w:tcPr>
            <w:tcW w:w="1361" w:type="dxa"/>
            <w:vAlign w:val="center"/>
          </w:tcPr>
          <w:p>
            <w:pPr>
              <w:pStyle w:val="19"/>
            </w:pPr>
            <w:r>
              <w:t>665.14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w:t>
            </w:r>
          </w:p>
        </w:tc>
        <w:tc>
          <w:tcPr>
            <w:tcW w:w="4535" w:type="dxa"/>
            <w:vAlign w:val="center"/>
          </w:tcPr>
          <w:p>
            <w:pPr>
              <w:pStyle w:val="20"/>
            </w:pPr>
            <w:r>
              <w:t>科学技术支出</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20601</w:t>
            </w:r>
          </w:p>
        </w:tc>
        <w:tc>
          <w:tcPr>
            <w:tcW w:w="4535" w:type="dxa"/>
            <w:vAlign w:val="center"/>
          </w:tcPr>
          <w:p>
            <w:pPr>
              <w:pStyle w:val="20"/>
            </w:pPr>
            <w:r>
              <w:t>科学技术管理事务</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2060102</w:t>
            </w:r>
          </w:p>
        </w:tc>
        <w:tc>
          <w:tcPr>
            <w:tcW w:w="4535" w:type="dxa"/>
            <w:vAlign w:val="center"/>
          </w:tcPr>
          <w:p>
            <w:pPr>
              <w:pStyle w:val="20"/>
            </w:pPr>
            <w:r>
              <w:t>一般行政管理事务</w:t>
            </w: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r>
              <w:t>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30.24</w:t>
            </w:r>
          </w:p>
        </w:tc>
        <w:tc>
          <w:tcPr>
            <w:tcW w:w="1361" w:type="dxa"/>
            <w:vAlign w:val="center"/>
          </w:tcPr>
          <w:p>
            <w:pPr>
              <w:pStyle w:val="19"/>
            </w:pPr>
            <w:r>
              <w:t>30.24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29.36</w:t>
            </w:r>
          </w:p>
        </w:tc>
        <w:tc>
          <w:tcPr>
            <w:tcW w:w="1361" w:type="dxa"/>
            <w:vAlign w:val="center"/>
          </w:tcPr>
          <w:p>
            <w:pPr>
              <w:pStyle w:val="19"/>
            </w:pPr>
            <w:r>
              <w:t>29.36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4.93</w:t>
            </w:r>
          </w:p>
        </w:tc>
        <w:tc>
          <w:tcPr>
            <w:tcW w:w="1361" w:type="dxa"/>
            <w:vAlign w:val="center"/>
          </w:tcPr>
          <w:p>
            <w:pPr>
              <w:pStyle w:val="19"/>
            </w:pPr>
            <w:r>
              <w:t>4.93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24.43</w:t>
            </w:r>
          </w:p>
        </w:tc>
        <w:tc>
          <w:tcPr>
            <w:tcW w:w="1361" w:type="dxa"/>
            <w:vAlign w:val="center"/>
          </w:tcPr>
          <w:p>
            <w:pPr>
              <w:pStyle w:val="19"/>
            </w:pPr>
            <w:r>
              <w:t>24.43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20808</w:t>
            </w:r>
          </w:p>
        </w:tc>
        <w:tc>
          <w:tcPr>
            <w:tcW w:w="4535" w:type="dxa"/>
            <w:vAlign w:val="center"/>
          </w:tcPr>
          <w:p>
            <w:pPr>
              <w:pStyle w:val="20"/>
            </w:pPr>
            <w:r>
              <w:t>抚恤</w:t>
            </w:r>
          </w:p>
        </w:tc>
        <w:tc>
          <w:tcPr>
            <w:tcW w:w="1361" w:type="dxa"/>
            <w:vAlign w:val="center"/>
          </w:tcPr>
          <w:p>
            <w:pPr>
              <w:pStyle w:val="19"/>
            </w:pPr>
            <w:r>
              <w:t>0.88</w:t>
            </w:r>
          </w:p>
        </w:tc>
        <w:tc>
          <w:tcPr>
            <w:tcW w:w="1361" w:type="dxa"/>
            <w:vAlign w:val="center"/>
          </w:tcPr>
          <w:p>
            <w:pPr>
              <w:pStyle w:val="19"/>
            </w:pPr>
            <w:r>
              <w:t>0.88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2080899</w:t>
            </w:r>
          </w:p>
        </w:tc>
        <w:tc>
          <w:tcPr>
            <w:tcW w:w="4535" w:type="dxa"/>
            <w:vAlign w:val="center"/>
          </w:tcPr>
          <w:p>
            <w:pPr>
              <w:pStyle w:val="20"/>
            </w:pPr>
            <w:r>
              <w:t>其他优抚支出</w:t>
            </w:r>
          </w:p>
        </w:tc>
        <w:tc>
          <w:tcPr>
            <w:tcW w:w="1361" w:type="dxa"/>
            <w:vAlign w:val="center"/>
          </w:tcPr>
          <w:p>
            <w:pPr>
              <w:pStyle w:val="19"/>
            </w:pPr>
            <w:r>
              <w:t>0.88</w:t>
            </w:r>
          </w:p>
        </w:tc>
        <w:tc>
          <w:tcPr>
            <w:tcW w:w="1361" w:type="dxa"/>
            <w:vAlign w:val="center"/>
          </w:tcPr>
          <w:p>
            <w:pPr>
              <w:pStyle w:val="19"/>
            </w:pPr>
            <w:r>
              <w:t>0.88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25.27</w:t>
            </w:r>
          </w:p>
        </w:tc>
        <w:tc>
          <w:tcPr>
            <w:tcW w:w="1361" w:type="dxa"/>
            <w:vAlign w:val="center"/>
          </w:tcPr>
          <w:p>
            <w:pPr>
              <w:pStyle w:val="19"/>
            </w:pPr>
            <w:r>
              <w:t>25.27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25.27</w:t>
            </w:r>
          </w:p>
        </w:tc>
        <w:tc>
          <w:tcPr>
            <w:tcW w:w="1361" w:type="dxa"/>
            <w:vAlign w:val="center"/>
          </w:tcPr>
          <w:p>
            <w:pPr>
              <w:pStyle w:val="19"/>
            </w:pPr>
            <w:r>
              <w:t>25.27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11.84</w:t>
            </w:r>
          </w:p>
        </w:tc>
        <w:tc>
          <w:tcPr>
            <w:tcW w:w="1361" w:type="dxa"/>
            <w:vAlign w:val="center"/>
          </w:tcPr>
          <w:p>
            <w:pPr>
              <w:pStyle w:val="19"/>
            </w:pPr>
            <w:r>
              <w:t>11.84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13.43</w:t>
            </w:r>
          </w:p>
        </w:tc>
        <w:tc>
          <w:tcPr>
            <w:tcW w:w="1361" w:type="dxa"/>
            <w:vAlign w:val="center"/>
          </w:tcPr>
          <w:p>
            <w:pPr>
              <w:pStyle w:val="19"/>
            </w:pPr>
            <w:r>
              <w:t>13.43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211</w:t>
            </w:r>
          </w:p>
        </w:tc>
        <w:tc>
          <w:tcPr>
            <w:tcW w:w="4535" w:type="dxa"/>
            <w:vAlign w:val="center"/>
          </w:tcPr>
          <w:p>
            <w:pPr>
              <w:pStyle w:val="20"/>
            </w:pPr>
            <w:r>
              <w:t>节能环保支出</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21101</w:t>
            </w:r>
          </w:p>
        </w:tc>
        <w:tc>
          <w:tcPr>
            <w:tcW w:w="4535" w:type="dxa"/>
            <w:vAlign w:val="center"/>
          </w:tcPr>
          <w:p>
            <w:pPr>
              <w:pStyle w:val="20"/>
            </w:pPr>
            <w:r>
              <w:t>环境保护管理事务</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2110102</w:t>
            </w:r>
          </w:p>
        </w:tc>
        <w:tc>
          <w:tcPr>
            <w:tcW w:w="4535" w:type="dxa"/>
            <w:vAlign w:val="center"/>
          </w:tcPr>
          <w:p>
            <w:pPr>
              <w:pStyle w:val="20"/>
            </w:pPr>
            <w:r>
              <w:t>一般行政管理事务</w:t>
            </w: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r>
              <w:t>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215</w:t>
            </w:r>
          </w:p>
        </w:tc>
        <w:tc>
          <w:tcPr>
            <w:tcW w:w="4535" w:type="dxa"/>
            <w:vAlign w:val="center"/>
          </w:tcPr>
          <w:p>
            <w:pPr>
              <w:pStyle w:val="20"/>
            </w:pPr>
            <w:r>
              <w:t>资源勘探工业信息等支出</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21505</w:t>
            </w:r>
          </w:p>
        </w:tc>
        <w:tc>
          <w:tcPr>
            <w:tcW w:w="4535" w:type="dxa"/>
            <w:vAlign w:val="center"/>
          </w:tcPr>
          <w:p>
            <w:pPr>
              <w:pStyle w:val="20"/>
            </w:pPr>
            <w:r>
              <w:t>工业和信息产业监管</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2150502</w:t>
            </w:r>
          </w:p>
        </w:tc>
        <w:tc>
          <w:tcPr>
            <w:tcW w:w="4535" w:type="dxa"/>
            <w:vAlign w:val="center"/>
          </w:tcPr>
          <w:p>
            <w:pPr>
              <w:pStyle w:val="20"/>
            </w:pPr>
            <w:r>
              <w:t>一般行政管理事务</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18.33</w:t>
            </w:r>
          </w:p>
        </w:tc>
        <w:tc>
          <w:tcPr>
            <w:tcW w:w="1361" w:type="dxa"/>
            <w:vAlign w:val="center"/>
          </w:tcPr>
          <w:p>
            <w:pPr>
              <w:pStyle w:val="19"/>
            </w:pPr>
            <w:r>
              <w:t>18.33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w:t>
            </w:r>
          </w:p>
        </w:tc>
        <w:tc>
          <w:tcPr>
            <w:tcW w:w="4535" w:type="dxa"/>
            <w:vAlign w:val="center"/>
          </w:tcPr>
          <w:p>
            <w:pPr>
              <w:pStyle w:val="20"/>
            </w:pPr>
            <w:r>
              <w:t>灾害防治及应急管理支出</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22401</w:t>
            </w:r>
          </w:p>
        </w:tc>
        <w:tc>
          <w:tcPr>
            <w:tcW w:w="4535" w:type="dxa"/>
            <w:vAlign w:val="center"/>
          </w:tcPr>
          <w:p>
            <w:pPr>
              <w:pStyle w:val="20"/>
            </w:pPr>
            <w:r>
              <w:t>应急管理事务</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2240102</w:t>
            </w:r>
          </w:p>
        </w:tc>
        <w:tc>
          <w:tcPr>
            <w:tcW w:w="4535" w:type="dxa"/>
            <w:vAlign w:val="center"/>
          </w:tcPr>
          <w:p>
            <w:pPr>
              <w:pStyle w:val="20"/>
            </w:pPr>
            <w:r>
              <w:t>一般行政管理事务</w:t>
            </w: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r>
              <w:t>1.50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1020.59</w:t>
            </w:r>
          </w:p>
        </w:tc>
        <w:tc>
          <w:tcPr>
            <w:tcW w:w="3402" w:type="dxa"/>
            <w:vAlign w:val="center"/>
          </w:tcPr>
          <w:p>
            <w:pPr>
              <w:pStyle w:val="20"/>
            </w:pPr>
            <w:r>
              <w:t>一、一般公共服务支出</w:t>
            </w:r>
          </w:p>
        </w:tc>
        <w:tc>
          <w:tcPr>
            <w:tcW w:w="1474" w:type="dxa"/>
            <w:vAlign w:val="center"/>
          </w:tcPr>
          <w:p>
            <w:pPr>
              <w:pStyle w:val="19"/>
            </w:pPr>
            <w:r>
              <w:t>931.75</w:t>
            </w:r>
          </w:p>
        </w:tc>
        <w:tc>
          <w:tcPr>
            <w:tcW w:w="1474" w:type="dxa"/>
            <w:vAlign w:val="center"/>
          </w:tcPr>
          <w:p>
            <w:pPr>
              <w:pStyle w:val="19"/>
            </w:pPr>
            <w:r>
              <w:t>931.75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r>
              <w:t>9.00</w:t>
            </w:r>
          </w:p>
        </w:tc>
        <w:tc>
          <w:tcPr>
            <w:tcW w:w="1474" w:type="dxa"/>
            <w:vAlign w:val="center"/>
          </w:tcPr>
          <w:p>
            <w:pPr>
              <w:pStyle w:val="19"/>
            </w:pPr>
            <w:r>
              <w:t>9.00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30.24</w:t>
            </w:r>
          </w:p>
        </w:tc>
        <w:tc>
          <w:tcPr>
            <w:tcW w:w="1474" w:type="dxa"/>
            <w:vAlign w:val="center"/>
          </w:tcPr>
          <w:p>
            <w:pPr>
              <w:pStyle w:val="19"/>
            </w:pPr>
            <w:r>
              <w:t>30.24</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25.27</w:t>
            </w:r>
          </w:p>
        </w:tc>
        <w:tc>
          <w:tcPr>
            <w:tcW w:w="1474" w:type="dxa"/>
            <w:vAlign w:val="center"/>
          </w:tcPr>
          <w:p>
            <w:pPr>
              <w:pStyle w:val="19"/>
            </w:pPr>
            <w:r>
              <w:t>25.27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r>
              <w:t>2.50</w:t>
            </w:r>
          </w:p>
        </w:tc>
        <w:tc>
          <w:tcPr>
            <w:tcW w:w="1474" w:type="dxa"/>
            <w:vAlign w:val="center"/>
          </w:tcPr>
          <w:p>
            <w:pPr>
              <w:pStyle w:val="19"/>
            </w:pPr>
            <w:r>
              <w:t>2.50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r>
              <w:t>2.00</w:t>
            </w:r>
          </w:p>
        </w:tc>
        <w:tc>
          <w:tcPr>
            <w:tcW w:w="1474" w:type="dxa"/>
            <w:vAlign w:val="center"/>
          </w:tcPr>
          <w:p>
            <w:pPr>
              <w:pStyle w:val="19"/>
            </w:pPr>
            <w:r>
              <w:t>2.00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18.33</w:t>
            </w:r>
          </w:p>
        </w:tc>
        <w:tc>
          <w:tcPr>
            <w:tcW w:w="1474" w:type="dxa"/>
            <w:vAlign w:val="center"/>
          </w:tcPr>
          <w:p>
            <w:pPr>
              <w:pStyle w:val="19"/>
            </w:pPr>
            <w:r>
              <w:t>18.33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1.50</w:t>
            </w:r>
          </w:p>
        </w:tc>
        <w:tc>
          <w:tcPr>
            <w:tcW w:w="1474" w:type="dxa"/>
            <w:vAlign w:val="center"/>
          </w:tcPr>
          <w:p>
            <w:pPr>
              <w:pStyle w:val="19"/>
            </w:pPr>
            <w:r>
              <w:t>1.50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1020.59</w:t>
            </w:r>
          </w:p>
        </w:tc>
        <w:tc>
          <w:tcPr>
            <w:tcW w:w="3402" w:type="dxa"/>
            <w:vAlign w:val="center"/>
          </w:tcPr>
          <w:p>
            <w:pPr>
              <w:pStyle w:val="22"/>
            </w:pPr>
            <w:r>
              <w:t>本年支出合计</w:t>
            </w:r>
          </w:p>
        </w:tc>
        <w:tc>
          <w:tcPr>
            <w:tcW w:w="1474" w:type="dxa"/>
            <w:vAlign w:val="center"/>
          </w:tcPr>
          <w:p>
            <w:pPr>
              <w:pStyle w:val="23"/>
            </w:pPr>
            <w:r>
              <w:t>1020.59</w:t>
            </w:r>
          </w:p>
        </w:tc>
        <w:tc>
          <w:tcPr>
            <w:tcW w:w="1474" w:type="dxa"/>
            <w:vAlign w:val="center"/>
          </w:tcPr>
          <w:p>
            <w:pPr>
              <w:pStyle w:val="23"/>
            </w:pPr>
            <w:r>
              <w:t>1020.59</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1020.59</w:t>
            </w:r>
          </w:p>
        </w:tc>
        <w:tc>
          <w:tcPr>
            <w:tcW w:w="3402" w:type="dxa"/>
            <w:vAlign w:val="center"/>
          </w:tcPr>
          <w:p>
            <w:pPr>
              <w:pStyle w:val="22"/>
            </w:pPr>
            <w:r>
              <w:t>支出总计</w:t>
            </w:r>
          </w:p>
        </w:tc>
        <w:tc>
          <w:tcPr>
            <w:tcW w:w="1474" w:type="dxa"/>
            <w:vAlign w:val="center"/>
          </w:tcPr>
          <w:p>
            <w:pPr>
              <w:pStyle w:val="23"/>
            </w:pPr>
            <w:r>
              <w:t>1020.59</w:t>
            </w:r>
          </w:p>
        </w:tc>
        <w:tc>
          <w:tcPr>
            <w:tcW w:w="1474" w:type="dxa"/>
            <w:vAlign w:val="center"/>
          </w:tcPr>
          <w:p>
            <w:pPr>
              <w:pStyle w:val="23"/>
            </w:pPr>
            <w:r>
              <w:t>1020.59</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1020.59</w:t>
            </w:r>
          </w:p>
        </w:tc>
        <w:tc>
          <w:tcPr>
            <w:tcW w:w="2551" w:type="dxa"/>
            <w:vAlign w:val="center"/>
          </w:tcPr>
          <w:p>
            <w:pPr>
              <w:pStyle w:val="23"/>
            </w:pPr>
            <w:r>
              <w:t>340.45</w:t>
            </w:r>
          </w:p>
        </w:tc>
        <w:tc>
          <w:tcPr>
            <w:tcW w:w="2551" w:type="dxa"/>
            <w:vAlign w:val="center"/>
          </w:tcPr>
          <w:p>
            <w:pPr>
              <w:pStyle w:val="23"/>
            </w:pPr>
            <w:r>
              <w:t>680.14</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3</w:t>
            </w:r>
          </w:p>
        </w:tc>
        <w:tc>
          <w:tcPr>
            <w:tcW w:w="1191" w:type="dxa"/>
            <w:vAlign w:val="center"/>
          </w:tcPr>
          <w:p>
            <w:pPr>
              <w:pStyle w:val="20"/>
            </w:pPr>
            <w:r>
              <w:t>20199</w:t>
            </w:r>
          </w:p>
        </w:tc>
        <w:tc>
          <w:tcPr>
            <w:tcW w:w="4535" w:type="dxa"/>
            <w:vAlign w:val="center"/>
          </w:tcPr>
          <w:p>
            <w:pPr>
              <w:pStyle w:val="20"/>
            </w:pPr>
            <w:r>
              <w:t>其他一般公共服务支出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4</w:t>
            </w:r>
          </w:p>
        </w:tc>
        <w:tc>
          <w:tcPr>
            <w:tcW w:w="1191" w:type="dxa"/>
            <w:vAlign w:val="center"/>
          </w:tcPr>
          <w:p>
            <w:pPr>
              <w:pStyle w:val="20"/>
            </w:pPr>
            <w:r>
              <w:t>2019999</w:t>
            </w:r>
          </w:p>
        </w:tc>
        <w:tc>
          <w:tcPr>
            <w:tcW w:w="4535" w:type="dxa"/>
            <w:vAlign w:val="center"/>
          </w:tcPr>
          <w:p>
            <w:pPr>
              <w:pStyle w:val="20"/>
            </w:pPr>
            <w:r>
              <w:t>其他一般公共服务支出</w:t>
            </w:r>
          </w:p>
        </w:tc>
        <w:tc>
          <w:tcPr>
            <w:tcW w:w="2551" w:type="dxa"/>
            <w:vAlign w:val="center"/>
          </w:tcPr>
          <w:p>
            <w:pPr>
              <w:pStyle w:val="19"/>
            </w:pPr>
            <w:r>
              <w:t>931.75</w:t>
            </w:r>
          </w:p>
        </w:tc>
        <w:tc>
          <w:tcPr>
            <w:tcW w:w="2551" w:type="dxa"/>
            <w:vAlign w:val="center"/>
          </w:tcPr>
          <w:p>
            <w:pPr>
              <w:pStyle w:val="19"/>
            </w:pPr>
            <w:r>
              <w:t>266.61</w:t>
            </w:r>
          </w:p>
        </w:tc>
        <w:tc>
          <w:tcPr>
            <w:tcW w:w="2551" w:type="dxa"/>
            <w:vAlign w:val="center"/>
          </w:tcPr>
          <w:p>
            <w:pPr>
              <w:pStyle w:val="19"/>
            </w:pPr>
            <w:r>
              <w:t>665.14</w:t>
            </w:r>
          </w:p>
        </w:tc>
      </w:tr>
      <w:tr>
        <w:trPr>
          <w:trHeight w:val="369"/>
        </w:trPr>
        <w:tc>
          <w:tcPr>
            <w:tcW w:w="850" w:type="dxa"/>
            <w:vAlign w:val="center"/>
          </w:tcPr>
          <w:p>
            <w:pPr>
              <w:pStyle w:val="21"/>
            </w:pPr>
            <w:r>
              <w:t>5</w:t>
            </w:r>
          </w:p>
        </w:tc>
        <w:tc>
          <w:tcPr>
            <w:tcW w:w="1191" w:type="dxa"/>
            <w:vAlign w:val="center"/>
          </w:tcPr>
          <w:p>
            <w:pPr>
              <w:pStyle w:val="20"/>
            </w:pPr>
            <w:r>
              <w:t>206</w:t>
            </w:r>
          </w:p>
        </w:tc>
        <w:tc>
          <w:tcPr>
            <w:tcW w:w="4535" w:type="dxa"/>
            <w:vAlign w:val="center"/>
          </w:tcPr>
          <w:p>
            <w:pPr>
              <w:pStyle w:val="20"/>
            </w:pPr>
            <w:r>
              <w:t>科学技术支出</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6</w:t>
            </w:r>
          </w:p>
        </w:tc>
        <w:tc>
          <w:tcPr>
            <w:tcW w:w="1191" w:type="dxa"/>
            <w:vAlign w:val="center"/>
          </w:tcPr>
          <w:p>
            <w:pPr>
              <w:pStyle w:val="20"/>
            </w:pPr>
            <w:r>
              <w:t>20601</w:t>
            </w:r>
          </w:p>
        </w:tc>
        <w:tc>
          <w:tcPr>
            <w:tcW w:w="4535" w:type="dxa"/>
            <w:vAlign w:val="center"/>
          </w:tcPr>
          <w:p>
            <w:pPr>
              <w:pStyle w:val="20"/>
            </w:pPr>
            <w:r>
              <w:t>科学技术管理事务</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7</w:t>
            </w:r>
          </w:p>
        </w:tc>
        <w:tc>
          <w:tcPr>
            <w:tcW w:w="1191" w:type="dxa"/>
            <w:vAlign w:val="center"/>
          </w:tcPr>
          <w:p>
            <w:pPr>
              <w:pStyle w:val="20"/>
            </w:pPr>
            <w:r>
              <w:t>2060102</w:t>
            </w:r>
          </w:p>
        </w:tc>
        <w:tc>
          <w:tcPr>
            <w:tcW w:w="4535" w:type="dxa"/>
            <w:vAlign w:val="center"/>
          </w:tcPr>
          <w:p>
            <w:pPr>
              <w:pStyle w:val="20"/>
            </w:pPr>
            <w:r>
              <w:t>一般行政管理事务</w:t>
            </w:r>
          </w:p>
        </w:tc>
        <w:tc>
          <w:tcPr>
            <w:tcW w:w="2551" w:type="dxa"/>
            <w:vAlign w:val="center"/>
          </w:tcPr>
          <w:p>
            <w:pPr>
              <w:pStyle w:val="19"/>
            </w:pPr>
            <w:r>
              <w:t>9.00</w:t>
            </w:r>
          </w:p>
        </w:tc>
        <w:tc>
          <w:tcPr>
            <w:tcW w:w="2551" w:type="dxa"/>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8</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30.24</w:t>
            </w:r>
          </w:p>
        </w:tc>
        <w:tc>
          <w:tcPr>
            <w:tcW w:w="2551" w:type="dxa"/>
            <w:vAlign w:val="center"/>
          </w:tcPr>
          <w:p>
            <w:pPr>
              <w:pStyle w:val="19"/>
            </w:pPr>
            <w:r>
              <w:t>30.24</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29.36</w:t>
            </w:r>
          </w:p>
        </w:tc>
        <w:tc>
          <w:tcPr>
            <w:tcW w:w="2551" w:type="dxa"/>
            <w:vAlign w:val="center"/>
          </w:tcPr>
          <w:p>
            <w:pPr>
              <w:pStyle w:val="19"/>
            </w:pPr>
            <w:r>
              <w:t>29.36</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4.93</w:t>
            </w:r>
          </w:p>
        </w:tc>
        <w:tc>
          <w:tcPr>
            <w:tcW w:w="2551" w:type="dxa"/>
            <w:vAlign w:val="center"/>
          </w:tcPr>
          <w:p>
            <w:pPr>
              <w:pStyle w:val="19"/>
            </w:pPr>
            <w:r>
              <w:t>4.93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20808</w:t>
            </w:r>
          </w:p>
        </w:tc>
        <w:tc>
          <w:tcPr>
            <w:tcW w:w="4535" w:type="dxa"/>
            <w:vAlign w:val="center"/>
          </w:tcPr>
          <w:p>
            <w:pPr>
              <w:pStyle w:val="20"/>
            </w:pPr>
            <w:r>
              <w:t>抚恤</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2080899</w:t>
            </w:r>
          </w:p>
        </w:tc>
        <w:tc>
          <w:tcPr>
            <w:tcW w:w="4535" w:type="dxa"/>
            <w:vAlign w:val="center"/>
          </w:tcPr>
          <w:p>
            <w:pPr>
              <w:pStyle w:val="20"/>
            </w:pPr>
            <w:r>
              <w:t>其他优抚支出</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25.27</w:t>
            </w:r>
          </w:p>
        </w:tc>
        <w:tc>
          <w:tcPr>
            <w:tcW w:w="2551" w:type="dxa"/>
            <w:vAlign w:val="center"/>
          </w:tcPr>
          <w:p>
            <w:pPr>
              <w:pStyle w:val="19"/>
            </w:pPr>
            <w:r>
              <w:t>25.27</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25.27</w:t>
            </w:r>
          </w:p>
        </w:tc>
        <w:tc>
          <w:tcPr>
            <w:tcW w:w="2551" w:type="dxa"/>
            <w:vAlign w:val="center"/>
          </w:tcPr>
          <w:p>
            <w:pPr>
              <w:pStyle w:val="19"/>
            </w:pPr>
            <w:r>
              <w:t>25.27</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11.84</w:t>
            </w:r>
          </w:p>
        </w:tc>
        <w:tc>
          <w:tcPr>
            <w:tcW w:w="2551" w:type="dxa"/>
            <w:vAlign w:val="center"/>
          </w:tcPr>
          <w:p>
            <w:pPr>
              <w:pStyle w:val="19"/>
            </w:pPr>
            <w:r>
              <w:t>11.84</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13.43</w:t>
            </w:r>
          </w:p>
        </w:tc>
        <w:tc>
          <w:tcPr>
            <w:tcW w:w="2551" w:type="dxa"/>
            <w:vAlign w:val="center"/>
          </w:tcPr>
          <w:p>
            <w:pPr>
              <w:pStyle w:val="19"/>
            </w:pPr>
            <w:r>
              <w:t>13.43</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19</w:t>
            </w:r>
          </w:p>
        </w:tc>
        <w:tc>
          <w:tcPr>
            <w:tcW w:w="1191" w:type="dxa"/>
            <w:vAlign w:val="center"/>
          </w:tcPr>
          <w:p>
            <w:pPr>
              <w:pStyle w:val="20"/>
            </w:pPr>
            <w:r>
              <w:t>21101</w:t>
            </w:r>
          </w:p>
        </w:tc>
        <w:tc>
          <w:tcPr>
            <w:tcW w:w="4535" w:type="dxa"/>
            <w:vAlign w:val="center"/>
          </w:tcPr>
          <w:p>
            <w:pPr>
              <w:pStyle w:val="20"/>
            </w:pPr>
            <w:r>
              <w:t>环境保护管理事务</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vAlign w:val="center"/>
          </w:tcPr>
          <w:p>
            <w:pPr>
              <w:pStyle w:val="20"/>
            </w:pPr>
            <w:r>
              <w:t>2110102</w:t>
            </w:r>
          </w:p>
        </w:tc>
        <w:tc>
          <w:tcPr>
            <w:tcW w:w="4535" w:type="dxa"/>
            <w:vAlign w:val="center"/>
          </w:tcPr>
          <w:p>
            <w:pPr>
              <w:pStyle w:val="20"/>
            </w:pPr>
            <w:r>
              <w:t>一般行政管理事务</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vAlign w:val="center"/>
          </w:tcPr>
          <w:p>
            <w:pPr>
              <w:pStyle w:val="20"/>
            </w:pPr>
            <w:r>
              <w:t>215</w:t>
            </w:r>
          </w:p>
        </w:tc>
        <w:tc>
          <w:tcPr>
            <w:tcW w:w="4535" w:type="dxa"/>
            <w:vAlign w:val="center"/>
          </w:tcPr>
          <w:p>
            <w:pPr>
              <w:pStyle w:val="20"/>
            </w:pPr>
            <w:r>
              <w:t>资源勘探工业信息等支出</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22</w:t>
            </w:r>
          </w:p>
        </w:tc>
        <w:tc>
          <w:tcPr>
            <w:tcW w:w="1191" w:type="dxa"/>
            <w:vAlign w:val="center"/>
          </w:tcPr>
          <w:p>
            <w:pPr>
              <w:pStyle w:val="20"/>
            </w:pPr>
            <w:r>
              <w:t>21505</w:t>
            </w:r>
          </w:p>
        </w:tc>
        <w:tc>
          <w:tcPr>
            <w:tcW w:w="4535" w:type="dxa"/>
            <w:vAlign w:val="center"/>
          </w:tcPr>
          <w:p>
            <w:pPr>
              <w:pStyle w:val="20"/>
            </w:pPr>
            <w:r>
              <w:t>工业和信息产业监管</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23</w:t>
            </w:r>
          </w:p>
        </w:tc>
        <w:tc>
          <w:tcPr>
            <w:tcW w:w="1191" w:type="dxa"/>
            <w:vAlign w:val="center"/>
          </w:tcPr>
          <w:p>
            <w:pPr>
              <w:pStyle w:val="20"/>
            </w:pPr>
            <w:r>
              <w:t>2150502</w:t>
            </w:r>
          </w:p>
        </w:tc>
        <w:tc>
          <w:tcPr>
            <w:tcW w:w="4535" w:type="dxa"/>
            <w:vAlign w:val="center"/>
          </w:tcPr>
          <w:p>
            <w:pPr>
              <w:pStyle w:val="20"/>
            </w:pPr>
            <w:r>
              <w:t>一般行政管理事务</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24</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28</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29</w:t>
            </w:r>
          </w:p>
        </w:tc>
        <w:tc>
          <w:tcPr>
            <w:tcW w:w="1191" w:type="dxa"/>
            <w:vAlign w:val="center"/>
          </w:tcPr>
          <w:p>
            <w:pPr>
              <w:pStyle w:val="20"/>
            </w:pPr>
            <w:r>
              <w:t>2240102</w:t>
            </w:r>
          </w:p>
        </w:tc>
        <w:tc>
          <w:tcPr>
            <w:tcW w:w="4535" w:type="dxa"/>
            <w:vAlign w:val="center"/>
          </w:tcPr>
          <w:p>
            <w:pPr>
              <w:pStyle w:val="20"/>
            </w:pPr>
            <w:r>
              <w:t>一般行政管理事务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340.45</w:t>
            </w:r>
          </w:p>
        </w:tc>
        <w:tc>
          <w:tcPr>
            <w:tcW w:w="2551" w:type="dxa"/>
            <w:vAlign w:val="center"/>
          </w:tcPr>
          <w:p>
            <w:pPr>
              <w:pStyle w:val="23"/>
            </w:pPr>
            <w:r>
              <w:t>243.62</w:t>
            </w:r>
          </w:p>
        </w:tc>
        <w:tc>
          <w:tcPr>
            <w:tcW w:w="2551" w:type="dxa"/>
            <w:vAlign w:val="center"/>
          </w:tcPr>
          <w:p>
            <w:pPr>
              <w:pStyle w:val="23"/>
            </w:pPr>
            <w:r>
              <w:t>96.83</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238.29</w:t>
            </w:r>
          </w:p>
        </w:tc>
        <w:tc>
          <w:tcPr>
            <w:tcW w:w="2551" w:type="dxa"/>
            <w:vAlign w:val="center"/>
          </w:tcPr>
          <w:p>
            <w:pPr>
              <w:pStyle w:val="19"/>
            </w:pPr>
            <w:r>
              <w:t>238.29</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79.61</w:t>
            </w:r>
          </w:p>
        </w:tc>
        <w:tc>
          <w:tcPr>
            <w:tcW w:w="2551" w:type="dxa"/>
            <w:vAlign w:val="center"/>
          </w:tcPr>
          <w:p>
            <w:pPr>
              <w:pStyle w:val="19"/>
            </w:pPr>
            <w:r>
              <w:t>79.61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60.86</w:t>
            </w:r>
          </w:p>
        </w:tc>
        <w:tc>
          <w:tcPr>
            <w:tcW w:w="2551" w:type="dxa"/>
            <w:vAlign w:val="center"/>
          </w:tcPr>
          <w:p>
            <w:pPr>
              <w:pStyle w:val="19"/>
            </w:pPr>
            <w:r>
              <w:t>60.86</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4.63</w:t>
            </w:r>
          </w:p>
        </w:tc>
        <w:tc>
          <w:tcPr>
            <w:tcW w:w="2551" w:type="dxa"/>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24.41</w:t>
            </w:r>
          </w:p>
        </w:tc>
        <w:tc>
          <w:tcPr>
            <w:tcW w:w="2551" w:type="dxa"/>
            <w:vAlign w:val="center"/>
          </w:tcPr>
          <w:p>
            <w:pPr>
              <w:pStyle w:val="19"/>
            </w:pPr>
            <w:r>
              <w:t>24.41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24.43</w:t>
            </w:r>
          </w:p>
        </w:tc>
        <w:tc>
          <w:tcPr>
            <w:tcW w:w="2551" w:type="dxa"/>
            <w:vAlign w:val="center"/>
          </w:tcPr>
          <w:p>
            <w:pPr>
              <w:pStyle w:val="19"/>
            </w:pPr>
            <w:r>
              <w:t>24.43</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11.84</w:t>
            </w:r>
          </w:p>
        </w:tc>
        <w:tc>
          <w:tcPr>
            <w:tcW w:w="2551" w:type="dxa"/>
            <w:vAlign w:val="center"/>
          </w:tcPr>
          <w:p>
            <w:pPr>
              <w:pStyle w:val="19"/>
            </w:pPr>
            <w:r>
              <w:t>11.84</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13.43</w:t>
            </w:r>
          </w:p>
        </w:tc>
        <w:tc>
          <w:tcPr>
            <w:tcW w:w="2551" w:type="dxa"/>
            <w:vAlign w:val="center"/>
          </w:tcPr>
          <w:p>
            <w:pPr>
              <w:pStyle w:val="19"/>
            </w:pPr>
            <w:r>
              <w:t>13.43</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0.75</w:t>
            </w:r>
          </w:p>
        </w:tc>
        <w:tc>
          <w:tcPr>
            <w:tcW w:w="2551" w:type="dxa"/>
            <w:vAlign w:val="center"/>
          </w:tcPr>
          <w:p>
            <w:pPr>
              <w:pStyle w:val="19"/>
            </w:pPr>
            <w:r>
              <w:t>0.75</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18.33</w:t>
            </w:r>
          </w:p>
        </w:tc>
        <w:tc>
          <w:tcPr>
            <w:tcW w:w="2551" w:type="dxa"/>
            <w:vAlign w:val="center"/>
          </w:tcPr>
          <w:p>
            <w:pPr>
              <w:pStyle w:val="19"/>
            </w:pPr>
            <w:r>
              <w:t>18.33</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96.33</w:t>
            </w:r>
          </w:p>
        </w:tc>
        <w:tc>
          <w:tcPr>
            <w:tcW w:w="2551" w:type="dxa"/>
            <w:vAlign w:val="center"/>
          </w:tcPr>
          <w:p>
            <w:pPr>
              <w:pStyle w:val="19"/>
            </w:pPr>
          </w:p>
        </w:tc>
        <w:tc>
          <w:tcPr>
            <w:tcW w:w="2551" w:type="dxa"/>
            <w:vAlign w:val="center"/>
          </w:tcPr>
          <w:p>
            <w:pPr>
              <w:pStyle w:val="19"/>
            </w:pPr>
            <w:r>
              <w:t>96.33</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4.00</w:t>
            </w:r>
          </w:p>
        </w:tc>
        <w:tc>
          <w:tcPr>
            <w:tcW w:w="2551" w:type="dxa"/>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14</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19"/>
            </w:pPr>
            <w:r>
              <w:t>2.60</w:t>
            </w:r>
          </w:p>
        </w:tc>
        <w:tc>
          <w:tcPr>
            <w:tcW w:w="2551" w:type="dxa"/>
            <w:vAlign w:val="center"/>
          </w:tcPr>
          <w:p>
            <w:pPr>
              <w:pStyle w:val="19"/>
            </w:pPr>
          </w:p>
        </w:tc>
        <w:tc>
          <w:tcPr>
            <w:tcW w:w="2551" w:type="dxa"/>
            <w:vAlign w:val="center"/>
          </w:tcPr>
          <w:p>
            <w:pPr>
              <w:pStyle w:val="19"/>
            </w:pPr>
            <w:r>
              <w:t>2.60</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7.40</w:t>
            </w:r>
          </w:p>
        </w:tc>
        <w:tc>
          <w:tcPr>
            <w:tcW w:w="2551" w:type="dxa"/>
            <w:vAlign w:val="center"/>
          </w:tcPr>
          <w:p>
            <w:pPr>
              <w:pStyle w:val="19"/>
            </w:pPr>
          </w:p>
        </w:tc>
        <w:tc>
          <w:tcPr>
            <w:tcW w:w="2551" w:type="dxa"/>
            <w:vAlign w:val="center"/>
          </w:tcPr>
          <w:p>
            <w:pPr>
              <w:pStyle w:val="19"/>
            </w:pPr>
            <w:r>
              <w:t>7.40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18</w:t>
            </w:r>
          </w:p>
        </w:tc>
        <w:tc>
          <w:tcPr>
            <w:tcW w:w="1191" w:type="dxa"/>
            <w:vAlign w:val="center"/>
          </w:tcPr>
          <w:p>
            <w:pPr>
              <w:pStyle w:val="20"/>
            </w:pPr>
            <w:r>
              <w:t>30209</w:t>
            </w:r>
          </w:p>
        </w:tc>
        <w:tc>
          <w:tcPr>
            <w:tcW w:w="4535" w:type="dxa"/>
            <w:vAlign w:val="center"/>
          </w:tcPr>
          <w:p>
            <w:pPr>
              <w:pStyle w:val="20"/>
            </w:pPr>
            <w:r>
              <w:t>物业管理费</w:t>
            </w:r>
          </w:p>
        </w:tc>
        <w:tc>
          <w:tcPr>
            <w:tcW w:w="2551" w:type="dxa"/>
            <w:vAlign w:val="center"/>
          </w:tcPr>
          <w:p>
            <w:pPr>
              <w:pStyle w:val="19"/>
            </w:pPr>
            <w:r>
              <w:t>37.98</w:t>
            </w:r>
          </w:p>
        </w:tc>
        <w:tc>
          <w:tcPr>
            <w:tcW w:w="2551" w:type="dxa"/>
            <w:vAlign w:val="center"/>
          </w:tcPr>
          <w:p>
            <w:pPr>
              <w:pStyle w:val="19"/>
            </w:pPr>
          </w:p>
        </w:tc>
        <w:tc>
          <w:tcPr>
            <w:tcW w:w="2551" w:type="dxa"/>
            <w:vAlign w:val="center"/>
          </w:tcPr>
          <w:p>
            <w:pPr>
              <w:pStyle w:val="19"/>
            </w:pPr>
            <w:r>
              <w:t>37.98</w:t>
            </w:r>
          </w:p>
        </w:tc>
      </w:tr>
      <w:tr>
        <w:trPr>
          <w:trHeight w:val="369"/>
        </w:trPr>
        <w:tc>
          <w:tcPr>
            <w:tcW w:w="850" w:type="dxa"/>
            <w:vAlign w:val="center"/>
          </w:tcPr>
          <w:p>
            <w:pPr>
              <w:pStyle w:val="21"/>
            </w:pPr>
            <w:r>
              <w:t>19</w:t>
            </w:r>
          </w:p>
        </w:tc>
        <w:tc>
          <w:tcPr>
            <w:tcW w:w="1191" w:type="dxa"/>
            <w:vAlign w:val="center"/>
          </w:tcPr>
          <w:p>
            <w:pPr>
              <w:pStyle w:val="20"/>
            </w:pPr>
            <w:r>
              <w:t>30216</w:t>
            </w:r>
          </w:p>
        </w:tc>
        <w:tc>
          <w:tcPr>
            <w:tcW w:w="4535" w:type="dxa"/>
            <w:vAlign w:val="center"/>
          </w:tcPr>
          <w:p>
            <w:pPr>
              <w:pStyle w:val="20"/>
            </w:pPr>
            <w:r>
              <w:t>培训费</w:t>
            </w:r>
          </w:p>
        </w:tc>
        <w:tc>
          <w:tcPr>
            <w:tcW w:w="2551" w:type="dxa"/>
            <w:vAlign w:val="center"/>
          </w:tcPr>
          <w:p>
            <w:pPr>
              <w:pStyle w:val="19"/>
            </w:pPr>
            <w:r>
              <w:t>2.23</w:t>
            </w:r>
          </w:p>
        </w:tc>
        <w:tc>
          <w:tcPr>
            <w:tcW w:w="2551" w:type="dxa"/>
            <w:vAlign w:val="center"/>
          </w:tcPr>
          <w:p>
            <w:pPr>
              <w:pStyle w:val="19"/>
            </w:pPr>
          </w:p>
        </w:tc>
        <w:tc>
          <w:tcPr>
            <w:tcW w:w="2551" w:type="dxa"/>
            <w:vAlign w:val="center"/>
          </w:tcPr>
          <w:p>
            <w:pPr>
              <w:pStyle w:val="19"/>
            </w:pPr>
            <w:r>
              <w:t>2.23</w:t>
            </w:r>
          </w:p>
        </w:tc>
      </w:tr>
      <w:tr>
        <w:trPr>
          <w:trHeight w:val="369"/>
        </w:trPr>
        <w:tc>
          <w:tcPr>
            <w:tcW w:w="850" w:type="dxa"/>
            <w:vAlign w:val="center"/>
          </w:tcPr>
          <w:p>
            <w:pPr>
              <w:pStyle w:val="21"/>
            </w:pPr>
            <w:r>
              <w:t>20</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2.98</w:t>
            </w:r>
          </w:p>
        </w:tc>
        <w:tc>
          <w:tcPr>
            <w:tcW w:w="2551" w:type="dxa"/>
            <w:vAlign w:val="center"/>
          </w:tcPr>
          <w:p>
            <w:pPr>
              <w:pStyle w:val="19"/>
            </w:pPr>
          </w:p>
        </w:tc>
        <w:tc>
          <w:tcPr>
            <w:tcW w:w="2551" w:type="dxa"/>
            <w:vAlign w:val="center"/>
          </w:tcPr>
          <w:p>
            <w:pPr>
              <w:pStyle w:val="19"/>
            </w:pPr>
            <w:r>
              <w:t>2.98</w:t>
            </w:r>
          </w:p>
        </w:tc>
      </w:tr>
      <w:tr>
        <w:trPr>
          <w:trHeight w:val="369"/>
        </w:trPr>
        <w:tc>
          <w:tcPr>
            <w:tcW w:w="850" w:type="dxa"/>
            <w:vAlign w:val="center"/>
          </w:tcPr>
          <w:p>
            <w:pPr>
              <w:pStyle w:val="21"/>
            </w:pPr>
            <w:r>
              <w:t>21</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22</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3.75</w:t>
            </w:r>
          </w:p>
        </w:tc>
        <w:tc>
          <w:tcPr>
            <w:tcW w:w="2551" w:type="dxa"/>
            <w:vAlign w:val="center"/>
          </w:tcPr>
          <w:p>
            <w:pPr>
              <w:pStyle w:val="19"/>
            </w:pPr>
          </w:p>
        </w:tc>
        <w:tc>
          <w:tcPr>
            <w:tcW w:w="2551" w:type="dxa"/>
            <w:vAlign w:val="center"/>
          </w:tcPr>
          <w:p>
            <w:pPr>
              <w:pStyle w:val="19"/>
            </w:pPr>
            <w:r>
              <w:t>3.75</w:t>
            </w:r>
          </w:p>
        </w:tc>
      </w:tr>
      <w:tr>
        <w:trPr>
          <w:trHeight w:val="369"/>
        </w:trPr>
        <w:tc>
          <w:tcPr>
            <w:tcW w:w="850" w:type="dxa"/>
            <w:vAlign w:val="center"/>
          </w:tcPr>
          <w:p>
            <w:pPr>
              <w:pStyle w:val="21"/>
            </w:pPr>
            <w:r>
              <w:t>23</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8.88</w:t>
            </w:r>
          </w:p>
        </w:tc>
        <w:tc>
          <w:tcPr>
            <w:tcW w:w="2551" w:type="dxa"/>
            <w:vAlign w:val="center"/>
          </w:tcPr>
          <w:p>
            <w:pPr>
              <w:pStyle w:val="19"/>
            </w:pPr>
          </w:p>
        </w:tc>
        <w:tc>
          <w:tcPr>
            <w:tcW w:w="2551" w:type="dxa"/>
            <w:vAlign w:val="center"/>
          </w:tcPr>
          <w:p>
            <w:pPr>
              <w:pStyle w:val="19"/>
            </w:pPr>
            <w:r>
              <w:t>8.88</w:t>
            </w:r>
          </w:p>
        </w:tc>
      </w:tr>
      <w:tr>
        <w:trPr>
          <w:trHeight w:val="369"/>
        </w:trPr>
        <w:tc>
          <w:tcPr>
            <w:tcW w:w="850" w:type="dxa"/>
            <w:vAlign w:val="center"/>
          </w:tcPr>
          <w:p>
            <w:pPr>
              <w:pStyle w:val="21"/>
            </w:pPr>
            <w:r>
              <w:t>24</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0.71</w:t>
            </w:r>
          </w:p>
        </w:tc>
        <w:tc>
          <w:tcPr>
            <w:tcW w:w="2551" w:type="dxa"/>
            <w:vAlign w:val="center"/>
          </w:tcPr>
          <w:p>
            <w:pPr>
              <w:pStyle w:val="19"/>
            </w:pPr>
          </w:p>
        </w:tc>
        <w:tc>
          <w:tcPr>
            <w:tcW w:w="2551" w:type="dxa"/>
            <w:vAlign w:val="center"/>
          </w:tcPr>
          <w:p>
            <w:pPr>
              <w:pStyle w:val="19"/>
            </w:pPr>
            <w:r>
              <w:t>0.71</w:t>
            </w:r>
          </w:p>
        </w:tc>
      </w:tr>
      <w:tr>
        <w:trPr>
          <w:trHeight w:val="369"/>
        </w:trPr>
        <w:tc>
          <w:tcPr>
            <w:tcW w:w="850" w:type="dxa"/>
            <w:vAlign w:val="center"/>
          </w:tcPr>
          <w:p>
            <w:pPr>
              <w:pStyle w:val="21"/>
            </w:pPr>
            <w:r>
              <w:t>25</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5.33</w:t>
            </w:r>
          </w:p>
        </w:tc>
        <w:tc>
          <w:tcPr>
            <w:tcW w:w="2551" w:type="dxa"/>
            <w:vAlign w:val="center"/>
          </w:tcPr>
          <w:p>
            <w:pPr>
              <w:pStyle w:val="19"/>
            </w:pPr>
            <w:r>
              <w:t>5.33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4.22</w:t>
            </w:r>
          </w:p>
        </w:tc>
        <w:tc>
          <w:tcPr>
            <w:tcW w:w="2551" w:type="dxa"/>
            <w:vAlign w:val="center"/>
          </w:tcPr>
          <w:p>
            <w:pPr>
              <w:pStyle w:val="19"/>
            </w:pPr>
            <w:r>
              <w:t>4.22</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0.88</w:t>
            </w:r>
          </w:p>
        </w:tc>
        <w:tc>
          <w:tcPr>
            <w:tcW w:w="2551" w:type="dxa"/>
            <w:vAlign w:val="center"/>
          </w:tcPr>
          <w:p>
            <w:pPr>
              <w:pStyle w:val="19"/>
            </w:pPr>
            <w:r>
              <w:t>0.88</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0.04</w:t>
            </w:r>
          </w:p>
        </w:tc>
        <w:tc>
          <w:tcPr>
            <w:tcW w:w="2551" w:type="dxa"/>
            <w:vAlign w:val="center"/>
          </w:tcPr>
          <w:p>
            <w:pPr>
              <w:pStyle w:val="19"/>
            </w:pPr>
            <w:r>
              <w:t>0.04</w:t>
            </w:r>
          </w:p>
        </w:tc>
        <w:tc>
          <w:tcPr>
            <w:tcW w:w="2551" w:type="dxa"/>
            <w:vAlign w:val="center"/>
          </w:tcPr>
          <w:p>
            <w:pPr>
              <w:pStyle w:val="19"/>
            </w:pPr>
          </w:p>
        </w:tc>
      </w:tr>
      <w:tr>
        <w:trPr>
          <w:trHeight w:val="369"/>
        </w:trPr>
        <w:tc>
          <w:tcPr>
            <w:tcW w:w="850" w:type="dxa"/>
            <w:vAlign w:val="center"/>
          </w:tcPr>
          <w:p>
            <w:pPr>
              <w:pStyle w:val="21"/>
            </w:pPr>
            <w:r>
              <w:t>29</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0.19</w:t>
            </w:r>
          </w:p>
        </w:tc>
        <w:tc>
          <w:tcPr>
            <w:tcW w:w="2551" w:type="dxa"/>
            <w:vAlign w:val="center"/>
          </w:tcPr>
          <w:p>
            <w:pPr>
              <w:pStyle w:val="19"/>
            </w:pPr>
            <w:r>
              <w:t>0.19</w:t>
            </w:r>
          </w:p>
        </w:tc>
        <w:tc>
          <w:tcPr>
            <w:tcW w:w="2551" w:type="dxa"/>
            <w:vAlign w:val="center"/>
          </w:tcPr>
          <w:p>
            <w:pPr>
              <w:pStyle w:val="19"/>
            </w:pPr>
          </w:p>
        </w:tc>
      </w:tr>
      <w:tr>
        <w:trPr>
          <w:trHeight w:val="369"/>
        </w:trPr>
        <w:tc>
          <w:tcPr>
            <w:tcW w:w="850" w:type="dxa"/>
            <w:vAlign w:val="center"/>
          </w:tcPr>
          <w:p>
            <w:pPr>
              <w:pStyle w:val="21"/>
            </w:pPr>
            <w:r>
              <w:t>30</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19"/>
            </w:pPr>
            <w:r>
              <w:t>0.50</w:t>
            </w:r>
          </w:p>
        </w:tc>
        <w:tc>
          <w:tcPr>
            <w:tcW w:w="2551" w:type="dxa"/>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31</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19"/>
            </w:pPr>
            <w:r>
              <w:t>0.50</w:t>
            </w:r>
          </w:p>
        </w:tc>
        <w:tc>
          <w:tcPr>
            <w:tcW w:w="2551" w:type="dxa"/>
            <w:vAlign w:val="center"/>
          </w:tcPr>
          <w:p>
            <w:pPr>
              <w:pStyle w:val="19"/>
            </w:pPr>
          </w:p>
        </w:tc>
        <w:tc>
          <w:tcPr>
            <w:tcW w:w="2551" w:type="dxa"/>
            <w:vAlign w:val="center"/>
          </w:tcPr>
          <w:p>
            <w:pPr>
              <w:pStyle w:val="19"/>
            </w:pPr>
            <w:r>
              <w:t>0.50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2" w:type="dxa"/>
            <w:vAlign w:val="center"/>
          </w:tcPr>
          <w:p>
            <w:pPr>
              <w:pStyle w:val="23"/>
            </w:pPr>
            <w:r>
              <w:t>23.75</w:t>
            </w:r>
          </w:p>
        </w:tc>
        <w:tc>
          <w:tcPr>
            <w:tcW w:w="2381" w:type="dxa"/>
            <w:vAlign w:val="center"/>
          </w:tcPr>
          <w:p>
            <w:pPr>
              <w:pStyle w:val="23"/>
            </w:pPr>
            <w:r>
              <w:t>23.75</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2" w:type="dxa"/>
            <w:vAlign w:val="center"/>
          </w:tcPr>
          <w:p>
            <w:pPr>
              <w:pStyle w:val="19"/>
            </w:pPr>
            <w:r>
              <w:t>23.75</w:t>
            </w:r>
          </w:p>
        </w:tc>
        <w:tc>
          <w:tcPr>
            <w:tcW w:w="2381" w:type="dxa"/>
            <w:vAlign w:val="center"/>
          </w:tcPr>
          <w:p>
            <w:pPr>
              <w:pStyle w:val="19"/>
            </w:pPr>
            <w:r>
              <w:t>23.75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其中：教学科研人员因公出国（境）费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二、公务用车购置及运维费</w:t>
            </w:r>
          </w:p>
        </w:tc>
        <w:tc>
          <w:tcPr>
            <w:tcW w:w="2382" w:type="dxa"/>
            <w:vAlign w:val="center"/>
          </w:tcPr>
          <w:p>
            <w:pPr>
              <w:pStyle w:val="19"/>
            </w:pPr>
            <w:r>
              <w:t>3.75</w:t>
            </w:r>
          </w:p>
        </w:tc>
        <w:tc>
          <w:tcPr>
            <w:tcW w:w="2381" w:type="dxa"/>
            <w:vAlign w:val="center"/>
          </w:tcPr>
          <w:p>
            <w:pPr>
              <w:pStyle w:val="19"/>
            </w:pPr>
            <w:r>
              <w:t>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2" w:type="dxa"/>
            <w:vAlign w:val="center"/>
          </w:tcPr>
          <w:p>
            <w:pPr>
              <w:pStyle w:val="19"/>
            </w:pPr>
            <w:r>
              <w:t>3.75</w:t>
            </w:r>
          </w:p>
        </w:tc>
        <w:tc>
          <w:tcPr>
            <w:tcW w:w="2381" w:type="dxa"/>
            <w:vAlign w:val="center"/>
          </w:tcPr>
          <w:p>
            <w:pPr>
              <w:pStyle w:val="19"/>
            </w:pPr>
            <w:r>
              <w:t>3.75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2"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河北北戴河经济开发区管理委员会（本级）2022年单位预算信息公开情况说明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按照《预算法》、《地方预决算公开操作规程》和《关于进一步推进预算公开工作的实施意见》规定，现将河北北戴河经济开发区管理委员会（本级）2022年单位预算公开如下：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3"/>
      </w:pPr>
      <w:r>
        <w:t>根据《河北北戴河经济开发区管理委员会（本级）职能配置、内设机构和人员编制规定》，河北北戴河经济开发区管理委员会（本级）的主要职责是：</w:t>
      </w:r>
    </w:p>
    <w:p>
      <w:pPr>
        <w:pStyle w:val="33"/>
      </w:pPr>
      <w:r>
        <w:t>1、编制开发区经济、社会发展规划和年度计划，经批准后组织实施。</w:t>
      </w:r>
    </w:p>
    <w:p>
      <w:pPr>
        <w:pStyle w:val="33"/>
      </w:pPr>
      <w:r>
        <w:t>2、实施国家的法律、法规和政策，执行市、区政府的决议，依法制定和发布开发区行政管理规定，负责开发区内的行政管理。</w:t>
      </w:r>
    </w:p>
    <w:p>
      <w:pPr>
        <w:pStyle w:val="33"/>
      </w:pPr>
      <w:r>
        <w:t>3、依法办理开发区各类企业的审批手续。</w:t>
      </w:r>
    </w:p>
    <w:p>
      <w:pPr>
        <w:pStyle w:val="33"/>
      </w:pPr>
      <w:r>
        <w:t>4、负责对土地及区内其他自然资源进行统一规划、管理和开发经营。审批和审核报批开发区内的投资建设项目，审批和管理各类建设工程的规划、设计、施工组织、工程验收等行政事务。。</w:t>
      </w:r>
    </w:p>
    <w:p>
      <w:pPr>
        <w:pStyle w:val="33"/>
      </w:pPr>
      <w:r>
        <w:t>5、负责基础公用设施的建设管理，规划和管理开发区的环境保护工作。</w:t>
      </w:r>
    </w:p>
    <w:p>
      <w:pPr>
        <w:pStyle w:val="33"/>
      </w:pPr>
      <w:r>
        <w:t>6、按照国家有关规定，管理开发区的进出口和对外经济技术合作。</w:t>
      </w:r>
    </w:p>
    <w:p>
      <w:pPr>
        <w:pStyle w:val="33"/>
      </w:pPr>
      <w:r>
        <w:t>7、管理开发区的财政收支。</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河北北戴河经济开发区管理委员会（本级）</w:t>
            </w:r>
          </w:p>
        </w:tc>
        <w:tc>
          <w:tcPr>
            <w:tcW w:w="1843" w:type="dxa"/>
            <w:vAlign w:val="center"/>
          </w:tcPr>
          <w:p>
            <w:pPr>
              <w:pStyle w:val="21"/>
            </w:pPr>
            <w:r>
              <w:t>行政</w:t>
            </w:r>
          </w:p>
        </w:tc>
        <w:tc>
          <w:tcPr>
            <w:tcW w:w="2126" w:type="dxa"/>
            <w:vAlign w:val="center"/>
          </w:tcPr>
          <w:p>
            <w:pPr>
              <w:pStyle w:val="21"/>
            </w:pPr>
            <w:r>
              <w:t>正处（县）级</w:t>
            </w:r>
          </w:p>
        </w:tc>
        <w:tc>
          <w:tcPr>
            <w:tcW w:w="3827" w:type="dxa"/>
            <w:vAlign w:val="center"/>
          </w:tcPr>
          <w:p>
            <w:pPr>
              <w:pStyle w:val="21"/>
            </w:pPr>
            <w:r>
              <w:t>财政拨款</w:t>
            </w:r>
          </w:p>
        </w:tc>
      </w:tr>
    </w:tbl>
    <w:p>
      <w:pPr>
        <w:spacing w:before="10" w:after="10"/>
        <w:ind w:firstLine="640"/>
        <w:outlineLvl w:val="5"/>
      </w:pPr>
      <w:r>
        <w:rPr>
          <w:rFonts w:ascii="黑体" w:eastAsia="黑体" w:cs="黑体"/>
          <w:color w:val="000000"/>
          <w:sz w:val="32"/>
        </w:rPr>
        <w:t>二、单位预算安排的总体情况</w:t>
      </w:r>
    </w:p>
    <w:p>
      <w:pPr>
        <w:pStyle w:val="34"/>
      </w:pPr>
      <w:bookmarkStart w:id="1" w:name="_GoBack"/>
      <w:bookmarkEnd w:id="1"/>
      <w:r>
        <w:t>按照预算管理有关规定，目前我区单位预算的编制实行综合预算管理，即全部收入和支出都反映在预算中。河北北戴河经济开发区管理委员会（本级）机关的收支包含在单位预算中。</w:t>
      </w:r>
    </w:p>
    <w:p>
      <w:pPr>
        <w:pStyle w:val="34"/>
      </w:pPr>
      <w:r>
        <w:t>1、收入说明</w:t>
      </w:r>
    </w:p>
    <w:p>
      <w:pPr>
        <w:pStyle w:val="34"/>
      </w:pPr>
      <w:r>
        <w:t>2022年预算收入1020.59万元，其中：一般公共预算收入1020.59万元，基金预算收入0万元，财政专户核拨收入0万元，其他来源收入0万元。</w:t>
      </w:r>
    </w:p>
    <w:p>
      <w:pPr>
        <w:pStyle w:val="34"/>
      </w:pPr>
      <w:r>
        <w:t>2、支出说明</w:t>
      </w:r>
    </w:p>
    <w:p>
      <w:pPr>
        <w:pStyle w:val="34"/>
      </w:pPr>
      <w:r>
        <w:t>收支预算总表支出栏、基本支出表、项目支出表按经济分类和支出功能分类科目编制，反映河北北戴河经济开发区管理委员会（本级）年度单位预算中支出预算的总体情况。2022年支出预算为1020.59万元，其中基本支出340.45万元，主要是人员经费243.62万元和日常公用经费96.83万元；项目支出680.14万元，主要为安全生产专项经费1.5万元，工业和信息化工作经费2万元，开发区绿化养护费21.5万元，路灯维护费14.25万元，农民生活补偿费</w:t>
      </w:r>
    </w:p>
    <w:p>
      <w:pPr>
        <w:pStyle w:val="34"/>
      </w:pPr>
      <w:r>
        <w:t>7.84万元，县域科技跃升工作经费9万元，项目前期业务费124万元，雨水管网维护费4.5万元，招商业务费196万元，自然资源和生态环境保护经费2.5万元，开发区网络维护费3万元，劳务派遣专项补助（招商辅助人员）279.05万元，维修费15万元。</w:t>
      </w:r>
    </w:p>
    <w:p>
      <w:pPr>
        <w:pStyle w:val="34"/>
      </w:pPr>
      <w:r>
        <w:t>3、比上年增减情况</w:t>
      </w:r>
    </w:p>
    <w:p>
      <w:pPr>
        <w:pStyle w:val="34"/>
      </w:pPr>
      <w:r>
        <w:t>2022年预算支出安排1020.59万元，较2021年预算增加185.9万元，其中：基本支出减少88.4万元，主要是减少人员经费支出51.31万元，减少日常公用经费支出37.09万元；项目支出增加274.3万元，主要为劳务派遣专项补助（招商辅助人员）279.05万元。</w:t>
      </w:r>
    </w:p>
    <w:p>
      <w:pPr>
        <w:spacing w:before="10" w:after="10"/>
        <w:ind w:firstLine="640"/>
        <w:outlineLvl w:val="5"/>
      </w:pPr>
      <w:r>
        <w:rPr>
          <w:rFonts w:ascii="黑体" w:eastAsia="黑体" w:cs="黑体"/>
          <w:color w:val="000000"/>
          <w:sz w:val="32"/>
        </w:rPr>
        <w:t>三、机关运行经费安排情况</w:t>
      </w:r>
    </w:p>
    <w:p>
      <w:pPr>
        <w:pStyle w:val="35"/>
      </w:pPr>
      <w:r>
        <w:t>机关运行经费共计安排96.83万元，主要用于机关办公区的办公及印刷费、邮电费、公务用车运行维护费等日常运行支出。其中：办公及印刷费4万元、邮电费7.4万元、福利费2万元、公务交通补贴8.88万元，培训费2.23万元，离退休干部经费0.71万元，工会经费2.98万元，公务用车运行维护费以及其他费用68.63万元。</w:t>
      </w:r>
    </w:p>
    <w:p>
      <w:pPr>
        <w:spacing w:before="10" w:after="10"/>
        <w:ind w:firstLine="640"/>
        <w:outlineLvl w:val="5"/>
      </w:pPr>
      <w:r>
        <w:rPr>
          <w:rFonts w:ascii="黑体" w:eastAsia="黑体" w:cs="黑体"/>
          <w:color w:val="000000"/>
          <w:sz w:val="32"/>
        </w:rPr>
        <w:t>四、财政拨款“三公”经费预算情况及增减变化原因</w:t>
      </w:r>
    </w:p>
    <w:p>
      <w:pPr>
        <w:pStyle w:val="36"/>
      </w:pPr>
      <w:r>
        <w:t>2022年，我单位财政拨款“三公”经费预算安排23.75万元，与上年持平，无增减变化。其中：因公出国（境）费0万元，与上年持平，无增减变化；公务用车购置及运维费3.75万元（其中：公务用车购置费为0万元，与上年持平，无增减变化；公务用车运维费3.75万元，与上年持平，无增减变化）；公务接待费20万元，与上年持平，无增减变化。</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1、开发区网络维护费绩效目标表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1.对计算机、网络等故障及时修复，保障日常工作正常开展。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定期现场服务次数</w:t>
            </w:r>
          </w:p>
        </w:tc>
        <w:tc>
          <w:tcPr>
            <w:tcW w:w="2835" w:type="dxa"/>
            <w:vAlign w:val="center"/>
          </w:tcPr>
          <w:p>
            <w:pPr>
              <w:pStyle w:val="20"/>
            </w:pPr>
            <w:r>
              <w:t>定期现场服务次数</w:t>
            </w:r>
          </w:p>
        </w:tc>
        <w:tc>
          <w:tcPr>
            <w:tcW w:w="2551" w:type="dxa"/>
            <w:vAlign w:val="center"/>
          </w:tcPr>
          <w:p>
            <w:pPr>
              <w:pStyle w:val="20"/>
            </w:pPr>
            <w:r>
              <w:t>≥24次</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设备故障修复率</w:t>
            </w:r>
          </w:p>
        </w:tc>
        <w:tc>
          <w:tcPr>
            <w:tcW w:w="2835" w:type="dxa"/>
            <w:vAlign w:val="center"/>
          </w:tcPr>
          <w:p>
            <w:pPr>
              <w:pStyle w:val="20"/>
            </w:pPr>
            <w:r>
              <w:t>设备故障修复率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维护响应时限</w:t>
            </w:r>
          </w:p>
        </w:tc>
        <w:tc>
          <w:tcPr>
            <w:tcW w:w="2835" w:type="dxa"/>
            <w:vAlign w:val="center"/>
          </w:tcPr>
          <w:p>
            <w:pPr>
              <w:pStyle w:val="20"/>
            </w:pPr>
            <w:r>
              <w:t>维护响应时限</w:t>
            </w:r>
          </w:p>
        </w:tc>
        <w:tc>
          <w:tcPr>
            <w:tcW w:w="2551" w:type="dxa"/>
            <w:vAlign w:val="center"/>
          </w:tcPr>
          <w:p>
            <w:pPr>
              <w:pStyle w:val="20"/>
            </w:pPr>
            <w:r>
              <w:t>≤48小时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维护费用总额</w:t>
            </w:r>
          </w:p>
        </w:tc>
        <w:tc>
          <w:tcPr>
            <w:tcW w:w="2835" w:type="dxa"/>
            <w:vAlign w:val="center"/>
          </w:tcPr>
          <w:p>
            <w:pPr>
              <w:pStyle w:val="20"/>
            </w:pPr>
            <w:r>
              <w:t>维护费用总额</w:t>
            </w:r>
          </w:p>
        </w:tc>
        <w:tc>
          <w:tcPr>
            <w:tcW w:w="2551" w:type="dxa"/>
            <w:vAlign w:val="center"/>
          </w:tcPr>
          <w:p>
            <w:pPr>
              <w:pStyle w:val="20"/>
            </w:pPr>
            <w:r>
              <w:t>≤3万元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设备运行良好</w:t>
            </w:r>
          </w:p>
        </w:tc>
        <w:tc>
          <w:tcPr>
            <w:tcW w:w="2835" w:type="dxa"/>
            <w:vAlign w:val="center"/>
          </w:tcPr>
          <w:p>
            <w:pPr>
              <w:pStyle w:val="20"/>
            </w:pPr>
            <w:r>
              <w:t>设备运行良好</w:t>
            </w:r>
          </w:p>
        </w:tc>
        <w:tc>
          <w:tcPr>
            <w:tcW w:w="2551" w:type="dxa"/>
            <w:vAlign w:val="center"/>
          </w:tcPr>
          <w:p>
            <w:pPr>
              <w:pStyle w:val="20"/>
            </w:pPr>
            <w:r>
              <w:t>设备得到及时维护，保障日常办公需求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2、劳务派遣专项补助（招商辅助人员）绩效目标表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1.及时支付招商辅助人员服务费。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购买辅助人员人数</w:t>
            </w:r>
          </w:p>
        </w:tc>
        <w:tc>
          <w:tcPr>
            <w:tcW w:w="2835" w:type="dxa"/>
            <w:vAlign w:val="center"/>
          </w:tcPr>
          <w:p>
            <w:pPr>
              <w:pStyle w:val="20"/>
            </w:pPr>
            <w:r>
              <w:t>购买辅助人员人数</w:t>
            </w:r>
          </w:p>
        </w:tc>
        <w:tc>
          <w:tcPr>
            <w:tcW w:w="2551" w:type="dxa"/>
            <w:vAlign w:val="center"/>
          </w:tcPr>
          <w:p>
            <w:pPr>
              <w:pStyle w:val="20"/>
            </w:pPr>
            <w:r>
              <w:t>24人</w:t>
            </w:r>
          </w:p>
        </w:tc>
        <w:tc>
          <w:tcPr>
            <w:tcW w:w="2268" w:type="dxa"/>
            <w:vAlign w:val="center"/>
          </w:tcPr>
          <w:p>
            <w:pPr>
              <w:pStyle w:val="20"/>
            </w:pPr>
            <w:r>
              <w:t>合同约定</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辅助人员工作完成率</w:t>
            </w:r>
          </w:p>
        </w:tc>
        <w:tc>
          <w:tcPr>
            <w:tcW w:w="2835" w:type="dxa"/>
            <w:vAlign w:val="center"/>
          </w:tcPr>
          <w:p>
            <w:pPr>
              <w:pStyle w:val="20"/>
            </w:pPr>
            <w:r>
              <w:t>辅助人员工作完成率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服务费支付时间</w:t>
            </w:r>
          </w:p>
        </w:tc>
        <w:tc>
          <w:tcPr>
            <w:tcW w:w="2835" w:type="dxa"/>
            <w:vAlign w:val="center"/>
          </w:tcPr>
          <w:p>
            <w:pPr>
              <w:pStyle w:val="20"/>
            </w:pPr>
            <w:r>
              <w:t>服务费支付时间</w:t>
            </w:r>
          </w:p>
        </w:tc>
        <w:tc>
          <w:tcPr>
            <w:tcW w:w="2551" w:type="dxa"/>
            <w:vAlign w:val="center"/>
          </w:tcPr>
          <w:p>
            <w:pPr>
              <w:pStyle w:val="20"/>
            </w:pPr>
            <w:r>
              <w:t>保障辅助人员工资及时发放</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支付金额</w:t>
            </w:r>
          </w:p>
        </w:tc>
        <w:tc>
          <w:tcPr>
            <w:tcW w:w="2835" w:type="dxa"/>
            <w:vAlign w:val="center"/>
          </w:tcPr>
          <w:p>
            <w:pPr>
              <w:pStyle w:val="20"/>
            </w:pPr>
            <w:r>
              <w:t>支付金额</w:t>
            </w:r>
          </w:p>
        </w:tc>
        <w:tc>
          <w:tcPr>
            <w:tcW w:w="2551" w:type="dxa"/>
            <w:vAlign w:val="center"/>
          </w:tcPr>
          <w:p>
            <w:pPr>
              <w:pStyle w:val="20"/>
            </w:pPr>
            <w:r>
              <w:t>按中标金额支付</w:t>
            </w:r>
          </w:p>
        </w:tc>
        <w:tc>
          <w:tcPr>
            <w:tcW w:w="2268" w:type="dxa"/>
            <w:vAlign w:val="center"/>
          </w:tcPr>
          <w:p>
            <w:pPr>
              <w:pStyle w:val="20"/>
            </w:pPr>
            <w:r>
              <w:t>中标金额</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辅助工作完成情况</w:t>
            </w:r>
          </w:p>
        </w:tc>
        <w:tc>
          <w:tcPr>
            <w:tcW w:w="2835" w:type="dxa"/>
            <w:vAlign w:val="center"/>
          </w:tcPr>
          <w:p>
            <w:pPr>
              <w:pStyle w:val="20"/>
            </w:pPr>
            <w:r>
              <w:t>辅助工作完成情况</w:t>
            </w:r>
          </w:p>
        </w:tc>
        <w:tc>
          <w:tcPr>
            <w:tcW w:w="2551" w:type="dxa"/>
            <w:vAlign w:val="center"/>
          </w:tcPr>
          <w:p>
            <w:pPr>
              <w:pStyle w:val="20"/>
            </w:pPr>
            <w:r>
              <w:t>辅助工作高效完成</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辅助人员满意度</w:t>
            </w:r>
          </w:p>
        </w:tc>
        <w:tc>
          <w:tcPr>
            <w:tcW w:w="2835" w:type="dxa"/>
            <w:vAlign w:val="center"/>
          </w:tcPr>
          <w:p>
            <w:pPr>
              <w:pStyle w:val="20"/>
            </w:pPr>
            <w:r>
              <w:t>辅助人员满意度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3、维修费绩效目标表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1.对管委办公楼日常损坏及时进行维修，保障管委办公楼正常使用。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工程完工率</w:t>
            </w:r>
          </w:p>
        </w:tc>
        <w:tc>
          <w:tcPr>
            <w:tcW w:w="2835" w:type="dxa"/>
            <w:vAlign w:val="center"/>
          </w:tcPr>
          <w:p>
            <w:pPr>
              <w:pStyle w:val="20"/>
            </w:pPr>
            <w:r>
              <w:t>工程施工进度工作量占工程完工总量的比率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工程验收合格率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维修完成时限</w:t>
            </w:r>
          </w:p>
        </w:tc>
        <w:tc>
          <w:tcPr>
            <w:tcW w:w="2835" w:type="dxa"/>
            <w:vAlign w:val="center"/>
          </w:tcPr>
          <w:p>
            <w:pPr>
              <w:pStyle w:val="20"/>
            </w:pPr>
            <w:r>
              <w:t>维修完成时限</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维修总成本</w:t>
            </w:r>
          </w:p>
        </w:tc>
        <w:tc>
          <w:tcPr>
            <w:tcW w:w="2835" w:type="dxa"/>
            <w:vAlign w:val="center"/>
          </w:tcPr>
          <w:p>
            <w:pPr>
              <w:pStyle w:val="20"/>
            </w:pPr>
            <w:r>
              <w:t>维修总成本</w:t>
            </w:r>
          </w:p>
        </w:tc>
        <w:tc>
          <w:tcPr>
            <w:tcW w:w="2551" w:type="dxa"/>
            <w:vAlign w:val="center"/>
          </w:tcPr>
          <w:p>
            <w:pPr>
              <w:pStyle w:val="20"/>
            </w:pPr>
            <w:r>
              <w:t>按评审后金额支付</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日常办公保障情况</w:t>
            </w:r>
          </w:p>
        </w:tc>
        <w:tc>
          <w:tcPr>
            <w:tcW w:w="2835" w:type="dxa"/>
            <w:vAlign w:val="center"/>
          </w:tcPr>
          <w:p>
            <w:pPr>
              <w:pStyle w:val="20"/>
            </w:pPr>
            <w:r>
              <w:t>日常办公保障情况</w:t>
            </w:r>
          </w:p>
        </w:tc>
        <w:tc>
          <w:tcPr>
            <w:tcW w:w="2551" w:type="dxa"/>
            <w:vAlign w:val="center"/>
          </w:tcPr>
          <w:p>
            <w:pPr>
              <w:pStyle w:val="20"/>
            </w:pPr>
            <w:r>
              <w:t>保障管委办公楼正常使用</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职工满意度</w:t>
            </w:r>
          </w:p>
        </w:tc>
        <w:tc>
          <w:tcPr>
            <w:tcW w:w="2835" w:type="dxa"/>
            <w:vAlign w:val="center"/>
          </w:tcPr>
          <w:p>
            <w:pPr>
              <w:pStyle w:val="20"/>
            </w:pPr>
            <w:r>
              <w:t>职工满意度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4、安全生产专项经费绩效目标表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1.保障开发区安全生产工作顺利开展。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督导检查完成率</w:t>
            </w:r>
          </w:p>
        </w:tc>
        <w:tc>
          <w:tcPr>
            <w:tcW w:w="2835" w:type="dxa"/>
            <w:vAlign w:val="center"/>
          </w:tcPr>
          <w:p>
            <w:pPr>
              <w:pStyle w:val="20"/>
            </w:pPr>
            <w:r>
              <w:t>督导检查完成率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发现问题整改率</w:t>
            </w:r>
          </w:p>
        </w:tc>
        <w:tc>
          <w:tcPr>
            <w:tcW w:w="2835" w:type="dxa"/>
            <w:vAlign w:val="center"/>
          </w:tcPr>
          <w:p>
            <w:pPr>
              <w:pStyle w:val="20"/>
            </w:pPr>
            <w:r>
              <w:t>发现问题整改率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事故响应时间</w:t>
            </w:r>
          </w:p>
        </w:tc>
        <w:tc>
          <w:tcPr>
            <w:tcW w:w="2835" w:type="dxa"/>
            <w:vAlign w:val="center"/>
          </w:tcPr>
          <w:p>
            <w:pPr>
              <w:pStyle w:val="20"/>
            </w:pPr>
            <w:r>
              <w:t>事故响应时间</w:t>
            </w:r>
          </w:p>
        </w:tc>
        <w:tc>
          <w:tcPr>
            <w:tcW w:w="2551" w:type="dxa"/>
            <w:vAlign w:val="center"/>
          </w:tcPr>
          <w:p>
            <w:pPr>
              <w:pStyle w:val="20"/>
            </w:pPr>
            <w:r>
              <w:t>发现问题能够及时处置</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安全生产工作成果</w:t>
            </w:r>
          </w:p>
        </w:tc>
        <w:tc>
          <w:tcPr>
            <w:tcW w:w="2835" w:type="dxa"/>
            <w:vAlign w:val="center"/>
          </w:tcPr>
          <w:p>
            <w:pPr>
              <w:pStyle w:val="20"/>
            </w:pPr>
            <w:r>
              <w:t>安全生产工作成果</w:t>
            </w:r>
          </w:p>
        </w:tc>
        <w:tc>
          <w:tcPr>
            <w:tcW w:w="2551" w:type="dxa"/>
            <w:vAlign w:val="center"/>
          </w:tcPr>
          <w:p>
            <w:pPr>
              <w:pStyle w:val="20"/>
            </w:pPr>
            <w:r>
              <w:t>提高企业安全生产意识，降低安全事故发生</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5、工业和信息化工作经费绩效目标表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1.保障全区工信工作顺利开展。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培育中小企业数量</w:t>
            </w:r>
          </w:p>
        </w:tc>
        <w:tc>
          <w:tcPr>
            <w:tcW w:w="2835" w:type="dxa"/>
            <w:vAlign w:val="center"/>
          </w:tcPr>
          <w:p>
            <w:pPr>
              <w:pStyle w:val="20"/>
            </w:pPr>
            <w:r>
              <w:t>培育中小企业数量</w:t>
            </w:r>
          </w:p>
        </w:tc>
        <w:tc>
          <w:tcPr>
            <w:tcW w:w="2551" w:type="dxa"/>
            <w:vAlign w:val="center"/>
          </w:tcPr>
          <w:p>
            <w:pPr>
              <w:pStyle w:val="20"/>
            </w:pPr>
            <w:r>
              <w:t>≥3家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新增规上工业企业数量</w:t>
            </w:r>
          </w:p>
        </w:tc>
        <w:tc>
          <w:tcPr>
            <w:tcW w:w="2835" w:type="dxa"/>
            <w:vAlign w:val="center"/>
          </w:tcPr>
          <w:p>
            <w:pPr>
              <w:pStyle w:val="20"/>
            </w:pPr>
            <w:r>
              <w:t>新增规上工业企业数量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工信业务完成时效</w:t>
            </w:r>
          </w:p>
        </w:tc>
        <w:tc>
          <w:tcPr>
            <w:tcW w:w="2835" w:type="dxa"/>
            <w:vAlign w:val="center"/>
          </w:tcPr>
          <w:p>
            <w:pPr>
              <w:pStyle w:val="20"/>
            </w:pPr>
            <w:r>
              <w:t>工信业务完成时效</w:t>
            </w:r>
          </w:p>
        </w:tc>
        <w:tc>
          <w:tcPr>
            <w:tcW w:w="2551" w:type="dxa"/>
            <w:vAlign w:val="center"/>
          </w:tcPr>
          <w:p>
            <w:pPr>
              <w:pStyle w:val="20"/>
            </w:pPr>
            <w:r>
              <w:t>具体业务能及时完成</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≤2万元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工作成果</w:t>
            </w:r>
          </w:p>
        </w:tc>
        <w:tc>
          <w:tcPr>
            <w:tcW w:w="2835" w:type="dxa"/>
            <w:vAlign w:val="center"/>
          </w:tcPr>
          <w:p>
            <w:pPr>
              <w:pStyle w:val="20"/>
            </w:pPr>
            <w:r>
              <w:t>工作成果</w:t>
            </w:r>
          </w:p>
        </w:tc>
        <w:tc>
          <w:tcPr>
            <w:tcW w:w="2551" w:type="dxa"/>
            <w:vAlign w:val="center"/>
          </w:tcPr>
          <w:p>
            <w:pPr>
              <w:pStyle w:val="20"/>
            </w:pPr>
            <w:r>
              <w:t>促进企业转型升级，提升中小企业发展水平</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6、开发区绿化养护费绩效目标表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1.对开发区管委院内及周边道路苗木开展绿化养护和冬季防寒工程，保障苗木完好。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绿化工程完工率</w:t>
            </w:r>
          </w:p>
        </w:tc>
        <w:tc>
          <w:tcPr>
            <w:tcW w:w="2835" w:type="dxa"/>
            <w:vAlign w:val="center"/>
          </w:tcPr>
          <w:p>
            <w:pPr>
              <w:pStyle w:val="20"/>
            </w:pPr>
            <w:r>
              <w:t>绿化工程完成部分占计划工程的比率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苗木完好率</w:t>
            </w:r>
          </w:p>
        </w:tc>
        <w:tc>
          <w:tcPr>
            <w:tcW w:w="2835" w:type="dxa"/>
            <w:vAlign w:val="center"/>
          </w:tcPr>
          <w:p>
            <w:pPr>
              <w:pStyle w:val="20"/>
            </w:pPr>
            <w:r>
              <w:t>苗木完好率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按时完成绿化工程</w:t>
            </w:r>
          </w:p>
        </w:tc>
        <w:tc>
          <w:tcPr>
            <w:tcW w:w="2835" w:type="dxa"/>
            <w:vAlign w:val="center"/>
          </w:tcPr>
          <w:p>
            <w:pPr>
              <w:pStyle w:val="20"/>
            </w:pPr>
            <w:r>
              <w:t>按时完成绿化工程</w:t>
            </w:r>
          </w:p>
        </w:tc>
        <w:tc>
          <w:tcPr>
            <w:tcW w:w="2551" w:type="dxa"/>
            <w:vAlign w:val="center"/>
          </w:tcPr>
          <w:p>
            <w:pPr>
              <w:pStyle w:val="20"/>
            </w:pPr>
            <w:r>
              <w:t>按合同约定时间完成绿化养护和防寒工程</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绿化费用</w:t>
            </w:r>
          </w:p>
        </w:tc>
        <w:tc>
          <w:tcPr>
            <w:tcW w:w="2835" w:type="dxa"/>
            <w:vAlign w:val="center"/>
          </w:tcPr>
          <w:p>
            <w:pPr>
              <w:pStyle w:val="20"/>
            </w:pPr>
            <w:r>
              <w:t>绿化费用</w:t>
            </w:r>
          </w:p>
        </w:tc>
        <w:tc>
          <w:tcPr>
            <w:tcW w:w="2551" w:type="dxa"/>
            <w:vAlign w:val="center"/>
          </w:tcPr>
          <w:p>
            <w:pPr>
              <w:pStyle w:val="20"/>
            </w:pPr>
            <w:r>
              <w:t>绿化费用按评审后金额支付，不超合同金额</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保持开发区绿化水平</w:t>
            </w:r>
          </w:p>
        </w:tc>
        <w:tc>
          <w:tcPr>
            <w:tcW w:w="2835" w:type="dxa"/>
            <w:vAlign w:val="center"/>
          </w:tcPr>
          <w:p>
            <w:pPr>
              <w:pStyle w:val="20"/>
            </w:pPr>
            <w:r>
              <w:t>保持开发区绿化水平</w:t>
            </w:r>
          </w:p>
        </w:tc>
        <w:tc>
          <w:tcPr>
            <w:tcW w:w="2551" w:type="dxa"/>
            <w:vAlign w:val="center"/>
          </w:tcPr>
          <w:p>
            <w:pPr>
              <w:pStyle w:val="20"/>
            </w:pPr>
            <w:r>
              <w:t>保持开发区绿化水平</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单位人员满意度</w:t>
            </w:r>
          </w:p>
        </w:tc>
        <w:tc>
          <w:tcPr>
            <w:tcW w:w="2835" w:type="dxa"/>
            <w:vAlign w:val="center"/>
          </w:tcPr>
          <w:p>
            <w:pPr>
              <w:pStyle w:val="20"/>
            </w:pPr>
            <w:r>
              <w:t>单位人员满意度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7、路灯维护费绩效目标表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1.保障开发区道路照明需求。</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路灯亮灯率</w:t>
            </w:r>
          </w:p>
        </w:tc>
        <w:tc>
          <w:tcPr>
            <w:tcW w:w="2835" w:type="dxa"/>
            <w:vAlign w:val="center"/>
          </w:tcPr>
          <w:p>
            <w:pPr>
              <w:pStyle w:val="20"/>
            </w:pPr>
            <w:r>
              <w:t>路灯亮灯率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路灯设施完好率</w:t>
            </w:r>
          </w:p>
        </w:tc>
        <w:tc>
          <w:tcPr>
            <w:tcW w:w="2835" w:type="dxa"/>
            <w:vAlign w:val="center"/>
          </w:tcPr>
          <w:p>
            <w:pPr>
              <w:pStyle w:val="20"/>
            </w:pPr>
            <w:r>
              <w:t>路灯设施完好率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路灯故障修复时间</w:t>
            </w:r>
          </w:p>
        </w:tc>
        <w:tc>
          <w:tcPr>
            <w:tcW w:w="2835" w:type="dxa"/>
            <w:vAlign w:val="center"/>
          </w:tcPr>
          <w:p>
            <w:pPr>
              <w:pStyle w:val="20"/>
            </w:pPr>
            <w:r>
              <w:t>路灯故障修复时间</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≤14.25万元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照明保障情况</w:t>
            </w:r>
          </w:p>
        </w:tc>
        <w:tc>
          <w:tcPr>
            <w:tcW w:w="2835" w:type="dxa"/>
            <w:vAlign w:val="center"/>
          </w:tcPr>
          <w:p>
            <w:pPr>
              <w:pStyle w:val="20"/>
            </w:pPr>
            <w:r>
              <w:t>照明保障情况</w:t>
            </w:r>
          </w:p>
        </w:tc>
        <w:tc>
          <w:tcPr>
            <w:tcW w:w="2551" w:type="dxa"/>
            <w:vAlign w:val="center"/>
          </w:tcPr>
          <w:p>
            <w:pPr>
              <w:pStyle w:val="20"/>
            </w:pPr>
            <w:r>
              <w:t>有效保障开发区道路照明需求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8、农民生活补偿费绩效目标表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1.足额支付蔡各庄村农民生活补偿费。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7.84万元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资金拨付准确率</w:t>
            </w:r>
          </w:p>
        </w:tc>
        <w:tc>
          <w:tcPr>
            <w:tcW w:w="2835" w:type="dxa"/>
            <w:vAlign w:val="center"/>
          </w:tcPr>
          <w:p>
            <w:pPr>
              <w:pStyle w:val="20"/>
            </w:pPr>
            <w:r>
              <w:t>资料拨付准确率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资金拨付时间</w:t>
            </w:r>
          </w:p>
        </w:tc>
        <w:tc>
          <w:tcPr>
            <w:tcW w:w="2835" w:type="dxa"/>
            <w:vAlign w:val="center"/>
          </w:tcPr>
          <w:p>
            <w:pPr>
              <w:pStyle w:val="20"/>
            </w:pPr>
            <w:r>
              <w:t>资金拨付时间</w:t>
            </w:r>
          </w:p>
        </w:tc>
        <w:tc>
          <w:tcPr>
            <w:tcW w:w="2551" w:type="dxa"/>
            <w:vAlign w:val="center"/>
          </w:tcPr>
          <w:p>
            <w:pPr>
              <w:pStyle w:val="20"/>
            </w:pPr>
            <w:r>
              <w:t>资金当年及时拨付</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资金拨付率</w:t>
            </w:r>
          </w:p>
        </w:tc>
        <w:tc>
          <w:tcPr>
            <w:tcW w:w="2835" w:type="dxa"/>
            <w:vAlign w:val="center"/>
          </w:tcPr>
          <w:p>
            <w:pPr>
              <w:pStyle w:val="20"/>
            </w:pPr>
            <w:r>
              <w:t>资金拨付率</w:t>
            </w:r>
          </w:p>
        </w:tc>
        <w:tc>
          <w:tcPr>
            <w:tcW w:w="2551" w:type="dxa"/>
            <w:vAlign w:val="center"/>
          </w:tcPr>
          <w:p>
            <w:pPr>
              <w:pStyle w:val="20"/>
            </w:pPr>
            <w:r>
              <w:t>100%</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维护社会稳定</w:t>
            </w:r>
          </w:p>
        </w:tc>
        <w:tc>
          <w:tcPr>
            <w:tcW w:w="2835" w:type="dxa"/>
            <w:vAlign w:val="center"/>
          </w:tcPr>
          <w:p>
            <w:pPr>
              <w:pStyle w:val="20"/>
            </w:pPr>
            <w:r>
              <w:t>维护社会稳定</w:t>
            </w:r>
          </w:p>
        </w:tc>
        <w:tc>
          <w:tcPr>
            <w:tcW w:w="2551" w:type="dxa"/>
            <w:vAlign w:val="center"/>
          </w:tcPr>
          <w:p>
            <w:pPr>
              <w:pStyle w:val="20"/>
            </w:pPr>
            <w:r>
              <w:t>有效补偿农民失地损失，维护社会稳定</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村委会满意度</w:t>
            </w:r>
          </w:p>
        </w:tc>
        <w:tc>
          <w:tcPr>
            <w:tcW w:w="2835" w:type="dxa"/>
            <w:vAlign w:val="center"/>
          </w:tcPr>
          <w:p>
            <w:pPr>
              <w:pStyle w:val="20"/>
            </w:pPr>
            <w:r>
              <w:t>村委会满意度</w:t>
            </w:r>
          </w:p>
        </w:tc>
        <w:tc>
          <w:tcPr>
            <w:tcW w:w="2551" w:type="dxa"/>
            <w:vAlign w:val="center"/>
          </w:tcPr>
          <w:p>
            <w:pPr>
              <w:pStyle w:val="20"/>
            </w:pPr>
            <w:r>
              <w:t>100%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9、县域科技跃升工作经费绩效目标表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1.保障全区科技工作顺利开展。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培育科技企业数量</w:t>
            </w:r>
          </w:p>
        </w:tc>
        <w:tc>
          <w:tcPr>
            <w:tcW w:w="2835" w:type="dxa"/>
            <w:vAlign w:val="center"/>
          </w:tcPr>
          <w:p>
            <w:pPr>
              <w:pStyle w:val="20"/>
            </w:pPr>
            <w:r>
              <w:t>培育科技企业数量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新增高新技术企业数量</w:t>
            </w:r>
          </w:p>
        </w:tc>
        <w:tc>
          <w:tcPr>
            <w:tcW w:w="2835" w:type="dxa"/>
            <w:vAlign w:val="center"/>
          </w:tcPr>
          <w:p>
            <w:pPr>
              <w:pStyle w:val="20"/>
            </w:pPr>
            <w:r>
              <w:t>新增高新技术企业数量</w:t>
            </w:r>
          </w:p>
        </w:tc>
        <w:tc>
          <w:tcPr>
            <w:tcW w:w="2551" w:type="dxa"/>
            <w:vAlign w:val="center"/>
          </w:tcPr>
          <w:p>
            <w:pPr>
              <w:pStyle w:val="20"/>
            </w:pPr>
            <w:r>
              <w:t>≥1家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科技业务完成时效</w:t>
            </w:r>
          </w:p>
        </w:tc>
        <w:tc>
          <w:tcPr>
            <w:tcW w:w="2835" w:type="dxa"/>
            <w:vAlign w:val="center"/>
          </w:tcPr>
          <w:p>
            <w:pPr>
              <w:pStyle w:val="20"/>
            </w:pPr>
            <w:r>
              <w:t>科技业务完成时效</w:t>
            </w:r>
          </w:p>
        </w:tc>
        <w:tc>
          <w:tcPr>
            <w:tcW w:w="2551" w:type="dxa"/>
            <w:vAlign w:val="center"/>
          </w:tcPr>
          <w:p>
            <w:pPr>
              <w:pStyle w:val="20"/>
            </w:pPr>
            <w:r>
              <w:t>具体业务能及时完成</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≤9万元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工作成果</w:t>
            </w:r>
          </w:p>
        </w:tc>
        <w:tc>
          <w:tcPr>
            <w:tcW w:w="2835" w:type="dxa"/>
            <w:vAlign w:val="center"/>
          </w:tcPr>
          <w:p>
            <w:pPr>
              <w:pStyle w:val="20"/>
            </w:pPr>
            <w:r>
              <w:t>工作成果</w:t>
            </w:r>
          </w:p>
        </w:tc>
        <w:tc>
          <w:tcPr>
            <w:tcW w:w="2551" w:type="dxa"/>
            <w:vAlign w:val="center"/>
          </w:tcPr>
          <w:p>
            <w:pPr>
              <w:pStyle w:val="20"/>
            </w:pPr>
            <w:r>
              <w:t>完善科技服务平台，提升企业科技创新积极性</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10、项目前期业务费绩效目标表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1.保障项目前期工作顺利完成。</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包装策划项目数</w:t>
            </w:r>
          </w:p>
        </w:tc>
        <w:tc>
          <w:tcPr>
            <w:tcW w:w="2835" w:type="dxa"/>
            <w:vAlign w:val="center"/>
          </w:tcPr>
          <w:p>
            <w:pPr>
              <w:pStyle w:val="20"/>
            </w:pPr>
            <w:r>
              <w:t>包装策划项目数</w:t>
            </w:r>
          </w:p>
        </w:tc>
        <w:tc>
          <w:tcPr>
            <w:tcW w:w="2551" w:type="dxa"/>
            <w:vAlign w:val="center"/>
          </w:tcPr>
          <w:p>
            <w:pPr>
              <w:pStyle w:val="20"/>
            </w:pPr>
            <w:r>
              <w:t>≥10个</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项目前期调研完成率</w:t>
            </w:r>
          </w:p>
        </w:tc>
        <w:tc>
          <w:tcPr>
            <w:tcW w:w="2835" w:type="dxa"/>
            <w:vAlign w:val="center"/>
          </w:tcPr>
          <w:p>
            <w:pPr>
              <w:pStyle w:val="20"/>
            </w:pPr>
            <w:r>
              <w:t>项目前期调研完成率</w:t>
            </w:r>
          </w:p>
        </w:tc>
        <w:tc>
          <w:tcPr>
            <w:tcW w:w="2551" w:type="dxa"/>
            <w:vAlign w:val="center"/>
          </w:tcPr>
          <w:p>
            <w:pPr>
              <w:pStyle w:val="20"/>
            </w:pPr>
            <w:r>
              <w:t>≥90%</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企业落地手续办结时限</w:t>
            </w:r>
          </w:p>
        </w:tc>
        <w:tc>
          <w:tcPr>
            <w:tcW w:w="2835" w:type="dxa"/>
            <w:vAlign w:val="center"/>
          </w:tcPr>
          <w:p>
            <w:pPr>
              <w:pStyle w:val="20"/>
            </w:pPr>
            <w:r>
              <w:t>企业落地手续办结时限</w:t>
            </w:r>
          </w:p>
        </w:tc>
        <w:tc>
          <w:tcPr>
            <w:tcW w:w="2551" w:type="dxa"/>
            <w:vAlign w:val="center"/>
          </w:tcPr>
          <w:p>
            <w:pPr>
              <w:pStyle w:val="20"/>
            </w:pPr>
            <w:r>
              <w:t>≤3天</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≤124万元</w:t>
            </w:r>
          </w:p>
        </w:tc>
        <w:tc>
          <w:tcPr>
            <w:tcW w:w="2268" w:type="dxa"/>
            <w:vAlign w:val="center"/>
          </w:tcPr>
          <w:p>
            <w:pPr>
              <w:pStyle w:val="20"/>
            </w:pPr>
            <w:r>
              <w:t>往年工作情况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开发区企业年缴税总额</w:t>
            </w:r>
          </w:p>
        </w:tc>
        <w:tc>
          <w:tcPr>
            <w:tcW w:w="2835" w:type="dxa"/>
            <w:vAlign w:val="center"/>
          </w:tcPr>
          <w:p>
            <w:pPr>
              <w:pStyle w:val="20"/>
            </w:pPr>
            <w:r>
              <w:t>开发区企业年缴税总额</w:t>
            </w:r>
          </w:p>
        </w:tc>
        <w:tc>
          <w:tcPr>
            <w:tcW w:w="2551" w:type="dxa"/>
            <w:vAlign w:val="center"/>
          </w:tcPr>
          <w:p>
            <w:pPr>
              <w:pStyle w:val="20"/>
            </w:pPr>
            <w:r>
              <w:t>≥7亿元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招商引资成效</w:t>
            </w:r>
          </w:p>
        </w:tc>
        <w:tc>
          <w:tcPr>
            <w:tcW w:w="2835" w:type="dxa"/>
            <w:vAlign w:val="center"/>
          </w:tcPr>
          <w:p>
            <w:pPr>
              <w:pStyle w:val="20"/>
            </w:pPr>
            <w:r>
              <w:t>招商引资成效</w:t>
            </w:r>
          </w:p>
        </w:tc>
        <w:tc>
          <w:tcPr>
            <w:tcW w:w="2551" w:type="dxa"/>
            <w:vAlign w:val="center"/>
          </w:tcPr>
          <w:p>
            <w:pPr>
              <w:pStyle w:val="20"/>
            </w:pPr>
            <w:r>
              <w:t>提升我区知名度，增强我区经济实力</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11、雨水管网维护费绩效目标表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1.保障开发区雨水排水需求，避免发生内涝。</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管网畅通率</w:t>
            </w:r>
          </w:p>
        </w:tc>
        <w:tc>
          <w:tcPr>
            <w:tcW w:w="2835" w:type="dxa"/>
            <w:vAlign w:val="center"/>
          </w:tcPr>
          <w:p>
            <w:pPr>
              <w:pStyle w:val="20"/>
            </w:pPr>
            <w:r>
              <w:t>管网畅通率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管网设施完好率</w:t>
            </w:r>
          </w:p>
        </w:tc>
        <w:tc>
          <w:tcPr>
            <w:tcW w:w="2835" w:type="dxa"/>
            <w:vAlign w:val="center"/>
          </w:tcPr>
          <w:p>
            <w:pPr>
              <w:pStyle w:val="20"/>
            </w:pPr>
            <w:r>
              <w:t>管网设施完好率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管网损坏修复时间</w:t>
            </w:r>
          </w:p>
        </w:tc>
        <w:tc>
          <w:tcPr>
            <w:tcW w:w="2835" w:type="dxa"/>
            <w:vAlign w:val="center"/>
          </w:tcPr>
          <w:p>
            <w:pPr>
              <w:pStyle w:val="20"/>
            </w:pPr>
            <w:r>
              <w:t>管网损坏修复时间</w:t>
            </w:r>
          </w:p>
        </w:tc>
        <w:tc>
          <w:tcPr>
            <w:tcW w:w="2551" w:type="dxa"/>
            <w:vAlign w:val="center"/>
          </w:tcPr>
          <w:p>
            <w:pPr>
              <w:pStyle w:val="20"/>
            </w:pPr>
            <w:r>
              <w:t>≤72小时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≤4.5万元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雨水排水保障情况</w:t>
            </w:r>
          </w:p>
        </w:tc>
        <w:tc>
          <w:tcPr>
            <w:tcW w:w="2835" w:type="dxa"/>
            <w:vAlign w:val="center"/>
          </w:tcPr>
          <w:p>
            <w:pPr>
              <w:pStyle w:val="20"/>
            </w:pPr>
            <w:r>
              <w:t>雨水排水保障情况</w:t>
            </w:r>
          </w:p>
        </w:tc>
        <w:tc>
          <w:tcPr>
            <w:tcW w:w="2551" w:type="dxa"/>
            <w:vAlign w:val="center"/>
          </w:tcPr>
          <w:p>
            <w:pPr>
              <w:pStyle w:val="20"/>
            </w:pPr>
            <w:r>
              <w:t>有效保障开发区雨水排水需求</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人员满意度</w:t>
            </w:r>
          </w:p>
        </w:tc>
        <w:tc>
          <w:tcPr>
            <w:tcW w:w="2835" w:type="dxa"/>
            <w:vAlign w:val="center"/>
          </w:tcPr>
          <w:p>
            <w:pPr>
              <w:pStyle w:val="20"/>
            </w:pPr>
            <w:r>
              <w:t>人员满意度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12、招商业务费绩效目标表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1.通过开展招商引资活动，引进符合我区产业发展方向的企业，增加财政收入。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举办招商活动次数</w:t>
            </w:r>
          </w:p>
        </w:tc>
        <w:tc>
          <w:tcPr>
            <w:tcW w:w="2835" w:type="dxa"/>
            <w:vAlign w:val="center"/>
          </w:tcPr>
          <w:p>
            <w:pPr>
              <w:pStyle w:val="20"/>
            </w:pPr>
            <w:r>
              <w:t>举办较大招商活动的次数</w:t>
            </w:r>
          </w:p>
        </w:tc>
        <w:tc>
          <w:tcPr>
            <w:tcW w:w="2551" w:type="dxa"/>
            <w:vAlign w:val="center"/>
          </w:tcPr>
          <w:p>
            <w:pPr>
              <w:pStyle w:val="20"/>
            </w:pPr>
            <w:r>
              <w:t>≥5次</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引进企业数量</w:t>
            </w:r>
          </w:p>
        </w:tc>
        <w:tc>
          <w:tcPr>
            <w:tcW w:w="2835" w:type="dxa"/>
            <w:vAlign w:val="center"/>
          </w:tcPr>
          <w:p>
            <w:pPr>
              <w:pStyle w:val="20"/>
            </w:pPr>
            <w:r>
              <w:t>引进企业数量</w:t>
            </w:r>
          </w:p>
        </w:tc>
        <w:tc>
          <w:tcPr>
            <w:tcW w:w="2551" w:type="dxa"/>
            <w:vAlign w:val="center"/>
          </w:tcPr>
          <w:p>
            <w:pPr>
              <w:pStyle w:val="20"/>
            </w:pPr>
            <w:r>
              <w:t>≥60家</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企业落地手续办结时限</w:t>
            </w:r>
          </w:p>
        </w:tc>
        <w:tc>
          <w:tcPr>
            <w:tcW w:w="2835" w:type="dxa"/>
            <w:vAlign w:val="center"/>
          </w:tcPr>
          <w:p>
            <w:pPr>
              <w:pStyle w:val="20"/>
            </w:pPr>
            <w:r>
              <w:t>企业落地手续办结时限</w:t>
            </w:r>
          </w:p>
        </w:tc>
        <w:tc>
          <w:tcPr>
            <w:tcW w:w="2551" w:type="dxa"/>
            <w:vAlign w:val="center"/>
          </w:tcPr>
          <w:p>
            <w:pPr>
              <w:pStyle w:val="20"/>
            </w:pPr>
            <w:r>
              <w:t>≤3天</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≤196万元</w:t>
            </w:r>
          </w:p>
        </w:tc>
        <w:tc>
          <w:tcPr>
            <w:tcW w:w="2268" w:type="dxa"/>
            <w:vAlign w:val="center"/>
          </w:tcPr>
          <w:p>
            <w:pPr>
              <w:pStyle w:val="20"/>
            </w:pPr>
            <w:r>
              <w:t>往年工作情况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开发区企业年缴税总额</w:t>
            </w:r>
          </w:p>
        </w:tc>
        <w:tc>
          <w:tcPr>
            <w:tcW w:w="2835" w:type="dxa"/>
            <w:vAlign w:val="center"/>
          </w:tcPr>
          <w:p>
            <w:pPr>
              <w:pStyle w:val="20"/>
            </w:pPr>
            <w:r>
              <w:t>开发区企业年缴税总额</w:t>
            </w:r>
          </w:p>
        </w:tc>
        <w:tc>
          <w:tcPr>
            <w:tcW w:w="2551" w:type="dxa"/>
            <w:vAlign w:val="center"/>
          </w:tcPr>
          <w:p>
            <w:pPr>
              <w:pStyle w:val="20"/>
            </w:pPr>
            <w:r>
              <w:t>≥7亿元</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招商引资成效</w:t>
            </w:r>
          </w:p>
        </w:tc>
        <w:tc>
          <w:tcPr>
            <w:tcW w:w="2835" w:type="dxa"/>
            <w:vAlign w:val="center"/>
          </w:tcPr>
          <w:p>
            <w:pPr>
              <w:pStyle w:val="20"/>
            </w:pPr>
            <w:r>
              <w:t>招商引资成效</w:t>
            </w:r>
          </w:p>
        </w:tc>
        <w:tc>
          <w:tcPr>
            <w:tcW w:w="2551" w:type="dxa"/>
            <w:vAlign w:val="center"/>
          </w:tcPr>
          <w:p>
            <w:pPr>
              <w:pStyle w:val="20"/>
            </w:pPr>
            <w:r>
              <w:t>提升我区知名度，增强我区经济实力</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≥95%</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13、自然资源和生态环境保护经费绩效目标表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1.保障开发区环保工作顺利开展。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督导检查完成率</w:t>
            </w:r>
          </w:p>
        </w:tc>
        <w:tc>
          <w:tcPr>
            <w:tcW w:w="2835" w:type="dxa"/>
            <w:vAlign w:val="center"/>
          </w:tcPr>
          <w:p>
            <w:pPr>
              <w:pStyle w:val="20"/>
            </w:pPr>
            <w:r>
              <w:t>督导检查完成率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发现问题整改率</w:t>
            </w:r>
          </w:p>
        </w:tc>
        <w:tc>
          <w:tcPr>
            <w:tcW w:w="2835" w:type="dxa"/>
            <w:vAlign w:val="center"/>
          </w:tcPr>
          <w:p>
            <w:pPr>
              <w:pStyle w:val="20"/>
            </w:pPr>
            <w:r>
              <w:t>发现问题整改率</w:t>
            </w:r>
          </w:p>
        </w:tc>
        <w:tc>
          <w:tcPr>
            <w:tcW w:w="2551" w:type="dxa"/>
            <w:vAlign w:val="center"/>
          </w:tcPr>
          <w:p>
            <w:pPr>
              <w:pStyle w:val="20"/>
            </w:pPr>
            <w:r>
              <w:t>≥95%</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事故响应时间</w:t>
            </w:r>
          </w:p>
        </w:tc>
        <w:tc>
          <w:tcPr>
            <w:tcW w:w="2835" w:type="dxa"/>
            <w:vAlign w:val="center"/>
          </w:tcPr>
          <w:p>
            <w:pPr>
              <w:pStyle w:val="20"/>
            </w:pPr>
            <w:r>
              <w:t>事故响应时间</w:t>
            </w:r>
          </w:p>
        </w:tc>
        <w:tc>
          <w:tcPr>
            <w:tcW w:w="2551" w:type="dxa"/>
            <w:vAlign w:val="center"/>
          </w:tcPr>
          <w:p>
            <w:pPr>
              <w:pStyle w:val="20"/>
            </w:pPr>
            <w:r>
              <w:t>发现问题能够及时处置</w:t>
            </w:r>
          </w:p>
        </w:tc>
        <w:tc>
          <w:tcPr>
            <w:tcW w:w="2268" w:type="dxa"/>
            <w:vAlign w:val="center"/>
          </w:tcPr>
          <w:p>
            <w:pPr>
              <w:pStyle w:val="20"/>
            </w:pPr>
            <w:r>
              <w:t>往年工作情况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w:t>
            </w:r>
          </w:p>
        </w:tc>
        <w:tc>
          <w:tcPr>
            <w:tcW w:w="2551" w:type="dxa"/>
            <w:vAlign w:val="center"/>
          </w:tcPr>
          <w:p>
            <w:pPr>
              <w:pStyle w:val="20"/>
            </w:pPr>
            <w:r>
              <w:t>≤2.5万元</w:t>
            </w:r>
          </w:p>
        </w:tc>
        <w:tc>
          <w:tcPr>
            <w:tcW w:w="2268" w:type="dxa"/>
            <w:vAlign w:val="center"/>
          </w:tcPr>
          <w:p>
            <w:pPr>
              <w:pStyle w:val="20"/>
            </w:pPr>
            <w:r>
              <w:t>往年工作情况</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环保工作成果</w:t>
            </w:r>
          </w:p>
        </w:tc>
        <w:tc>
          <w:tcPr>
            <w:tcW w:w="2835" w:type="dxa"/>
            <w:vAlign w:val="center"/>
          </w:tcPr>
          <w:p>
            <w:pPr>
              <w:pStyle w:val="20"/>
            </w:pPr>
            <w:r>
              <w:t>环保工作成果</w:t>
            </w:r>
          </w:p>
        </w:tc>
        <w:tc>
          <w:tcPr>
            <w:tcW w:w="2551" w:type="dxa"/>
            <w:vAlign w:val="center"/>
          </w:tcPr>
          <w:p>
            <w:pPr>
              <w:pStyle w:val="20"/>
            </w:pPr>
            <w:r>
              <w:t>提高企业环保意识，降低企业环保事故发生</w:t>
            </w:r>
          </w:p>
        </w:tc>
        <w:tc>
          <w:tcPr>
            <w:tcW w:w="2268" w:type="dxa"/>
            <w:vAlign w:val="center"/>
          </w:tcPr>
          <w:p>
            <w:pPr>
              <w:pStyle w:val="20"/>
            </w:pPr>
            <w:r>
              <w:t>往年工作情况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企业满意度</w:t>
            </w:r>
          </w:p>
        </w:tc>
        <w:tc>
          <w:tcPr>
            <w:tcW w:w="2835" w:type="dxa"/>
            <w:vAlign w:val="center"/>
          </w:tcPr>
          <w:p>
            <w:pPr>
              <w:pStyle w:val="20"/>
            </w:pPr>
            <w:r>
              <w:t>企业满意度</w:t>
            </w:r>
          </w:p>
        </w:tc>
        <w:tc>
          <w:tcPr>
            <w:tcW w:w="2551" w:type="dxa"/>
            <w:vAlign w:val="center"/>
          </w:tcPr>
          <w:p>
            <w:pPr>
              <w:pStyle w:val="20"/>
            </w:pPr>
            <w:r>
              <w:t>≥90%</w:t>
            </w:r>
          </w:p>
        </w:tc>
        <w:tc>
          <w:tcPr>
            <w:tcW w:w="2268" w:type="dxa"/>
            <w:vAlign w:val="center"/>
          </w:tcPr>
          <w:p>
            <w:pPr>
              <w:pStyle w:val="20"/>
            </w:pPr>
            <w:r>
              <w:t>往年工作情况</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2022年，河北北戴河经济开发区管理委员会（本级）安排政府采购预算496.28万元。具体内容见下表。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496.28</w:t>
            </w:r>
          </w:p>
        </w:tc>
        <w:tc>
          <w:tcPr>
            <w:tcW w:w="964" w:type="dxa"/>
            <w:vAlign w:val="center"/>
          </w:tcPr>
          <w:p>
            <w:pPr>
              <w:pStyle w:val="23"/>
            </w:pPr>
            <w:r>
              <w:t>496.28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495.78</w:t>
            </w:r>
          </w:p>
        </w:tc>
      </w:tr>
      <w:tr>
        <w:trPr>
          <w:cantSplit/>
        </w:trPr>
        <w:tc>
          <w:tcPr>
            <w:tcW w:w="1701" w:type="dxa"/>
            <w:vAlign w:val="center"/>
          </w:tcPr>
          <w:p>
            <w:pPr>
              <w:pStyle w:val="22"/>
            </w:pPr>
            <w:r>
              <w:t>河北北戴河经济开发区管理委员会（本级）小计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496.28</w:t>
            </w:r>
          </w:p>
        </w:tc>
        <w:tc>
          <w:tcPr>
            <w:tcW w:w="964" w:type="dxa"/>
            <w:vAlign w:val="center"/>
          </w:tcPr>
          <w:p>
            <w:pPr>
              <w:pStyle w:val="23"/>
            </w:pPr>
            <w:r>
              <w:t>496.28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495.78</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台式计算机</w:t>
            </w:r>
          </w:p>
        </w:tc>
        <w:tc>
          <w:tcPr>
            <w:tcW w:w="1134" w:type="dxa"/>
            <w:vAlign w:val="center"/>
          </w:tcPr>
          <w:p>
            <w:pPr>
              <w:pStyle w:val="20"/>
            </w:pPr>
            <w:r>
              <w:t>A02010104</w:t>
            </w:r>
          </w:p>
        </w:tc>
        <w:tc>
          <w:tcPr>
            <w:tcW w:w="709" w:type="dxa"/>
            <w:vAlign w:val="center"/>
          </w:tcPr>
          <w:p>
            <w:pPr>
              <w:pStyle w:val="21"/>
            </w:pPr>
            <w:r>
              <w:t>台</w:t>
            </w:r>
          </w:p>
        </w:tc>
        <w:tc>
          <w:tcPr>
            <w:tcW w:w="850" w:type="dxa"/>
            <w:vAlign w:val="center"/>
          </w:tcPr>
          <w:p>
            <w:pPr>
              <w:pStyle w:val="19"/>
            </w:pPr>
            <w:r>
              <w:t>1</w:t>
            </w:r>
          </w:p>
        </w:tc>
        <w:tc>
          <w:tcPr>
            <w:tcW w:w="850" w:type="dxa"/>
            <w:vAlign w:val="center"/>
          </w:tcPr>
          <w:p>
            <w:pPr>
              <w:pStyle w:val="19"/>
            </w:pPr>
            <w:r>
              <w:t>0.50</w:t>
            </w: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复印纸</w:t>
            </w:r>
          </w:p>
        </w:tc>
        <w:tc>
          <w:tcPr>
            <w:tcW w:w="1134" w:type="dxa"/>
            <w:vAlign w:val="center"/>
          </w:tcPr>
          <w:p>
            <w:pPr>
              <w:pStyle w:val="20"/>
            </w:pPr>
            <w:r>
              <w:t>A090101</w:t>
            </w:r>
          </w:p>
        </w:tc>
        <w:tc>
          <w:tcPr>
            <w:tcW w:w="709" w:type="dxa"/>
            <w:vAlign w:val="center"/>
          </w:tcPr>
          <w:p>
            <w:pPr>
              <w:pStyle w:val="21"/>
            </w:pPr>
            <w:r>
              <w:t>箱</w:t>
            </w:r>
          </w:p>
        </w:tc>
        <w:tc>
          <w:tcPr>
            <w:tcW w:w="850" w:type="dxa"/>
            <w:vAlign w:val="center"/>
          </w:tcPr>
          <w:p>
            <w:pPr>
              <w:pStyle w:val="19"/>
            </w:pPr>
            <w:r>
              <w:t>50</w:t>
            </w:r>
          </w:p>
        </w:tc>
        <w:tc>
          <w:tcPr>
            <w:tcW w:w="850" w:type="dxa"/>
            <w:vAlign w:val="center"/>
          </w:tcPr>
          <w:p>
            <w:pPr>
              <w:pStyle w:val="19"/>
            </w:pPr>
            <w:r>
              <w:t>0.02</w:t>
            </w:r>
          </w:p>
        </w:tc>
        <w:tc>
          <w:tcPr>
            <w:tcW w:w="964" w:type="dxa"/>
            <w:vAlign w:val="center"/>
          </w:tcPr>
          <w:p>
            <w:pPr>
              <w:pStyle w:val="19"/>
            </w:pPr>
            <w:r>
              <w:t>1.00</w:t>
            </w:r>
          </w:p>
        </w:tc>
        <w:tc>
          <w:tcPr>
            <w:tcW w:w="964" w:type="dxa"/>
            <w:vAlign w:val="center"/>
          </w:tcPr>
          <w:p>
            <w:pPr>
              <w:pStyle w:val="19"/>
            </w:pPr>
            <w:r>
              <w:t>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车辆维修和保养服务</w:t>
            </w:r>
          </w:p>
        </w:tc>
        <w:tc>
          <w:tcPr>
            <w:tcW w:w="1134" w:type="dxa"/>
            <w:vAlign w:val="center"/>
          </w:tcPr>
          <w:p>
            <w:pPr>
              <w:pStyle w:val="20"/>
            </w:pPr>
            <w:r>
              <w:t>C050301</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3.75</w:t>
            </w:r>
          </w:p>
        </w:tc>
        <w:tc>
          <w:tcPr>
            <w:tcW w:w="964" w:type="dxa"/>
            <w:vAlign w:val="center"/>
          </w:tcPr>
          <w:p>
            <w:pPr>
              <w:pStyle w:val="19"/>
            </w:pPr>
            <w:r>
              <w:t>3.75</w:t>
            </w:r>
          </w:p>
        </w:tc>
        <w:tc>
          <w:tcPr>
            <w:tcW w:w="964" w:type="dxa"/>
            <w:vAlign w:val="center"/>
          </w:tcPr>
          <w:p>
            <w:pPr>
              <w:pStyle w:val="19"/>
            </w:pPr>
            <w:r>
              <w:t>3.75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3.75</w:t>
            </w:r>
          </w:p>
        </w:tc>
      </w:tr>
      <w:tr>
        <w:trPr>
          <w:cantSplit/>
        </w:trPr>
        <w:tc>
          <w:tcPr>
            <w:tcW w:w="1701" w:type="dxa"/>
            <w:vAlign w:val="center"/>
          </w:tcPr>
          <w:p>
            <w:pPr>
              <w:pStyle w:val="20"/>
            </w:pPr>
            <w:r>
              <w:t>运转类公用项目经费(2022年)</w:t>
            </w:r>
          </w:p>
        </w:tc>
        <w:tc>
          <w:tcPr>
            <w:tcW w:w="964" w:type="dxa"/>
            <w:vAlign w:val="center"/>
          </w:tcPr>
          <w:p>
            <w:pPr>
              <w:pStyle w:val="19"/>
            </w:pPr>
            <w:r>
              <w:t>96.83</w:t>
            </w:r>
          </w:p>
        </w:tc>
        <w:tc>
          <w:tcPr>
            <w:tcW w:w="1134" w:type="dxa"/>
            <w:vAlign w:val="center"/>
          </w:tcPr>
          <w:p>
            <w:pPr>
              <w:pStyle w:val="20"/>
            </w:pPr>
            <w:r>
              <w:t>物业管理服务</w:t>
            </w:r>
          </w:p>
        </w:tc>
        <w:tc>
          <w:tcPr>
            <w:tcW w:w="1134" w:type="dxa"/>
            <w:vAlign w:val="center"/>
          </w:tcPr>
          <w:p>
            <w:pPr>
              <w:pStyle w:val="20"/>
            </w:pPr>
            <w:r>
              <w:t>C1204</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37.98</w:t>
            </w:r>
          </w:p>
        </w:tc>
        <w:tc>
          <w:tcPr>
            <w:tcW w:w="964" w:type="dxa"/>
            <w:vAlign w:val="center"/>
          </w:tcPr>
          <w:p>
            <w:pPr>
              <w:pStyle w:val="19"/>
            </w:pPr>
            <w:r>
              <w:t>37.98</w:t>
            </w:r>
          </w:p>
        </w:tc>
        <w:tc>
          <w:tcPr>
            <w:tcW w:w="964" w:type="dxa"/>
            <w:vAlign w:val="center"/>
          </w:tcPr>
          <w:p>
            <w:pPr>
              <w:pStyle w:val="19"/>
            </w:pPr>
            <w:r>
              <w:t>37.98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37.98</w:t>
            </w:r>
          </w:p>
        </w:tc>
      </w:tr>
      <w:tr>
        <w:trPr>
          <w:cantSplit/>
        </w:trPr>
        <w:tc>
          <w:tcPr>
            <w:tcW w:w="1701" w:type="dxa"/>
            <w:vAlign w:val="center"/>
          </w:tcPr>
          <w:p>
            <w:pPr>
              <w:pStyle w:val="20"/>
            </w:pPr>
            <w:r>
              <w:t>开发区网络维护费</w:t>
            </w:r>
          </w:p>
        </w:tc>
        <w:tc>
          <w:tcPr>
            <w:tcW w:w="964" w:type="dxa"/>
            <w:vAlign w:val="center"/>
          </w:tcPr>
          <w:p>
            <w:pPr>
              <w:pStyle w:val="19"/>
            </w:pPr>
            <w:r>
              <w:t>3.00</w:t>
            </w:r>
          </w:p>
        </w:tc>
        <w:tc>
          <w:tcPr>
            <w:tcW w:w="1134" w:type="dxa"/>
            <w:vAlign w:val="center"/>
          </w:tcPr>
          <w:p>
            <w:pPr>
              <w:pStyle w:val="20"/>
            </w:pPr>
            <w:r>
              <w:t>计算机设备维修和保养服务</w:t>
            </w:r>
          </w:p>
        </w:tc>
        <w:tc>
          <w:tcPr>
            <w:tcW w:w="1134" w:type="dxa"/>
            <w:vAlign w:val="center"/>
          </w:tcPr>
          <w:p>
            <w:pPr>
              <w:pStyle w:val="20"/>
            </w:pPr>
            <w:r>
              <w:t>C0501</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3.00</w:t>
            </w:r>
          </w:p>
        </w:tc>
        <w:tc>
          <w:tcPr>
            <w:tcW w:w="964" w:type="dxa"/>
            <w:vAlign w:val="center"/>
          </w:tcPr>
          <w:p>
            <w:pPr>
              <w:pStyle w:val="19"/>
            </w:pPr>
            <w:r>
              <w:t>3.00</w:t>
            </w:r>
          </w:p>
        </w:tc>
        <w:tc>
          <w:tcPr>
            <w:tcW w:w="964" w:type="dxa"/>
            <w:vAlign w:val="center"/>
          </w:tcPr>
          <w:p>
            <w:pPr>
              <w:pStyle w:val="19"/>
            </w:pPr>
            <w:r>
              <w:t>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w:t>
            </w:r>
          </w:p>
        </w:tc>
      </w:tr>
      <w:tr>
        <w:trPr>
          <w:cantSplit/>
        </w:trPr>
        <w:tc>
          <w:tcPr>
            <w:tcW w:w="1701" w:type="dxa"/>
            <w:vAlign w:val="center"/>
          </w:tcPr>
          <w:p>
            <w:pPr>
              <w:pStyle w:val="20"/>
            </w:pPr>
            <w:r>
              <w:t>劳务派遣专项补助（招商辅助人员）</w:t>
            </w:r>
          </w:p>
        </w:tc>
        <w:tc>
          <w:tcPr>
            <w:tcW w:w="964" w:type="dxa"/>
            <w:vAlign w:val="center"/>
          </w:tcPr>
          <w:p>
            <w:pPr>
              <w:pStyle w:val="19"/>
            </w:pPr>
            <w:r>
              <w:t>279.05</w:t>
            </w:r>
          </w:p>
        </w:tc>
        <w:tc>
          <w:tcPr>
            <w:tcW w:w="1134" w:type="dxa"/>
            <w:vAlign w:val="center"/>
          </w:tcPr>
          <w:p>
            <w:pPr>
              <w:pStyle w:val="20"/>
            </w:pPr>
            <w:r>
              <w:t>职业中介服务</w:t>
            </w:r>
          </w:p>
        </w:tc>
        <w:tc>
          <w:tcPr>
            <w:tcW w:w="1134" w:type="dxa"/>
            <w:vAlign w:val="center"/>
          </w:tcPr>
          <w:p>
            <w:pPr>
              <w:pStyle w:val="20"/>
            </w:pPr>
            <w:r>
              <w:t>C0809</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279.05</w:t>
            </w:r>
          </w:p>
        </w:tc>
        <w:tc>
          <w:tcPr>
            <w:tcW w:w="964" w:type="dxa"/>
            <w:vAlign w:val="center"/>
          </w:tcPr>
          <w:p>
            <w:pPr>
              <w:pStyle w:val="19"/>
            </w:pPr>
            <w:r>
              <w:t>279.05</w:t>
            </w:r>
          </w:p>
        </w:tc>
        <w:tc>
          <w:tcPr>
            <w:tcW w:w="964" w:type="dxa"/>
            <w:vAlign w:val="center"/>
          </w:tcPr>
          <w:p>
            <w:pPr>
              <w:pStyle w:val="19"/>
            </w:pPr>
            <w:r>
              <w:t>279.05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279.05</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广告服务</w:t>
            </w:r>
          </w:p>
        </w:tc>
        <w:tc>
          <w:tcPr>
            <w:tcW w:w="1134" w:type="dxa"/>
            <w:vAlign w:val="center"/>
          </w:tcPr>
          <w:p>
            <w:pPr>
              <w:pStyle w:val="20"/>
            </w:pPr>
            <w:r>
              <w:t>C0806</w:t>
            </w:r>
          </w:p>
        </w:tc>
        <w:tc>
          <w:tcPr>
            <w:tcW w:w="709" w:type="dxa"/>
            <w:vAlign w:val="center"/>
          </w:tcPr>
          <w:p>
            <w:pPr>
              <w:pStyle w:val="21"/>
            </w:pPr>
            <w:r>
              <w:t>项</w:t>
            </w:r>
          </w:p>
        </w:tc>
        <w:tc>
          <w:tcPr>
            <w:tcW w:w="850" w:type="dxa"/>
            <w:vAlign w:val="center"/>
          </w:tcPr>
          <w:p>
            <w:pPr>
              <w:pStyle w:val="19"/>
            </w:pPr>
            <w:r>
              <w:t>2</w:t>
            </w:r>
          </w:p>
        </w:tc>
        <w:tc>
          <w:tcPr>
            <w:tcW w:w="850" w:type="dxa"/>
            <w:vAlign w:val="center"/>
          </w:tcPr>
          <w:p>
            <w:pPr>
              <w:pStyle w:val="19"/>
            </w:pPr>
            <w:r>
              <w:t>13.00</w:t>
            </w:r>
          </w:p>
        </w:tc>
        <w:tc>
          <w:tcPr>
            <w:tcW w:w="964" w:type="dxa"/>
            <w:vAlign w:val="center"/>
          </w:tcPr>
          <w:p>
            <w:pPr>
              <w:pStyle w:val="19"/>
            </w:pPr>
            <w:r>
              <w:t>26.00</w:t>
            </w:r>
          </w:p>
        </w:tc>
        <w:tc>
          <w:tcPr>
            <w:tcW w:w="964" w:type="dxa"/>
            <w:vAlign w:val="center"/>
          </w:tcPr>
          <w:p>
            <w:pPr>
              <w:pStyle w:val="19"/>
            </w:pPr>
            <w:r>
              <w:t>26.00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26.00</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社会与管理咨询服务</w:t>
            </w:r>
          </w:p>
        </w:tc>
        <w:tc>
          <w:tcPr>
            <w:tcW w:w="1134" w:type="dxa"/>
            <w:vAlign w:val="center"/>
          </w:tcPr>
          <w:p>
            <w:pPr>
              <w:pStyle w:val="20"/>
            </w:pPr>
            <w:r>
              <w:t>C0808</w:t>
            </w:r>
          </w:p>
        </w:tc>
        <w:tc>
          <w:tcPr>
            <w:tcW w:w="709" w:type="dxa"/>
            <w:vAlign w:val="center"/>
          </w:tcPr>
          <w:p>
            <w:pPr>
              <w:pStyle w:val="21"/>
            </w:pPr>
            <w:r>
              <w:t>项</w:t>
            </w:r>
          </w:p>
        </w:tc>
        <w:tc>
          <w:tcPr>
            <w:tcW w:w="850" w:type="dxa"/>
            <w:vAlign w:val="center"/>
          </w:tcPr>
          <w:p>
            <w:pPr>
              <w:pStyle w:val="19"/>
            </w:pPr>
            <w:r>
              <w:t>4</w:t>
            </w:r>
          </w:p>
        </w:tc>
        <w:tc>
          <w:tcPr>
            <w:tcW w:w="850" w:type="dxa"/>
            <w:vAlign w:val="center"/>
          </w:tcPr>
          <w:p>
            <w:pPr>
              <w:pStyle w:val="19"/>
            </w:pPr>
            <w:r>
              <w:t>10.00</w:t>
            </w:r>
          </w:p>
        </w:tc>
        <w:tc>
          <w:tcPr>
            <w:tcW w:w="964" w:type="dxa"/>
            <w:vAlign w:val="center"/>
          </w:tcPr>
          <w:p>
            <w:pPr>
              <w:pStyle w:val="19"/>
            </w:pPr>
            <w:r>
              <w:t>40.00</w:t>
            </w:r>
          </w:p>
        </w:tc>
        <w:tc>
          <w:tcPr>
            <w:tcW w:w="964" w:type="dxa"/>
            <w:vAlign w:val="center"/>
          </w:tcPr>
          <w:p>
            <w:pPr>
              <w:pStyle w:val="19"/>
            </w:pPr>
            <w:r>
              <w:t>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项目前期业务费</w:t>
            </w:r>
          </w:p>
        </w:tc>
        <w:tc>
          <w:tcPr>
            <w:tcW w:w="964" w:type="dxa"/>
            <w:vAlign w:val="center"/>
          </w:tcPr>
          <w:p>
            <w:pPr>
              <w:pStyle w:val="19"/>
            </w:pPr>
            <w:r>
              <w:t>124.00</w:t>
            </w:r>
          </w:p>
        </w:tc>
        <w:tc>
          <w:tcPr>
            <w:tcW w:w="1134" w:type="dxa"/>
            <w:vAlign w:val="center"/>
          </w:tcPr>
          <w:p>
            <w:pPr>
              <w:pStyle w:val="20"/>
            </w:pPr>
            <w:r>
              <w:t>物业管理服务</w:t>
            </w:r>
          </w:p>
        </w:tc>
        <w:tc>
          <w:tcPr>
            <w:tcW w:w="1134" w:type="dxa"/>
            <w:vAlign w:val="center"/>
          </w:tcPr>
          <w:p>
            <w:pPr>
              <w:pStyle w:val="20"/>
            </w:pPr>
            <w:r>
              <w:t>C1204</w:t>
            </w:r>
          </w:p>
        </w:tc>
        <w:tc>
          <w:tcPr>
            <w:tcW w:w="709" w:type="dxa"/>
            <w:vAlign w:val="center"/>
          </w:tcPr>
          <w:p>
            <w:pPr>
              <w:pStyle w:val="21"/>
            </w:pPr>
            <w:r>
              <w:t>项</w:t>
            </w:r>
          </w:p>
        </w:tc>
        <w:tc>
          <w:tcPr>
            <w:tcW w:w="850" w:type="dxa"/>
            <w:vAlign w:val="center"/>
          </w:tcPr>
          <w:p>
            <w:pPr>
              <w:pStyle w:val="19"/>
            </w:pPr>
            <w:r>
              <w:t>1</w:t>
            </w:r>
          </w:p>
        </w:tc>
        <w:tc>
          <w:tcPr>
            <w:tcW w:w="850" w:type="dxa"/>
            <w:vAlign w:val="center"/>
          </w:tcPr>
          <w:p>
            <w:pPr>
              <w:pStyle w:val="19"/>
            </w:pPr>
            <w:r>
              <w:t>12.00</w:t>
            </w:r>
          </w:p>
        </w:tc>
        <w:tc>
          <w:tcPr>
            <w:tcW w:w="964" w:type="dxa"/>
            <w:vAlign w:val="center"/>
          </w:tcPr>
          <w:p>
            <w:pPr>
              <w:pStyle w:val="19"/>
            </w:pPr>
            <w:r>
              <w:t>12.00</w:t>
            </w:r>
          </w:p>
        </w:tc>
        <w:tc>
          <w:tcPr>
            <w:tcW w:w="964" w:type="dxa"/>
            <w:vAlign w:val="center"/>
          </w:tcPr>
          <w:p>
            <w:pPr>
              <w:pStyle w:val="19"/>
            </w:pPr>
            <w:r>
              <w:t>12.00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12.00</w:t>
            </w:r>
          </w:p>
        </w:tc>
      </w:tr>
      <w:tr>
        <w:trPr>
          <w:cantSplit/>
        </w:trPr>
        <w:tc>
          <w:tcPr>
            <w:tcW w:w="1701" w:type="dxa"/>
            <w:vAlign w:val="center"/>
          </w:tcPr>
          <w:p>
            <w:pPr>
              <w:pStyle w:val="20"/>
            </w:pPr>
            <w:r>
              <w:t>招商业务费</w:t>
            </w:r>
          </w:p>
        </w:tc>
        <w:tc>
          <w:tcPr>
            <w:tcW w:w="964" w:type="dxa"/>
            <w:vAlign w:val="center"/>
          </w:tcPr>
          <w:p>
            <w:pPr>
              <w:pStyle w:val="19"/>
            </w:pPr>
            <w:r>
              <w:t>196.00</w:t>
            </w:r>
          </w:p>
        </w:tc>
        <w:tc>
          <w:tcPr>
            <w:tcW w:w="1134" w:type="dxa"/>
            <w:vAlign w:val="center"/>
          </w:tcPr>
          <w:p>
            <w:pPr>
              <w:pStyle w:val="20"/>
            </w:pPr>
            <w:r>
              <w:t>本册</w:t>
            </w:r>
          </w:p>
        </w:tc>
        <w:tc>
          <w:tcPr>
            <w:tcW w:w="1134" w:type="dxa"/>
            <w:vAlign w:val="center"/>
          </w:tcPr>
          <w:p>
            <w:pPr>
              <w:pStyle w:val="20"/>
            </w:pPr>
            <w:r>
              <w:t>A080203</w:t>
            </w:r>
          </w:p>
        </w:tc>
        <w:tc>
          <w:tcPr>
            <w:tcW w:w="709" w:type="dxa"/>
            <w:vAlign w:val="center"/>
          </w:tcPr>
          <w:p>
            <w:pPr>
              <w:pStyle w:val="21"/>
            </w:pPr>
            <w:r>
              <w:t>箱</w:t>
            </w:r>
          </w:p>
        </w:tc>
        <w:tc>
          <w:tcPr>
            <w:tcW w:w="850" w:type="dxa"/>
            <w:vAlign w:val="center"/>
          </w:tcPr>
          <w:p>
            <w:pPr>
              <w:pStyle w:val="19"/>
            </w:pPr>
            <w:r>
              <w:t>500</w:t>
            </w:r>
          </w:p>
        </w:tc>
        <w:tc>
          <w:tcPr>
            <w:tcW w:w="850" w:type="dxa"/>
            <w:vAlign w:val="center"/>
          </w:tcPr>
          <w:p>
            <w:pPr>
              <w:pStyle w:val="19"/>
            </w:pPr>
            <w:r>
              <w:t>0.08</w:t>
            </w:r>
          </w:p>
        </w:tc>
        <w:tc>
          <w:tcPr>
            <w:tcW w:w="964" w:type="dxa"/>
            <w:vAlign w:val="center"/>
          </w:tcPr>
          <w:p>
            <w:pPr>
              <w:pStyle w:val="19"/>
            </w:pPr>
            <w:r>
              <w:t>40.00</w:t>
            </w:r>
          </w:p>
        </w:tc>
        <w:tc>
          <w:tcPr>
            <w:tcW w:w="964" w:type="dxa"/>
            <w:vAlign w:val="center"/>
          </w:tcPr>
          <w:p>
            <w:pPr>
              <w:pStyle w:val="19"/>
            </w:pPr>
            <w:r>
              <w:t>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招商业务费</w:t>
            </w:r>
          </w:p>
        </w:tc>
        <w:tc>
          <w:tcPr>
            <w:tcW w:w="964" w:type="dxa"/>
            <w:vAlign w:val="center"/>
          </w:tcPr>
          <w:p>
            <w:pPr>
              <w:pStyle w:val="19"/>
            </w:pPr>
            <w:r>
              <w:t>196.00</w:t>
            </w:r>
          </w:p>
        </w:tc>
        <w:tc>
          <w:tcPr>
            <w:tcW w:w="1134" w:type="dxa"/>
            <w:vAlign w:val="center"/>
          </w:tcPr>
          <w:p>
            <w:pPr>
              <w:pStyle w:val="20"/>
            </w:pPr>
            <w:r>
              <w:t>一般会议服务</w:t>
            </w:r>
          </w:p>
        </w:tc>
        <w:tc>
          <w:tcPr>
            <w:tcW w:w="1134" w:type="dxa"/>
            <w:vAlign w:val="center"/>
          </w:tcPr>
          <w:p>
            <w:pPr>
              <w:pStyle w:val="20"/>
            </w:pPr>
            <w:r>
              <w:t>C060102</w:t>
            </w:r>
          </w:p>
        </w:tc>
        <w:tc>
          <w:tcPr>
            <w:tcW w:w="709" w:type="dxa"/>
            <w:vAlign w:val="center"/>
          </w:tcPr>
          <w:p>
            <w:pPr>
              <w:pStyle w:val="21"/>
            </w:pPr>
            <w:r>
              <w:t>次</w:t>
            </w:r>
          </w:p>
        </w:tc>
        <w:tc>
          <w:tcPr>
            <w:tcW w:w="850" w:type="dxa"/>
            <w:vAlign w:val="center"/>
          </w:tcPr>
          <w:p>
            <w:pPr>
              <w:pStyle w:val="19"/>
            </w:pPr>
            <w:r>
              <w:t>4</w:t>
            </w:r>
          </w:p>
        </w:tc>
        <w:tc>
          <w:tcPr>
            <w:tcW w:w="850" w:type="dxa"/>
            <w:vAlign w:val="center"/>
          </w:tcPr>
          <w:p>
            <w:pPr>
              <w:pStyle w:val="19"/>
            </w:pPr>
            <w:r>
              <w:t>13.25</w:t>
            </w:r>
          </w:p>
        </w:tc>
        <w:tc>
          <w:tcPr>
            <w:tcW w:w="964" w:type="dxa"/>
            <w:vAlign w:val="center"/>
          </w:tcPr>
          <w:p>
            <w:pPr>
              <w:pStyle w:val="19"/>
            </w:pPr>
            <w:r>
              <w:t>53.00</w:t>
            </w:r>
          </w:p>
        </w:tc>
        <w:tc>
          <w:tcPr>
            <w:tcW w:w="964" w:type="dxa"/>
            <w:vAlign w:val="center"/>
          </w:tcPr>
          <w:p>
            <w:pPr>
              <w:pStyle w:val="19"/>
            </w:pPr>
            <w:r>
              <w:t>53.00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河北北戴河经济开发区管理委员会（本级）上年末固定资产金额为298.91万元（详见下表）。本年度拟购置固定资产总额为0.50万元，已按要求列入政府采购预算，详见政府采购预算表。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631001河北北戴河经济开发区管理委员会（本级）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298.91</w:t>
            </w:r>
          </w:p>
        </w:tc>
      </w:tr>
      <w:tr>
        <w:tc>
          <w:tcPr>
            <w:tcW w:w="7370" w:type="dxa"/>
            <w:vAlign w:val="center"/>
          </w:tcPr>
          <w:p>
            <w:pPr>
              <w:pStyle w:val="20"/>
            </w:pPr>
            <w:r>
              <w:t>1、房屋（平方米）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vAlign w:val="center"/>
          </w:tcPr>
          <w:p>
            <w:pPr>
              <w:pStyle w:val="21"/>
            </w:pPr>
            <w:r>
              <w:t>3</w:t>
            </w:r>
          </w:p>
        </w:tc>
        <w:tc>
          <w:tcPr>
            <w:tcW w:w="2835" w:type="dxa"/>
            <w:vAlign w:val="center"/>
          </w:tcPr>
          <w:p>
            <w:pPr>
              <w:pStyle w:val="19"/>
            </w:pPr>
            <w:r>
              <w:t>67.02</w:t>
            </w:r>
          </w:p>
        </w:tc>
      </w:tr>
      <w:tr>
        <w:tc>
          <w:tcPr>
            <w:tcW w:w="7370" w:type="dxa"/>
            <w:vAlign w:val="center"/>
          </w:tcPr>
          <w:p>
            <w:pPr>
              <w:pStyle w:val="20"/>
            </w:pPr>
            <w:r>
              <w:t>3、单价在20万元以上的设备</w:t>
            </w:r>
          </w:p>
        </w:tc>
        <w:tc>
          <w:tcPr>
            <w:tcW w:w="2835" w:type="dxa"/>
            <w:vAlign w:val="center"/>
          </w:tcPr>
          <w:p>
            <w:pPr>
              <w:pStyle w:val="21"/>
            </w:pPr>
            <w:r>
              <w:t>1</w:t>
            </w:r>
          </w:p>
        </w:tc>
        <w:tc>
          <w:tcPr>
            <w:tcW w:w="2835" w:type="dxa"/>
            <w:vAlign w:val="center"/>
          </w:tcPr>
          <w:p>
            <w:pPr>
              <w:pStyle w:val="19"/>
            </w:pPr>
            <w:r>
              <w:t>117.70</w:t>
            </w:r>
          </w:p>
        </w:tc>
      </w:tr>
      <w:tr>
        <w:tc>
          <w:tcPr>
            <w:tcW w:w="7370" w:type="dxa"/>
            <w:vAlign w:val="center"/>
          </w:tcPr>
          <w:p>
            <w:pPr>
              <w:pStyle w:val="20"/>
            </w:pPr>
            <w:r>
              <w:t>4、其他固定资产</w:t>
            </w:r>
          </w:p>
        </w:tc>
        <w:tc>
          <w:tcPr>
            <w:tcW w:w="2835" w:type="dxa"/>
            <w:vAlign w:val="center"/>
          </w:tcPr>
          <w:p>
            <w:pPr>
              <w:pStyle w:val="21"/>
            </w:pPr>
            <w:r>
              <w:t>250</w:t>
            </w:r>
          </w:p>
        </w:tc>
        <w:tc>
          <w:tcPr>
            <w:tcW w:w="2835" w:type="dxa"/>
            <w:vAlign w:val="center"/>
          </w:tcPr>
          <w:p>
            <w:pPr>
              <w:pStyle w:val="19"/>
            </w:pPr>
            <w:r>
              <w:t>114.19</w:t>
            </w:r>
          </w:p>
        </w:tc>
      </w:tr>
    </w:tbl>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customStyle="1" w:styleId="15">
    <w:name w:val="单元格样式22"/>
    <w:qFormat/>
    <w:basedOn w:val="0"/>
    <w:pPr>
      <w:jc w:val="right"/>
    </w:pPr>
    <w:rPr>
      <w:rFonts w:ascii="方正小标宋_GBK" w:eastAsia="方正小标宋_GBK" w:cs="方正小标宋_GBK"/>
    </w:rPr>
  </w:style>
  <w:style w:type="paragraph" w:customStyle="1" w:styleId="16">
    <w:name w:val="单元格样式21"/>
    <w:qFormat/>
    <w:basedOn w:val="0"/>
    <w:pPr>
      <w:jc w:val="center"/>
    </w:pPr>
    <w:rPr>
      <w:rFonts w:ascii="方正小标宋_GBK" w:eastAsia="方正小标宋_GBK" w:cs="方正小标宋_GBK"/>
    </w:rPr>
  </w:style>
  <w:style w:type="paragraph" w:customStyle="1" w:styleId="17">
    <w:name w:val="单元格样式20"/>
    <w:qFormat/>
    <w:basedOn w:val="0"/>
    <w:rPr>
      <w:rFonts w:ascii="方正小标宋_GBK" w:eastAsia="方正小标宋_GBK" w:cs="方正小标宋_GBK"/>
    </w:rPr>
  </w:style>
  <w:style w:type="paragraph" w:customStyle="1" w:styleId="18">
    <w:name w:val="单元格样式1"/>
    <w:qFormat/>
    <w:basedOn w:val="0"/>
    <w:pPr>
      <w:jc w:val="center"/>
    </w:pPr>
    <w:rPr>
      <w:rFonts w:ascii="方正书宋_GBK" w:eastAsia="方正书宋_GBK" w:cs="方正书宋_GBK"/>
      <w:b/>
      <w:sz w:val="21"/>
    </w:rPr>
  </w:style>
  <w:style w:type="paragraph" w:customStyle="1" w:styleId="19">
    <w:name w:val="单元格样式4"/>
    <w:qFormat/>
    <w:basedOn w:val="0"/>
    <w:pPr>
      <w:jc w:val="right"/>
    </w:pPr>
    <w:rPr>
      <w:rFonts w:ascii="方正书宋_GBK" w:eastAsia="方正书宋_GBK" w:cs="方正书宋_GBK"/>
      <w:sz w:val="21"/>
    </w:rPr>
  </w:style>
  <w:style w:type="paragraph" w:customStyle="1" w:styleId="20">
    <w:name w:val="单元格样式2"/>
    <w:qFormat/>
    <w:basedOn w:val="0"/>
    <w:rPr>
      <w:rFonts w:ascii="方正书宋_GBK" w:eastAsia="方正书宋_GBK" w:cs="方正书宋_GBK"/>
      <w:sz w:val="21"/>
    </w:rPr>
  </w:style>
  <w:style w:type="paragraph" w:customStyle="1" w:styleId="21">
    <w:name w:val="单元格样式3"/>
    <w:qFormat/>
    <w:basedOn w:val="0"/>
    <w:pPr>
      <w:jc w:val="center"/>
    </w:pPr>
    <w:rPr>
      <w:rFonts w:ascii="方正书宋_GBK" w:eastAsia="方正书宋_GBK" w:cs="方正书宋_GBK"/>
      <w:sz w:val="21"/>
    </w:rPr>
  </w:style>
  <w:style w:type="paragraph" w:customStyle="1" w:styleId="22">
    <w:name w:val="单元格样式6"/>
    <w:qFormat/>
    <w:basedOn w:val="0"/>
    <w:pPr>
      <w:jc w:val="center"/>
    </w:pPr>
    <w:rPr>
      <w:rFonts w:ascii="方正书宋_GBK" w:eastAsia="方正书宋_GBK" w:cs="方正书宋_GBK"/>
      <w:b/>
      <w:sz w:val="21"/>
    </w:rPr>
  </w:style>
  <w:style w:type="paragraph" w:customStyle="1" w:styleId="23">
    <w:name w:val="单元格样式7"/>
    <w:qFormat/>
    <w:basedOn w:val="0"/>
    <w:pPr>
      <w:jc w:val="right"/>
    </w:pPr>
    <w:rPr>
      <w:rFonts w:ascii="方正书宋_GBK" w:eastAsia="方正书宋_GBK" w:cs="方正书宋_GBK"/>
      <w:b/>
      <w:sz w:val="21"/>
    </w:rPr>
  </w:style>
  <w:style w:type="paragraph" w:customStyle="1" w:styleId="24">
    <w:name w:val="单元格样式5"/>
    <w:qFormat/>
    <w:basedOn w:val="0"/>
    <w:rPr>
      <w:rFonts w:ascii="方正书宋_GBK" w:eastAsia="方正书宋_GBK" w:cs="方正书宋_GBK"/>
      <w:b/>
      <w:sz w:val="21"/>
    </w:rPr>
  </w:style>
  <w:style w:type="paragraph" w:customStyle="1" w:styleId="25">
    <w:name w:val="插入文本样式-插入部门职责文件"/>
    <w:qFormat/>
    <w:basedOn w:val="0"/>
    <w:pPr>
      <w:spacing w:line="500" w:lineRule="exact"/>
      <w:ind w:firstLine="560"/>
    </w:pPr>
    <w:rPr>
      <w:rFonts w:eastAsia="方正仿宋_GBK"/>
      <w:sz w:val="28"/>
    </w:rPr>
  </w:style>
  <w:style w:type="paragraph" w:customStyle="1" w:styleId="26">
    <w:name w:val="插入文本样式-插入预算公开部门预算安排的总体情况文件"/>
    <w:qFormat/>
    <w:basedOn w:val="0"/>
    <w:pPr>
      <w:spacing w:line="500" w:lineRule="exact"/>
      <w:ind w:firstLine="560"/>
    </w:pPr>
    <w:rPr>
      <w:rFonts w:eastAsia="方正仿宋_GBK"/>
      <w:sz w:val="28"/>
    </w:rPr>
  </w:style>
  <w:style w:type="paragraph" w:customStyle="1" w:styleId="27">
    <w:name w:val="插入文本样式-插入预算公开部门机关运行经费安排情况文件"/>
    <w:qFormat/>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qFormat/>
    <w:basedOn w:val="0"/>
    <w:pPr>
      <w:spacing w:line="500" w:lineRule="exact"/>
      <w:ind w:firstLine="560"/>
    </w:pPr>
    <w:rPr>
      <w:rFonts w:eastAsia="方正仿宋_GBK"/>
      <w:sz w:val="28"/>
    </w:rPr>
  </w:style>
  <w:style w:type="paragraph" w:customStyle="1" w:styleId="29">
    <w:name w:val="插入文本样式-插入总体目标文件"/>
    <w:qFormat/>
    <w:basedOn w:val="0"/>
    <w:pPr>
      <w:spacing w:line="500" w:lineRule="exact"/>
      <w:ind w:firstLine="560"/>
    </w:pPr>
    <w:rPr>
      <w:rFonts w:eastAsia="方正仿宋_GBK"/>
      <w:sz w:val="28"/>
    </w:rPr>
  </w:style>
  <w:style w:type="paragraph" w:customStyle="1" w:styleId="30">
    <w:name w:val="插入文本样式-插入职责分类绩效目标文件"/>
    <w:qFormat/>
    <w:basedOn w:val="0"/>
    <w:pPr>
      <w:spacing w:line="500" w:lineRule="exact"/>
      <w:ind w:firstLine="560"/>
    </w:pPr>
    <w:rPr>
      <w:rFonts w:eastAsia="方正仿宋_GBK"/>
      <w:sz w:val="28"/>
    </w:rPr>
  </w:style>
  <w:style w:type="paragraph" w:customStyle="1" w:styleId="31">
    <w:name w:val="插入文本样式-插入实现年度发展规划目标的保障措施文件"/>
    <w:qFormat/>
    <w:basedOn w:val="0"/>
    <w:pPr>
      <w:spacing w:line="500" w:lineRule="exact"/>
      <w:ind w:firstLine="560"/>
    </w:pPr>
    <w:rPr>
      <w:rFonts w:eastAsia="方正仿宋_GBK"/>
      <w:sz w:val="28"/>
    </w:rPr>
  </w:style>
  <w:style w:type="paragraph" w:customStyle="1" w:styleId="32">
    <w:name w:val="单元格样式23"/>
    <w:qFormat/>
    <w:basedOn w:val="0"/>
    <w:pPr>
      <w:jc w:val="right"/>
    </w:pPr>
    <w:rPr>
      <w:rFonts w:ascii="方正书宋_GBK" w:eastAsia="方正书宋_GBK" w:cs="方正书宋_GBK"/>
    </w:rPr>
  </w:style>
  <w:style w:type="paragraph" w:customStyle="1" w:styleId="33">
    <w:name w:val="插入文本样式-插入单位职责文件"/>
    <w:qFormat/>
    <w:basedOn w:val="0"/>
    <w:pPr>
      <w:spacing w:line="500" w:lineRule="exact"/>
      <w:ind w:firstLine="560"/>
    </w:pPr>
    <w:rPr>
      <w:rFonts w:eastAsia="方正仿宋_GBK"/>
      <w:sz w:val="28"/>
    </w:rPr>
  </w:style>
  <w:style w:type="paragraph" w:customStyle="1" w:styleId="34">
    <w:name w:val="插入文本样式-插入预算公开单位预算安排的总体情况文件"/>
    <w:qFormat/>
    <w:basedOn w:val="0"/>
    <w:pPr>
      <w:spacing w:line="500" w:lineRule="exact"/>
      <w:ind w:firstLine="560"/>
    </w:pPr>
    <w:rPr>
      <w:rFonts w:eastAsia="方正仿宋_GBK"/>
      <w:sz w:val="28"/>
    </w:rPr>
  </w:style>
  <w:style w:type="paragraph" w:customStyle="1" w:styleId="35">
    <w:name w:val="插入文本样式-插入预算公开单位机关运行经费安排情况文件"/>
    <w:qFormat/>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qFormat/>
    <w:basedOn w:val="0"/>
    <w:pPr>
      <w:spacing w:line="500" w:lineRule="exact"/>
      <w:ind w:firstLine="560"/>
    </w:pPr>
    <w:rPr>
      <w:rFonts w:eastAsia="方正仿宋_GBK"/>
      <w:sz w:val="28"/>
    </w:rPr>
  </w:style>
  <w:style w:type="paragraph" w:customStyle="1" w:styleId="37">
    <w:name w:val="TOC 2"/>
    <w:qFormat/>
    <w:basedOn w:val="0"/>
    <w:pPr>
      <w:ind w:left="240"/>
    </w:pPr>
  </w:style>
  <w:style w:type="paragraph" w:customStyle="1" w:styleId="38">
    <w:name w:val="TOC 3"/>
    <w:qFormat/>
    <w:basedOn w:val="0"/>
    <w:pPr>
      <w:ind w:left="480"/>
    </w:pPr>
  </w:style>
  <w:style w:type="paragraph" w:customStyle="1" w:styleId="39">
    <w:name w:val="TOC 4"/>
    <w:qFormat/>
    <w:basedOn w:val="0"/>
    <w:pPr>
      <w:ind w:left="720"/>
    </w:pPr>
  </w:style>
  <w:style w:type="paragraph" w:customStyle="1" w:styleId="40">
    <w:name w:val="TOC 1"/>
    <w:qFormat/>
    <w:basedOn w:val="0"/>
    <w:pPr>
      <w:spacing w:before="120"/>
      <w:ind w:firstLine="560"/>
    </w:pPr>
    <w:rPr>
      <w:rFonts w:eastAsia="方正仿宋_GBK"/>
      <w:color w:val="000000"/>
      <w:sz w:val="28"/>
    </w:rPr>
  </w:style>
  <w:style w:type="paragraph" w:styleId="41">
    <w:name w:val="header"/>
    <w:qFormat/>
    <w:basedOn w:val="0"/>
    <w:pPr>
      <w:pBdr>
        <w:bottom w:val="single" w:sz="6" w:space="1" w:color="auto"/>
      </w:pBdr>
      <w:tabs>
        <w:tab w:val="center" w:pos="4153"/>
        <w:tab w:val="right" w:pos="8306"/>
      </w:tabs>
      <w:snapToGrid w:val="0"/>
      <w:jc w:val="center"/>
    </w:pPr>
    <w:rPr>
      <w:sz w:val="18"/>
      <w:szCs w:val="18"/>
    </w:rPr>
  </w:style>
  <w:style w:type="paragraph" w:styleId="42">
    <w:name w:val="footer"/>
    <w:qFormat/>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Yozo_Office27021597764231180</Application>
  <Pages>38</Pages>
  <Words>0</Words>
  <Characters>11456</Characters>
  <Lines>0</Lines>
  <Paragraphs>152</Paragraphs>
  <CharactersWithSpaces>15275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4</cp:revision>
  <dcterms:created xsi:type="dcterms:W3CDTF">2022-03-04T10:50:00Z</dcterms:created>
  <dcterms:modified xsi:type="dcterms:W3CDTF">2023-08-09T06:36:38Z</dcterms:modified>
</cp:coreProperties>
</file>