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44"/>
          <w:szCs w:val="44"/>
          <w:lang w:eastAsia="zh-CN"/>
        </w:rPr>
      </w:pPr>
      <w:bookmarkStart w:id="0" w:name="_Toc_4_4_0000000019"/>
      <w:bookmarkStart w:id="6" w:name="_GoBack"/>
      <w:bookmarkEnd w:id="6"/>
      <w:r>
        <w:rPr>
          <w:rFonts w:hint="eastAsia" w:ascii="黑体" w:hAnsi="黑体" w:eastAsia="黑体" w:cs="黑体"/>
          <w:b/>
          <w:color w:val="000000"/>
          <w:sz w:val="44"/>
          <w:szCs w:val="44"/>
          <w:lang w:eastAsia="zh-CN"/>
        </w:rPr>
        <w:t>秦皇岛市北戴河区住房和城乡建设局</w:t>
      </w:r>
    </w:p>
    <w:p>
      <w:pPr>
        <w:jc w:val="center"/>
        <w:rPr>
          <w:rFonts w:ascii="黑体" w:hAnsi="黑体" w:eastAsia="黑体" w:cs="黑体"/>
          <w:b/>
          <w:color w:val="000000"/>
          <w:sz w:val="44"/>
          <w:szCs w:val="44"/>
          <w:lang w:eastAsia="zh-CN"/>
        </w:rPr>
      </w:pPr>
      <w:r>
        <w:rPr>
          <w:rFonts w:hint="eastAsia" w:ascii="黑体" w:hAnsi="黑体" w:eastAsia="黑体" w:cs="黑体"/>
          <w:b/>
          <w:color w:val="000000"/>
          <w:sz w:val="44"/>
          <w:szCs w:val="44"/>
          <w:lang w:eastAsia="zh-CN"/>
        </w:rPr>
        <w:t>所属单位2022年单位预算信息公开目录</w:t>
      </w:r>
    </w:p>
    <w:p>
      <w:pPr>
        <w:jc w:val="center"/>
        <w:rPr>
          <w:sz w:val="44"/>
          <w:szCs w:val="44"/>
          <w:lang w:eastAsia="zh-CN"/>
        </w:rPr>
      </w:pPr>
    </w:p>
    <w:p>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一、秦皇岛市北戴河区住房和城乡建设局（本级）收支预算</w:t>
      </w:r>
      <w:r>
        <w:tab/>
      </w:r>
      <w:r>
        <w:rPr>
          <w:rFonts w:hint="eastAsia" w:asciiTheme="minorEastAsia" w:hAnsiTheme="minorEastAsia" w:eastAsiaTheme="minorEastAsia"/>
          <w:lang w:eastAsia="zh-CN"/>
        </w:rPr>
        <w:t>2</w:t>
      </w:r>
      <w:r>
        <w:rPr>
          <w:rFonts w:hint="eastAsia" w:asciiTheme="minorEastAsia" w:hAnsiTheme="minorEastAsia" w:eastAsiaTheme="minorEastAsia"/>
          <w:lang w:eastAsia="zh-CN"/>
        </w:rPr>
        <w:fldChar w:fldCharType="end"/>
      </w:r>
    </w:p>
    <w:p>
      <w:pPr>
        <w:pStyle w:val="33"/>
        <w:tabs>
          <w:tab w:val="right" w:leader="dot" w:pos="14562"/>
        </w:tabs>
      </w:pPr>
      <w:r>
        <w:fldChar w:fldCharType="begin"/>
      </w:r>
      <w:r>
        <w:instrText xml:space="preserve"> HYPERLINK \l "_Toc_4_4_0000000020" </w:instrText>
      </w:r>
      <w:r>
        <w:fldChar w:fldCharType="separate"/>
      </w:r>
      <w:r>
        <w:t>二、秦皇岛市北戴河区工程保障服务中心收支预算</w:t>
      </w:r>
      <w:r>
        <w:tab/>
      </w:r>
      <w:r>
        <w:rPr>
          <w:rFonts w:hint="eastAsia" w:asciiTheme="minorEastAsia" w:hAnsiTheme="minorEastAsia" w:eastAsiaTheme="minorEastAsia"/>
          <w:lang w:eastAsia="zh-CN"/>
        </w:rPr>
        <w:t>36</w:t>
      </w:r>
      <w:r>
        <w:rPr>
          <w:rFonts w:hint="eastAsia" w:asciiTheme="minorEastAsia" w:hAnsiTheme="minorEastAsia" w:eastAsiaTheme="minorEastAsia"/>
          <w:lang w:eastAsia="zh-CN"/>
        </w:rPr>
        <w:fldChar w:fldCharType="end"/>
      </w:r>
    </w:p>
    <w:p>
      <w:pPr>
        <w:pStyle w:val="33"/>
        <w:tabs>
          <w:tab w:val="right" w:leader="dot" w:pos="14562"/>
        </w:tabs>
      </w:pPr>
      <w:r>
        <w:fldChar w:fldCharType="begin"/>
      </w:r>
      <w:r>
        <w:instrText xml:space="preserve"> HYPERLINK \l "_Toc_4_4_0000000021" </w:instrText>
      </w:r>
      <w:r>
        <w:fldChar w:fldCharType="separate"/>
      </w:r>
      <w:r>
        <w:t>三、秦皇岛市北戴河区工程建设服务中心收支预算</w:t>
      </w:r>
      <w:r>
        <w:tab/>
      </w:r>
      <w:r>
        <w:rPr>
          <w:rFonts w:hint="eastAsia" w:asciiTheme="minorEastAsia" w:hAnsiTheme="minorEastAsia" w:eastAsiaTheme="minorEastAsia"/>
          <w:lang w:eastAsia="zh-CN"/>
        </w:rPr>
        <w:t>56</w:t>
      </w:r>
      <w:r>
        <w:rPr>
          <w:rFonts w:hint="eastAsia" w:asciiTheme="minorEastAsia" w:hAnsiTheme="minorEastAsia" w:eastAsiaTheme="minorEastAsia"/>
          <w:lang w:eastAsia="zh-CN"/>
        </w:rPr>
        <w:fldChar w:fldCharType="end"/>
      </w:r>
    </w:p>
    <w:p>
      <w:pPr>
        <w:pStyle w:val="33"/>
        <w:tabs>
          <w:tab w:val="right" w:leader="dot" w:pos="14562"/>
        </w:tabs>
      </w:pPr>
      <w:r>
        <w:fldChar w:fldCharType="begin"/>
      </w:r>
      <w:r>
        <w:instrText xml:space="preserve"> HYPERLINK \l "_Toc_4_4_0000000022" </w:instrText>
      </w:r>
      <w:r>
        <w:fldChar w:fldCharType="separate"/>
      </w:r>
      <w:r>
        <w:t>四、秦皇岛市北戴河区建设工程质量服务中心收支预算</w:t>
      </w:r>
      <w:r>
        <w:tab/>
      </w:r>
      <w:r>
        <w:rPr>
          <w:rFonts w:hint="eastAsia" w:asciiTheme="minorEastAsia" w:hAnsiTheme="minorEastAsia" w:eastAsiaTheme="minorEastAsia"/>
          <w:lang w:eastAsia="zh-CN"/>
        </w:rPr>
        <w:t>74</w:t>
      </w:r>
      <w:r>
        <w:rPr>
          <w:rFonts w:hint="eastAsia" w:asciiTheme="minorEastAsia" w:hAnsiTheme="minorEastAsia" w:eastAsiaTheme="minorEastAsia"/>
          <w:lang w:eastAsia="zh-CN"/>
        </w:rPr>
        <w:fldChar w:fldCharType="end"/>
      </w:r>
    </w:p>
    <w:p>
      <w:pPr>
        <w:pStyle w:val="33"/>
        <w:tabs>
          <w:tab w:val="right" w:leader="dot" w:pos="14562"/>
        </w:tabs>
      </w:pPr>
      <w:r>
        <w:fldChar w:fldCharType="begin"/>
      </w:r>
      <w:r>
        <w:instrText xml:space="preserve"> HYPERLINK \l "_Toc_4_4_0000000023" </w:instrText>
      </w:r>
      <w:r>
        <w:fldChar w:fldCharType="separate"/>
      </w:r>
      <w:r>
        <w:t>五、秦皇岛市北戴河区市政维修建设中心收支预算</w:t>
      </w:r>
      <w:r>
        <w:tab/>
      </w:r>
      <w:r>
        <w:rPr>
          <w:rFonts w:hint="eastAsia" w:asciiTheme="minorEastAsia" w:hAnsiTheme="minorEastAsia" w:eastAsiaTheme="minorEastAsia"/>
          <w:lang w:eastAsia="zh-CN"/>
        </w:rPr>
        <w:t>93</w:t>
      </w:r>
      <w:r>
        <w:rPr>
          <w:rFonts w:hint="eastAsia" w:asciiTheme="minorEastAsia" w:hAnsiTheme="minorEastAsia" w:eastAsiaTheme="minorEastAsia"/>
          <w:lang w:eastAsia="zh-CN"/>
        </w:rPr>
        <w:fldChar w:fldCharType="end"/>
      </w:r>
    </w:p>
    <w:p>
      <w:pPr>
        <w:pStyle w:val="33"/>
        <w:tabs>
          <w:tab w:val="right" w:leader="dot" w:pos="14562"/>
        </w:tabs>
      </w:pPr>
      <w:r>
        <w:fldChar w:fldCharType="begin"/>
      </w:r>
      <w:r>
        <w:instrText xml:space="preserve"> HYPERLINK \l "_Toc_4_4_0000000024" </w:instrText>
      </w:r>
      <w:r>
        <w:fldChar w:fldCharType="separate"/>
      </w:r>
      <w:r>
        <w:t>六、北戴河区房屋征收服务中心收支预算</w:t>
      </w:r>
      <w:r>
        <w:tab/>
      </w:r>
      <w:r>
        <w:fldChar w:fldCharType="begin"/>
      </w:r>
      <w:r>
        <w:instrText xml:space="preserve">PAGEREF _Toc_4_4_0000000024 \h</w:instrText>
      </w:r>
      <w:r>
        <w:fldChar w:fldCharType="separate"/>
      </w:r>
      <w:r>
        <w:t>1</w:t>
      </w:r>
      <w:r>
        <w:rPr>
          <w:rFonts w:hint="eastAsia" w:asciiTheme="minorEastAsia" w:hAnsiTheme="minorEastAsia" w:eastAsiaTheme="minorEastAsia"/>
          <w:lang w:eastAsia="zh-CN"/>
        </w:rPr>
        <w:t>14</w:t>
      </w:r>
      <w:r>
        <w:fldChar w:fldCharType="end"/>
      </w:r>
      <w:r>
        <w:fldChar w:fldCharType="end"/>
      </w:r>
    </w:p>
    <w:p>
      <w:pPr>
        <w:pStyle w:val="33"/>
        <w:tabs>
          <w:tab w:val="right" w:leader="dot" w:pos="14562"/>
        </w:tabs>
        <w:rPr>
          <w:highlight w:val="yellow"/>
          <w:lang w:eastAsia="zh-CN"/>
        </w:rPr>
      </w:pPr>
    </w:p>
    <w:p>
      <w:pPr>
        <w:pStyle w:val="33"/>
        <w:tabs>
          <w:tab w:val="right" w:leader="dot" w:pos="14562"/>
        </w:tabs>
        <w:rPr>
          <w:lang w:eastAsia="zh-CN"/>
        </w:rPr>
      </w:pPr>
    </w:p>
    <w:p>
      <w:pPr>
        <w:jc w:val="center"/>
        <w:outlineLvl w:val="3"/>
        <w:rPr>
          <w:rFonts w:ascii="方正小标宋_GBK" w:hAnsi="方正小标宋_GBK" w:eastAsia="方正小标宋_GBK" w:cs="方正小标宋_GBK"/>
          <w:color w:val="000000"/>
          <w:sz w:val="44"/>
          <w:lang w:eastAsia="zh-CN"/>
        </w:rPr>
      </w:pPr>
      <w:r>
        <w:fldChar w:fldCharType="end"/>
      </w: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outlineLvl w:val="3"/>
        <w:rPr>
          <w:rFonts w:ascii="方正小标宋_GBK" w:hAnsi="方正小标宋_GBK" w:eastAsia="方正小标宋_GBK" w:cs="方正小标宋_GBK"/>
          <w:color w:val="000000"/>
          <w:sz w:val="44"/>
          <w:lang w:eastAsia="zh-CN"/>
        </w:rPr>
      </w:pPr>
    </w:p>
    <w:p>
      <w:pPr>
        <w:jc w:val="center"/>
        <w:outlineLvl w:val="3"/>
      </w:pPr>
      <w:r>
        <w:rPr>
          <w:rFonts w:ascii="方正小标宋_GBK" w:hAnsi="方正小标宋_GBK" w:eastAsia="方正小标宋_GBK" w:cs="方正小标宋_GBK"/>
          <w:color w:val="000000"/>
          <w:sz w:val="44"/>
        </w:rPr>
        <w:t>一、秦皇岛市北戴河区住房和城乡建设局（本级）收支预算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899.22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708.19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899.22</w:t>
            </w:r>
          </w:p>
        </w:tc>
        <w:tc>
          <w:tcPr>
            <w:tcW w:w="4535" w:type="dxa"/>
            <w:vAlign w:val="center"/>
          </w:tcPr>
          <w:p>
            <w:pPr>
              <w:pStyle w:val="15"/>
            </w:pPr>
            <w:r>
              <w:t>本年支出合计</w:t>
            </w:r>
          </w:p>
        </w:tc>
        <w:tc>
          <w:tcPr>
            <w:tcW w:w="2126" w:type="dxa"/>
            <w:vAlign w:val="center"/>
          </w:tcPr>
          <w:p>
            <w:pPr>
              <w:pStyle w:val="16"/>
            </w:pPr>
            <w:r>
              <w:t>899.22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899.22</w:t>
            </w:r>
          </w:p>
        </w:tc>
        <w:tc>
          <w:tcPr>
            <w:tcW w:w="4535" w:type="dxa"/>
            <w:vAlign w:val="center"/>
          </w:tcPr>
          <w:p>
            <w:pPr>
              <w:pStyle w:val="15"/>
            </w:pPr>
            <w:r>
              <w:t>支出总计</w:t>
            </w:r>
          </w:p>
        </w:tc>
        <w:tc>
          <w:tcPr>
            <w:tcW w:w="2126" w:type="dxa"/>
            <w:vAlign w:val="center"/>
          </w:tcPr>
          <w:p>
            <w:pPr>
              <w:pStyle w:val="16"/>
            </w:pPr>
            <w:r>
              <w:t>899.22</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899.22</w:t>
            </w:r>
          </w:p>
        </w:tc>
        <w:tc>
          <w:tcPr>
            <w:tcW w:w="1134" w:type="dxa"/>
            <w:vAlign w:val="center"/>
          </w:tcPr>
          <w:p>
            <w:pPr>
              <w:pStyle w:val="16"/>
            </w:pPr>
            <w:r>
              <w:t>899.22</w:t>
            </w:r>
          </w:p>
        </w:tc>
        <w:tc>
          <w:tcPr>
            <w:tcW w:w="1134" w:type="dxa"/>
            <w:vAlign w:val="center"/>
          </w:tcPr>
          <w:p>
            <w:pPr>
              <w:pStyle w:val="16"/>
            </w:pPr>
            <w:r>
              <w:t>899.22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96.02</w:t>
            </w:r>
          </w:p>
        </w:tc>
        <w:tc>
          <w:tcPr>
            <w:tcW w:w="1134" w:type="dxa"/>
            <w:vAlign w:val="center"/>
          </w:tcPr>
          <w:p>
            <w:pPr>
              <w:pStyle w:val="12"/>
            </w:pPr>
            <w:r>
              <w:t>96.02</w:t>
            </w:r>
          </w:p>
        </w:tc>
        <w:tc>
          <w:tcPr>
            <w:tcW w:w="1134" w:type="dxa"/>
            <w:vAlign w:val="center"/>
          </w:tcPr>
          <w:p>
            <w:pPr>
              <w:pStyle w:val="12"/>
            </w:pPr>
            <w:r>
              <w:t>96.02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91.66</w:t>
            </w:r>
          </w:p>
        </w:tc>
        <w:tc>
          <w:tcPr>
            <w:tcW w:w="1134" w:type="dxa"/>
            <w:vAlign w:val="center"/>
          </w:tcPr>
          <w:p>
            <w:pPr>
              <w:pStyle w:val="12"/>
            </w:pPr>
            <w:r>
              <w:t>91.66</w:t>
            </w:r>
          </w:p>
        </w:tc>
        <w:tc>
          <w:tcPr>
            <w:tcW w:w="1134" w:type="dxa"/>
            <w:vAlign w:val="center"/>
          </w:tcPr>
          <w:p>
            <w:pPr>
              <w:pStyle w:val="12"/>
            </w:pPr>
            <w:r>
              <w:t>91.66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50.88</w:t>
            </w:r>
          </w:p>
        </w:tc>
        <w:tc>
          <w:tcPr>
            <w:tcW w:w="1134" w:type="dxa"/>
            <w:vAlign w:val="center"/>
          </w:tcPr>
          <w:p>
            <w:pPr>
              <w:pStyle w:val="12"/>
            </w:pPr>
            <w:r>
              <w:t>50.88</w:t>
            </w:r>
          </w:p>
        </w:tc>
        <w:tc>
          <w:tcPr>
            <w:tcW w:w="1134" w:type="dxa"/>
            <w:vAlign w:val="center"/>
          </w:tcPr>
          <w:p>
            <w:pPr>
              <w:pStyle w:val="12"/>
            </w:pPr>
            <w:r>
              <w:t>50.88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40.78</w:t>
            </w:r>
          </w:p>
        </w:tc>
        <w:tc>
          <w:tcPr>
            <w:tcW w:w="1134" w:type="dxa"/>
            <w:vAlign w:val="center"/>
          </w:tcPr>
          <w:p>
            <w:pPr>
              <w:pStyle w:val="12"/>
            </w:pPr>
            <w:r>
              <w:t>40.78</w:t>
            </w:r>
          </w:p>
        </w:tc>
        <w:tc>
          <w:tcPr>
            <w:tcW w:w="1134" w:type="dxa"/>
            <w:vAlign w:val="center"/>
          </w:tcPr>
          <w:p>
            <w:pPr>
              <w:pStyle w:val="12"/>
            </w:pPr>
            <w:r>
              <w:t>40.78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4.36</w:t>
            </w:r>
          </w:p>
        </w:tc>
        <w:tc>
          <w:tcPr>
            <w:tcW w:w="1134" w:type="dxa"/>
            <w:vAlign w:val="center"/>
          </w:tcPr>
          <w:p>
            <w:pPr>
              <w:pStyle w:val="12"/>
            </w:pPr>
            <w:r>
              <w:t>4.36</w:t>
            </w:r>
          </w:p>
        </w:tc>
        <w:tc>
          <w:tcPr>
            <w:tcW w:w="1134" w:type="dxa"/>
            <w:vAlign w:val="center"/>
          </w:tcPr>
          <w:p>
            <w:pPr>
              <w:pStyle w:val="12"/>
            </w:pPr>
            <w:r>
              <w:t>4.36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4.36</w:t>
            </w:r>
          </w:p>
        </w:tc>
        <w:tc>
          <w:tcPr>
            <w:tcW w:w="1134" w:type="dxa"/>
            <w:vAlign w:val="center"/>
          </w:tcPr>
          <w:p>
            <w:pPr>
              <w:pStyle w:val="12"/>
            </w:pPr>
            <w:r>
              <w:t>4.36</w:t>
            </w:r>
          </w:p>
        </w:tc>
        <w:tc>
          <w:tcPr>
            <w:tcW w:w="1134" w:type="dxa"/>
            <w:vAlign w:val="center"/>
          </w:tcPr>
          <w:p>
            <w:pPr>
              <w:pStyle w:val="12"/>
            </w:pPr>
            <w:r>
              <w:t>4.36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64.42</w:t>
            </w:r>
          </w:p>
        </w:tc>
        <w:tc>
          <w:tcPr>
            <w:tcW w:w="1134" w:type="dxa"/>
            <w:vAlign w:val="center"/>
          </w:tcPr>
          <w:p>
            <w:pPr>
              <w:pStyle w:val="12"/>
            </w:pPr>
            <w:r>
              <w:t>64.42</w:t>
            </w:r>
          </w:p>
        </w:tc>
        <w:tc>
          <w:tcPr>
            <w:tcW w:w="1134" w:type="dxa"/>
            <w:vAlign w:val="center"/>
          </w:tcPr>
          <w:p>
            <w:pPr>
              <w:pStyle w:val="12"/>
            </w:pPr>
            <w:r>
              <w:t>64.42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64.42</w:t>
            </w:r>
          </w:p>
        </w:tc>
        <w:tc>
          <w:tcPr>
            <w:tcW w:w="1134" w:type="dxa"/>
            <w:vAlign w:val="center"/>
          </w:tcPr>
          <w:p>
            <w:pPr>
              <w:pStyle w:val="12"/>
            </w:pPr>
            <w:r>
              <w:t>64.42</w:t>
            </w:r>
          </w:p>
        </w:tc>
        <w:tc>
          <w:tcPr>
            <w:tcW w:w="1134" w:type="dxa"/>
            <w:vAlign w:val="center"/>
          </w:tcPr>
          <w:p>
            <w:pPr>
              <w:pStyle w:val="12"/>
            </w:pPr>
            <w:r>
              <w:t>64.42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19.76</w:t>
            </w:r>
          </w:p>
        </w:tc>
        <w:tc>
          <w:tcPr>
            <w:tcW w:w="1134" w:type="dxa"/>
            <w:vAlign w:val="center"/>
          </w:tcPr>
          <w:p>
            <w:pPr>
              <w:pStyle w:val="12"/>
            </w:pPr>
            <w:r>
              <w:t>19.76</w:t>
            </w:r>
          </w:p>
        </w:tc>
        <w:tc>
          <w:tcPr>
            <w:tcW w:w="1134" w:type="dxa"/>
            <w:vAlign w:val="center"/>
          </w:tcPr>
          <w:p>
            <w:pPr>
              <w:pStyle w:val="12"/>
            </w:pPr>
            <w:r>
              <w:t>19.76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44.66</w:t>
            </w:r>
          </w:p>
        </w:tc>
        <w:tc>
          <w:tcPr>
            <w:tcW w:w="1134" w:type="dxa"/>
            <w:vAlign w:val="center"/>
          </w:tcPr>
          <w:p>
            <w:pPr>
              <w:pStyle w:val="12"/>
            </w:pPr>
            <w:r>
              <w:t>44.66</w:t>
            </w:r>
          </w:p>
        </w:tc>
        <w:tc>
          <w:tcPr>
            <w:tcW w:w="1134" w:type="dxa"/>
            <w:vAlign w:val="center"/>
          </w:tcPr>
          <w:p>
            <w:pPr>
              <w:pStyle w:val="12"/>
            </w:pPr>
            <w:r>
              <w:t>44.66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708.19</w:t>
            </w:r>
          </w:p>
        </w:tc>
        <w:tc>
          <w:tcPr>
            <w:tcW w:w="1134" w:type="dxa"/>
            <w:vAlign w:val="center"/>
          </w:tcPr>
          <w:p>
            <w:pPr>
              <w:pStyle w:val="12"/>
            </w:pPr>
            <w:r>
              <w:t>708.19</w:t>
            </w:r>
          </w:p>
        </w:tc>
        <w:tc>
          <w:tcPr>
            <w:tcW w:w="1134" w:type="dxa"/>
            <w:vAlign w:val="center"/>
          </w:tcPr>
          <w:p>
            <w:pPr>
              <w:pStyle w:val="12"/>
            </w:pPr>
            <w:r>
              <w:t>708.19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441.12</w:t>
            </w:r>
          </w:p>
        </w:tc>
        <w:tc>
          <w:tcPr>
            <w:tcW w:w="1134" w:type="dxa"/>
            <w:vAlign w:val="center"/>
          </w:tcPr>
          <w:p>
            <w:pPr>
              <w:pStyle w:val="12"/>
            </w:pPr>
            <w:r>
              <w:t>441.12</w:t>
            </w:r>
          </w:p>
        </w:tc>
        <w:tc>
          <w:tcPr>
            <w:tcW w:w="1134" w:type="dxa"/>
            <w:vAlign w:val="center"/>
          </w:tcPr>
          <w:p>
            <w:pPr>
              <w:pStyle w:val="12"/>
            </w:pPr>
            <w:r>
              <w:t>441.12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373.73</w:t>
            </w:r>
          </w:p>
        </w:tc>
        <w:tc>
          <w:tcPr>
            <w:tcW w:w="1134" w:type="dxa"/>
            <w:vAlign w:val="center"/>
          </w:tcPr>
          <w:p>
            <w:pPr>
              <w:pStyle w:val="12"/>
            </w:pPr>
            <w:r>
              <w:t>373.73</w:t>
            </w:r>
          </w:p>
        </w:tc>
        <w:tc>
          <w:tcPr>
            <w:tcW w:w="1134" w:type="dxa"/>
            <w:vAlign w:val="center"/>
          </w:tcPr>
          <w:p>
            <w:pPr>
              <w:pStyle w:val="12"/>
            </w:pPr>
            <w:r>
              <w:t>373.73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2120199</w:t>
            </w:r>
          </w:p>
        </w:tc>
        <w:tc>
          <w:tcPr>
            <w:tcW w:w="1559" w:type="dxa"/>
            <w:vAlign w:val="center"/>
          </w:tcPr>
          <w:p>
            <w:pPr>
              <w:pStyle w:val="13"/>
            </w:pPr>
            <w:r>
              <w:t>其他城乡社区管理事务支出</w:t>
            </w:r>
          </w:p>
        </w:tc>
        <w:tc>
          <w:tcPr>
            <w:tcW w:w="1134" w:type="dxa"/>
            <w:vAlign w:val="center"/>
          </w:tcPr>
          <w:p>
            <w:pPr>
              <w:pStyle w:val="12"/>
            </w:pPr>
            <w:r>
              <w:t>67.39</w:t>
            </w:r>
          </w:p>
        </w:tc>
        <w:tc>
          <w:tcPr>
            <w:tcW w:w="1134" w:type="dxa"/>
            <w:vAlign w:val="center"/>
          </w:tcPr>
          <w:p>
            <w:pPr>
              <w:pStyle w:val="12"/>
            </w:pPr>
            <w:r>
              <w:t>67.39</w:t>
            </w:r>
          </w:p>
        </w:tc>
        <w:tc>
          <w:tcPr>
            <w:tcW w:w="1134" w:type="dxa"/>
            <w:vAlign w:val="center"/>
          </w:tcPr>
          <w:p>
            <w:pPr>
              <w:pStyle w:val="12"/>
            </w:pPr>
            <w:r>
              <w:t>67.39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267.07</w:t>
            </w:r>
          </w:p>
        </w:tc>
        <w:tc>
          <w:tcPr>
            <w:tcW w:w="1134" w:type="dxa"/>
            <w:vAlign w:val="center"/>
          </w:tcPr>
          <w:p>
            <w:pPr>
              <w:pStyle w:val="12"/>
            </w:pPr>
            <w:r>
              <w:t>267.07</w:t>
            </w:r>
          </w:p>
        </w:tc>
        <w:tc>
          <w:tcPr>
            <w:tcW w:w="1134" w:type="dxa"/>
            <w:vAlign w:val="center"/>
          </w:tcPr>
          <w:p>
            <w:pPr>
              <w:pStyle w:val="12"/>
            </w:pPr>
            <w:r>
              <w:t>267.07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267.07</w:t>
            </w:r>
          </w:p>
        </w:tc>
        <w:tc>
          <w:tcPr>
            <w:tcW w:w="1134" w:type="dxa"/>
            <w:vAlign w:val="center"/>
          </w:tcPr>
          <w:p>
            <w:pPr>
              <w:pStyle w:val="12"/>
            </w:pPr>
            <w:r>
              <w:t>267.07</w:t>
            </w:r>
          </w:p>
        </w:tc>
        <w:tc>
          <w:tcPr>
            <w:tcW w:w="1134" w:type="dxa"/>
            <w:vAlign w:val="center"/>
          </w:tcPr>
          <w:p>
            <w:pPr>
              <w:pStyle w:val="12"/>
            </w:pPr>
            <w:r>
              <w:t>267.07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30.59</w:t>
            </w:r>
          </w:p>
        </w:tc>
        <w:tc>
          <w:tcPr>
            <w:tcW w:w="1134" w:type="dxa"/>
            <w:vAlign w:val="center"/>
          </w:tcPr>
          <w:p>
            <w:pPr>
              <w:pStyle w:val="12"/>
            </w:pPr>
            <w:r>
              <w:t>30.59</w:t>
            </w:r>
          </w:p>
        </w:tc>
        <w:tc>
          <w:tcPr>
            <w:tcW w:w="1134" w:type="dxa"/>
            <w:vAlign w:val="center"/>
          </w:tcPr>
          <w:p>
            <w:pPr>
              <w:pStyle w:val="12"/>
            </w:pPr>
            <w:r>
              <w:t>30.59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30.59</w:t>
            </w:r>
          </w:p>
        </w:tc>
        <w:tc>
          <w:tcPr>
            <w:tcW w:w="1134" w:type="dxa"/>
            <w:vAlign w:val="center"/>
          </w:tcPr>
          <w:p>
            <w:pPr>
              <w:pStyle w:val="12"/>
            </w:pPr>
            <w:r>
              <w:t>30.59</w:t>
            </w:r>
          </w:p>
        </w:tc>
        <w:tc>
          <w:tcPr>
            <w:tcW w:w="1134" w:type="dxa"/>
            <w:vAlign w:val="center"/>
          </w:tcPr>
          <w:p>
            <w:pPr>
              <w:pStyle w:val="12"/>
            </w:pPr>
            <w:r>
              <w:t>30.59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30.59</w:t>
            </w:r>
          </w:p>
        </w:tc>
        <w:tc>
          <w:tcPr>
            <w:tcW w:w="1134" w:type="dxa"/>
            <w:vAlign w:val="center"/>
          </w:tcPr>
          <w:p>
            <w:pPr>
              <w:pStyle w:val="12"/>
            </w:pPr>
            <w:r>
              <w:t>30.59</w:t>
            </w:r>
          </w:p>
        </w:tc>
        <w:tc>
          <w:tcPr>
            <w:tcW w:w="1134" w:type="dxa"/>
            <w:vAlign w:val="center"/>
          </w:tcPr>
          <w:p>
            <w:pPr>
              <w:pStyle w:val="12"/>
            </w:pPr>
            <w:r>
              <w:t>30.59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899.22</w:t>
            </w:r>
          </w:p>
        </w:tc>
        <w:tc>
          <w:tcPr>
            <w:tcW w:w="1361" w:type="dxa"/>
            <w:vAlign w:val="center"/>
          </w:tcPr>
          <w:p>
            <w:pPr>
              <w:pStyle w:val="16"/>
            </w:pPr>
            <w:r>
              <w:t>564.76</w:t>
            </w:r>
          </w:p>
        </w:tc>
        <w:tc>
          <w:tcPr>
            <w:tcW w:w="1361" w:type="dxa"/>
            <w:vAlign w:val="center"/>
          </w:tcPr>
          <w:p>
            <w:pPr>
              <w:pStyle w:val="16"/>
            </w:pPr>
            <w:r>
              <w:t>334.46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96.02</w:t>
            </w:r>
          </w:p>
        </w:tc>
        <w:tc>
          <w:tcPr>
            <w:tcW w:w="1361" w:type="dxa"/>
            <w:vAlign w:val="center"/>
          </w:tcPr>
          <w:p>
            <w:pPr>
              <w:pStyle w:val="12"/>
            </w:pPr>
            <w:r>
              <w:t>96.02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91.66</w:t>
            </w:r>
          </w:p>
        </w:tc>
        <w:tc>
          <w:tcPr>
            <w:tcW w:w="1361" w:type="dxa"/>
            <w:vAlign w:val="center"/>
          </w:tcPr>
          <w:p>
            <w:pPr>
              <w:pStyle w:val="12"/>
            </w:pPr>
            <w:r>
              <w:t>91.66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50.88</w:t>
            </w:r>
          </w:p>
        </w:tc>
        <w:tc>
          <w:tcPr>
            <w:tcW w:w="1361" w:type="dxa"/>
            <w:vAlign w:val="center"/>
          </w:tcPr>
          <w:p>
            <w:pPr>
              <w:pStyle w:val="12"/>
            </w:pPr>
            <w:r>
              <w:t>50.88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40.78</w:t>
            </w:r>
          </w:p>
        </w:tc>
        <w:tc>
          <w:tcPr>
            <w:tcW w:w="1361" w:type="dxa"/>
            <w:vAlign w:val="center"/>
          </w:tcPr>
          <w:p>
            <w:pPr>
              <w:pStyle w:val="12"/>
            </w:pPr>
            <w:r>
              <w:t>40.78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4.36</w:t>
            </w:r>
          </w:p>
        </w:tc>
        <w:tc>
          <w:tcPr>
            <w:tcW w:w="1361" w:type="dxa"/>
            <w:vAlign w:val="center"/>
          </w:tcPr>
          <w:p>
            <w:pPr>
              <w:pStyle w:val="12"/>
            </w:pPr>
            <w:r>
              <w:t>4.36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4.36</w:t>
            </w:r>
          </w:p>
        </w:tc>
        <w:tc>
          <w:tcPr>
            <w:tcW w:w="1361" w:type="dxa"/>
            <w:vAlign w:val="center"/>
          </w:tcPr>
          <w:p>
            <w:pPr>
              <w:pStyle w:val="12"/>
            </w:pPr>
            <w:r>
              <w:t>4.36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64.42</w:t>
            </w:r>
          </w:p>
        </w:tc>
        <w:tc>
          <w:tcPr>
            <w:tcW w:w="1361" w:type="dxa"/>
            <w:vAlign w:val="center"/>
          </w:tcPr>
          <w:p>
            <w:pPr>
              <w:pStyle w:val="12"/>
            </w:pPr>
            <w:r>
              <w:t>64.42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64.42</w:t>
            </w:r>
          </w:p>
        </w:tc>
        <w:tc>
          <w:tcPr>
            <w:tcW w:w="1361" w:type="dxa"/>
            <w:vAlign w:val="center"/>
          </w:tcPr>
          <w:p>
            <w:pPr>
              <w:pStyle w:val="12"/>
            </w:pPr>
            <w:r>
              <w:t>64.42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19.76</w:t>
            </w:r>
          </w:p>
        </w:tc>
        <w:tc>
          <w:tcPr>
            <w:tcW w:w="1361" w:type="dxa"/>
            <w:vAlign w:val="center"/>
          </w:tcPr>
          <w:p>
            <w:pPr>
              <w:pStyle w:val="12"/>
            </w:pPr>
            <w:r>
              <w:t>19.76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44.66</w:t>
            </w:r>
          </w:p>
        </w:tc>
        <w:tc>
          <w:tcPr>
            <w:tcW w:w="1361" w:type="dxa"/>
            <w:vAlign w:val="center"/>
          </w:tcPr>
          <w:p>
            <w:pPr>
              <w:pStyle w:val="12"/>
            </w:pPr>
            <w:r>
              <w:t>44.66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708.19</w:t>
            </w:r>
          </w:p>
        </w:tc>
        <w:tc>
          <w:tcPr>
            <w:tcW w:w="1361" w:type="dxa"/>
            <w:vAlign w:val="center"/>
          </w:tcPr>
          <w:p>
            <w:pPr>
              <w:pStyle w:val="12"/>
            </w:pPr>
            <w:r>
              <w:t>373.73</w:t>
            </w:r>
          </w:p>
        </w:tc>
        <w:tc>
          <w:tcPr>
            <w:tcW w:w="1361" w:type="dxa"/>
            <w:vAlign w:val="center"/>
          </w:tcPr>
          <w:p>
            <w:pPr>
              <w:pStyle w:val="12"/>
            </w:pPr>
            <w:r>
              <w:t>334.46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441.12</w:t>
            </w:r>
          </w:p>
        </w:tc>
        <w:tc>
          <w:tcPr>
            <w:tcW w:w="1361" w:type="dxa"/>
            <w:vAlign w:val="center"/>
          </w:tcPr>
          <w:p>
            <w:pPr>
              <w:pStyle w:val="12"/>
            </w:pPr>
            <w:r>
              <w:t>373.73</w:t>
            </w:r>
          </w:p>
        </w:tc>
        <w:tc>
          <w:tcPr>
            <w:tcW w:w="1361" w:type="dxa"/>
            <w:vAlign w:val="center"/>
          </w:tcPr>
          <w:p>
            <w:pPr>
              <w:pStyle w:val="12"/>
            </w:pPr>
            <w:r>
              <w:t>67.39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373.73</w:t>
            </w:r>
          </w:p>
        </w:tc>
        <w:tc>
          <w:tcPr>
            <w:tcW w:w="1361" w:type="dxa"/>
            <w:vAlign w:val="center"/>
          </w:tcPr>
          <w:p>
            <w:pPr>
              <w:pStyle w:val="12"/>
            </w:pPr>
            <w:r>
              <w:t>373.73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2120199</w:t>
            </w:r>
          </w:p>
        </w:tc>
        <w:tc>
          <w:tcPr>
            <w:tcW w:w="4535" w:type="dxa"/>
            <w:vAlign w:val="center"/>
          </w:tcPr>
          <w:p>
            <w:pPr>
              <w:pStyle w:val="13"/>
            </w:pPr>
            <w:r>
              <w:t>其他城乡社区管理事务支出</w:t>
            </w:r>
          </w:p>
        </w:tc>
        <w:tc>
          <w:tcPr>
            <w:tcW w:w="1361" w:type="dxa"/>
            <w:vAlign w:val="center"/>
          </w:tcPr>
          <w:p>
            <w:pPr>
              <w:pStyle w:val="12"/>
            </w:pPr>
            <w:r>
              <w:t>67.39</w:t>
            </w:r>
          </w:p>
        </w:tc>
        <w:tc>
          <w:tcPr>
            <w:tcW w:w="1361" w:type="dxa"/>
            <w:vAlign w:val="center"/>
          </w:tcPr>
          <w:p>
            <w:pPr>
              <w:pStyle w:val="12"/>
            </w:pPr>
          </w:p>
        </w:tc>
        <w:tc>
          <w:tcPr>
            <w:tcW w:w="1361" w:type="dxa"/>
            <w:vAlign w:val="center"/>
          </w:tcPr>
          <w:p>
            <w:pPr>
              <w:pStyle w:val="12"/>
            </w:pPr>
            <w:r>
              <w:t>67.39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267.07</w:t>
            </w:r>
          </w:p>
        </w:tc>
        <w:tc>
          <w:tcPr>
            <w:tcW w:w="1361" w:type="dxa"/>
            <w:vAlign w:val="center"/>
          </w:tcPr>
          <w:p>
            <w:pPr>
              <w:pStyle w:val="12"/>
            </w:pPr>
          </w:p>
        </w:tc>
        <w:tc>
          <w:tcPr>
            <w:tcW w:w="1361" w:type="dxa"/>
            <w:vAlign w:val="center"/>
          </w:tcPr>
          <w:p>
            <w:pPr>
              <w:pStyle w:val="12"/>
            </w:pPr>
            <w:r>
              <w:t>267.07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267.07</w:t>
            </w:r>
          </w:p>
        </w:tc>
        <w:tc>
          <w:tcPr>
            <w:tcW w:w="1361" w:type="dxa"/>
            <w:vAlign w:val="center"/>
          </w:tcPr>
          <w:p>
            <w:pPr>
              <w:pStyle w:val="12"/>
            </w:pPr>
          </w:p>
        </w:tc>
        <w:tc>
          <w:tcPr>
            <w:tcW w:w="1361" w:type="dxa"/>
            <w:vAlign w:val="center"/>
          </w:tcPr>
          <w:p>
            <w:pPr>
              <w:pStyle w:val="12"/>
            </w:pPr>
            <w:r>
              <w:t>267.07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30.59</w:t>
            </w:r>
          </w:p>
        </w:tc>
        <w:tc>
          <w:tcPr>
            <w:tcW w:w="1361" w:type="dxa"/>
            <w:vAlign w:val="center"/>
          </w:tcPr>
          <w:p>
            <w:pPr>
              <w:pStyle w:val="12"/>
            </w:pPr>
            <w:r>
              <w:t>30.59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30.59</w:t>
            </w:r>
          </w:p>
        </w:tc>
        <w:tc>
          <w:tcPr>
            <w:tcW w:w="1361" w:type="dxa"/>
            <w:vAlign w:val="center"/>
          </w:tcPr>
          <w:p>
            <w:pPr>
              <w:pStyle w:val="12"/>
            </w:pPr>
            <w:r>
              <w:t>30.59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30.59</w:t>
            </w:r>
          </w:p>
        </w:tc>
        <w:tc>
          <w:tcPr>
            <w:tcW w:w="1361" w:type="dxa"/>
            <w:vAlign w:val="center"/>
          </w:tcPr>
          <w:p>
            <w:pPr>
              <w:pStyle w:val="12"/>
            </w:pPr>
            <w:r>
              <w:t>30.59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899.22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96.02</w:t>
            </w:r>
          </w:p>
        </w:tc>
        <w:tc>
          <w:tcPr>
            <w:tcW w:w="1474" w:type="dxa"/>
            <w:vAlign w:val="center"/>
          </w:tcPr>
          <w:p>
            <w:pPr>
              <w:pStyle w:val="12"/>
            </w:pPr>
            <w:r>
              <w:t>96.02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64.42</w:t>
            </w:r>
          </w:p>
        </w:tc>
        <w:tc>
          <w:tcPr>
            <w:tcW w:w="1474" w:type="dxa"/>
            <w:vAlign w:val="center"/>
          </w:tcPr>
          <w:p>
            <w:pPr>
              <w:pStyle w:val="12"/>
            </w:pPr>
            <w:r>
              <w:t>64.42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708.19</w:t>
            </w:r>
          </w:p>
        </w:tc>
        <w:tc>
          <w:tcPr>
            <w:tcW w:w="1474" w:type="dxa"/>
            <w:vAlign w:val="center"/>
          </w:tcPr>
          <w:p>
            <w:pPr>
              <w:pStyle w:val="12"/>
            </w:pPr>
            <w:r>
              <w:t>708.19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30.59</w:t>
            </w:r>
          </w:p>
        </w:tc>
        <w:tc>
          <w:tcPr>
            <w:tcW w:w="1474" w:type="dxa"/>
            <w:vAlign w:val="center"/>
          </w:tcPr>
          <w:p>
            <w:pPr>
              <w:pStyle w:val="12"/>
            </w:pPr>
            <w:r>
              <w:t>30.59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899.22</w:t>
            </w:r>
          </w:p>
        </w:tc>
        <w:tc>
          <w:tcPr>
            <w:tcW w:w="3402" w:type="dxa"/>
            <w:vAlign w:val="center"/>
          </w:tcPr>
          <w:p>
            <w:pPr>
              <w:pStyle w:val="15"/>
            </w:pPr>
            <w:r>
              <w:t>本年支出合计</w:t>
            </w:r>
          </w:p>
        </w:tc>
        <w:tc>
          <w:tcPr>
            <w:tcW w:w="1474" w:type="dxa"/>
            <w:vAlign w:val="center"/>
          </w:tcPr>
          <w:p>
            <w:pPr>
              <w:pStyle w:val="16"/>
            </w:pPr>
            <w:r>
              <w:t>899.22</w:t>
            </w:r>
          </w:p>
        </w:tc>
        <w:tc>
          <w:tcPr>
            <w:tcW w:w="1474" w:type="dxa"/>
            <w:vAlign w:val="center"/>
          </w:tcPr>
          <w:p>
            <w:pPr>
              <w:pStyle w:val="16"/>
            </w:pPr>
            <w:r>
              <w:t>899.22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899.22</w:t>
            </w:r>
          </w:p>
        </w:tc>
        <w:tc>
          <w:tcPr>
            <w:tcW w:w="3402" w:type="dxa"/>
            <w:vAlign w:val="center"/>
          </w:tcPr>
          <w:p>
            <w:pPr>
              <w:pStyle w:val="15"/>
            </w:pPr>
            <w:r>
              <w:t>支出总计</w:t>
            </w:r>
          </w:p>
        </w:tc>
        <w:tc>
          <w:tcPr>
            <w:tcW w:w="1474" w:type="dxa"/>
            <w:vAlign w:val="center"/>
          </w:tcPr>
          <w:p>
            <w:pPr>
              <w:pStyle w:val="16"/>
            </w:pPr>
            <w:r>
              <w:t>899.22</w:t>
            </w:r>
          </w:p>
        </w:tc>
        <w:tc>
          <w:tcPr>
            <w:tcW w:w="1474" w:type="dxa"/>
            <w:vAlign w:val="center"/>
          </w:tcPr>
          <w:p>
            <w:pPr>
              <w:pStyle w:val="16"/>
            </w:pPr>
            <w:r>
              <w:t>899.22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899.22</w:t>
            </w:r>
          </w:p>
        </w:tc>
        <w:tc>
          <w:tcPr>
            <w:tcW w:w="2551" w:type="dxa"/>
            <w:vAlign w:val="center"/>
          </w:tcPr>
          <w:p>
            <w:pPr>
              <w:pStyle w:val="16"/>
            </w:pPr>
            <w:r>
              <w:t>564.76</w:t>
            </w:r>
          </w:p>
        </w:tc>
        <w:tc>
          <w:tcPr>
            <w:tcW w:w="2551" w:type="dxa"/>
            <w:vAlign w:val="center"/>
          </w:tcPr>
          <w:p>
            <w:pPr>
              <w:pStyle w:val="16"/>
            </w:pPr>
            <w:r>
              <w:t>334.46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96.02</w:t>
            </w:r>
          </w:p>
        </w:tc>
        <w:tc>
          <w:tcPr>
            <w:tcW w:w="2551" w:type="dxa"/>
            <w:vAlign w:val="center"/>
          </w:tcPr>
          <w:p>
            <w:pPr>
              <w:pStyle w:val="12"/>
            </w:pPr>
            <w:r>
              <w:t>96.02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91.66</w:t>
            </w:r>
          </w:p>
        </w:tc>
        <w:tc>
          <w:tcPr>
            <w:tcW w:w="2551" w:type="dxa"/>
            <w:vAlign w:val="center"/>
          </w:tcPr>
          <w:p>
            <w:pPr>
              <w:pStyle w:val="12"/>
            </w:pPr>
            <w:r>
              <w:t>91.66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50.88</w:t>
            </w:r>
          </w:p>
        </w:tc>
        <w:tc>
          <w:tcPr>
            <w:tcW w:w="2551" w:type="dxa"/>
            <w:vAlign w:val="center"/>
          </w:tcPr>
          <w:p>
            <w:pPr>
              <w:pStyle w:val="12"/>
            </w:pPr>
            <w:r>
              <w:t>50.88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40.78</w:t>
            </w:r>
          </w:p>
        </w:tc>
        <w:tc>
          <w:tcPr>
            <w:tcW w:w="2551" w:type="dxa"/>
            <w:vAlign w:val="center"/>
          </w:tcPr>
          <w:p>
            <w:pPr>
              <w:pStyle w:val="12"/>
            </w:pPr>
            <w:r>
              <w:t>40.78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4.36</w:t>
            </w:r>
          </w:p>
        </w:tc>
        <w:tc>
          <w:tcPr>
            <w:tcW w:w="2551" w:type="dxa"/>
            <w:vAlign w:val="center"/>
          </w:tcPr>
          <w:p>
            <w:pPr>
              <w:pStyle w:val="12"/>
            </w:pPr>
            <w:r>
              <w:t>4.36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4.36</w:t>
            </w:r>
          </w:p>
        </w:tc>
        <w:tc>
          <w:tcPr>
            <w:tcW w:w="2551" w:type="dxa"/>
            <w:vAlign w:val="center"/>
          </w:tcPr>
          <w:p>
            <w:pPr>
              <w:pStyle w:val="12"/>
            </w:pPr>
            <w:r>
              <w:t>4.36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64.42</w:t>
            </w:r>
          </w:p>
        </w:tc>
        <w:tc>
          <w:tcPr>
            <w:tcW w:w="2551" w:type="dxa"/>
            <w:vAlign w:val="center"/>
          </w:tcPr>
          <w:p>
            <w:pPr>
              <w:pStyle w:val="12"/>
            </w:pPr>
            <w:r>
              <w:t>64.42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64.42</w:t>
            </w:r>
          </w:p>
        </w:tc>
        <w:tc>
          <w:tcPr>
            <w:tcW w:w="2551" w:type="dxa"/>
            <w:vAlign w:val="center"/>
          </w:tcPr>
          <w:p>
            <w:pPr>
              <w:pStyle w:val="12"/>
            </w:pPr>
            <w:r>
              <w:t>64.42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19.76</w:t>
            </w:r>
          </w:p>
        </w:tc>
        <w:tc>
          <w:tcPr>
            <w:tcW w:w="2551" w:type="dxa"/>
            <w:vAlign w:val="center"/>
          </w:tcPr>
          <w:p>
            <w:pPr>
              <w:pStyle w:val="12"/>
            </w:pPr>
            <w:r>
              <w:t>19.76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44.66</w:t>
            </w:r>
          </w:p>
        </w:tc>
        <w:tc>
          <w:tcPr>
            <w:tcW w:w="2551" w:type="dxa"/>
            <w:vAlign w:val="center"/>
          </w:tcPr>
          <w:p>
            <w:pPr>
              <w:pStyle w:val="12"/>
            </w:pPr>
            <w:r>
              <w:t>44.66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708.19</w:t>
            </w:r>
          </w:p>
        </w:tc>
        <w:tc>
          <w:tcPr>
            <w:tcW w:w="2551" w:type="dxa"/>
            <w:vAlign w:val="center"/>
          </w:tcPr>
          <w:p>
            <w:pPr>
              <w:pStyle w:val="12"/>
            </w:pPr>
            <w:r>
              <w:t>373.73</w:t>
            </w:r>
          </w:p>
        </w:tc>
        <w:tc>
          <w:tcPr>
            <w:tcW w:w="2551" w:type="dxa"/>
            <w:vAlign w:val="center"/>
          </w:tcPr>
          <w:p>
            <w:pPr>
              <w:pStyle w:val="12"/>
            </w:pPr>
            <w:r>
              <w:t>334.46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441.12</w:t>
            </w:r>
          </w:p>
        </w:tc>
        <w:tc>
          <w:tcPr>
            <w:tcW w:w="2551" w:type="dxa"/>
            <w:vAlign w:val="center"/>
          </w:tcPr>
          <w:p>
            <w:pPr>
              <w:pStyle w:val="12"/>
            </w:pPr>
            <w:r>
              <w:t>373.73</w:t>
            </w:r>
          </w:p>
        </w:tc>
        <w:tc>
          <w:tcPr>
            <w:tcW w:w="2551" w:type="dxa"/>
            <w:vAlign w:val="center"/>
          </w:tcPr>
          <w:p>
            <w:pPr>
              <w:pStyle w:val="12"/>
            </w:pPr>
            <w:r>
              <w:t>67.39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373.73</w:t>
            </w:r>
          </w:p>
        </w:tc>
        <w:tc>
          <w:tcPr>
            <w:tcW w:w="2551" w:type="dxa"/>
            <w:vAlign w:val="center"/>
          </w:tcPr>
          <w:p>
            <w:pPr>
              <w:pStyle w:val="12"/>
            </w:pPr>
            <w:r>
              <w:t>373.73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2120199</w:t>
            </w:r>
          </w:p>
        </w:tc>
        <w:tc>
          <w:tcPr>
            <w:tcW w:w="4535" w:type="dxa"/>
            <w:vAlign w:val="center"/>
          </w:tcPr>
          <w:p>
            <w:pPr>
              <w:pStyle w:val="13"/>
            </w:pPr>
            <w:r>
              <w:t>其他城乡社区管理事务支出</w:t>
            </w:r>
          </w:p>
        </w:tc>
        <w:tc>
          <w:tcPr>
            <w:tcW w:w="2551" w:type="dxa"/>
            <w:vAlign w:val="center"/>
          </w:tcPr>
          <w:p>
            <w:pPr>
              <w:pStyle w:val="12"/>
            </w:pPr>
            <w:r>
              <w:t>67.39</w:t>
            </w:r>
          </w:p>
        </w:tc>
        <w:tc>
          <w:tcPr>
            <w:tcW w:w="2551" w:type="dxa"/>
            <w:vAlign w:val="center"/>
          </w:tcPr>
          <w:p>
            <w:pPr>
              <w:pStyle w:val="12"/>
            </w:pPr>
          </w:p>
        </w:tc>
        <w:tc>
          <w:tcPr>
            <w:tcW w:w="2551" w:type="dxa"/>
            <w:vAlign w:val="center"/>
          </w:tcPr>
          <w:p>
            <w:pPr>
              <w:pStyle w:val="12"/>
            </w:pPr>
            <w:r>
              <w:t>67.39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267.07</w:t>
            </w:r>
          </w:p>
        </w:tc>
        <w:tc>
          <w:tcPr>
            <w:tcW w:w="2551" w:type="dxa"/>
            <w:vAlign w:val="center"/>
          </w:tcPr>
          <w:p>
            <w:pPr>
              <w:pStyle w:val="12"/>
            </w:pPr>
          </w:p>
        </w:tc>
        <w:tc>
          <w:tcPr>
            <w:tcW w:w="2551" w:type="dxa"/>
            <w:vAlign w:val="center"/>
          </w:tcPr>
          <w:p>
            <w:pPr>
              <w:pStyle w:val="12"/>
            </w:pPr>
            <w:r>
              <w:t>267.07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267.07</w:t>
            </w:r>
          </w:p>
        </w:tc>
        <w:tc>
          <w:tcPr>
            <w:tcW w:w="2551" w:type="dxa"/>
            <w:vAlign w:val="center"/>
          </w:tcPr>
          <w:p>
            <w:pPr>
              <w:pStyle w:val="12"/>
            </w:pPr>
          </w:p>
        </w:tc>
        <w:tc>
          <w:tcPr>
            <w:tcW w:w="2551" w:type="dxa"/>
            <w:vAlign w:val="center"/>
          </w:tcPr>
          <w:p>
            <w:pPr>
              <w:pStyle w:val="12"/>
            </w:pPr>
            <w:r>
              <w:t>267.07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30.59</w:t>
            </w:r>
          </w:p>
        </w:tc>
        <w:tc>
          <w:tcPr>
            <w:tcW w:w="2551" w:type="dxa"/>
            <w:vAlign w:val="center"/>
          </w:tcPr>
          <w:p>
            <w:pPr>
              <w:pStyle w:val="12"/>
            </w:pPr>
            <w:r>
              <w:t>30.59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30.59</w:t>
            </w:r>
          </w:p>
        </w:tc>
        <w:tc>
          <w:tcPr>
            <w:tcW w:w="2551" w:type="dxa"/>
            <w:vAlign w:val="center"/>
          </w:tcPr>
          <w:p>
            <w:pPr>
              <w:pStyle w:val="12"/>
            </w:pPr>
            <w:r>
              <w:t>30.59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30.59</w:t>
            </w:r>
          </w:p>
        </w:tc>
        <w:tc>
          <w:tcPr>
            <w:tcW w:w="2551" w:type="dxa"/>
            <w:vAlign w:val="center"/>
          </w:tcPr>
          <w:p>
            <w:pPr>
              <w:pStyle w:val="12"/>
            </w:pPr>
            <w:r>
              <w:t>30.59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564.76</w:t>
            </w:r>
          </w:p>
        </w:tc>
        <w:tc>
          <w:tcPr>
            <w:tcW w:w="2551" w:type="dxa"/>
            <w:vAlign w:val="center"/>
          </w:tcPr>
          <w:p>
            <w:pPr>
              <w:pStyle w:val="16"/>
            </w:pPr>
            <w:r>
              <w:t>468.62</w:t>
            </w:r>
          </w:p>
        </w:tc>
        <w:tc>
          <w:tcPr>
            <w:tcW w:w="2551" w:type="dxa"/>
            <w:vAlign w:val="center"/>
          </w:tcPr>
          <w:p>
            <w:pPr>
              <w:pStyle w:val="16"/>
            </w:pPr>
            <w:r>
              <w:t>96.14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419.67</w:t>
            </w:r>
          </w:p>
        </w:tc>
        <w:tc>
          <w:tcPr>
            <w:tcW w:w="2551" w:type="dxa"/>
            <w:vAlign w:val="center"/>
          </w:tcPr>
          <w:p>
            <w:pPr>
              <w:pStyle w:val="12"/>
            </w:pPr>
            <w:r>
              <w:t>419.67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131.89</w:t>
            </w:r>
          </w:p>
        </w:tc>
        <w:tc>
          <w:tcPr>
            <w:tcW w:w="2551" w:type="dxa"/>
            <w:vAlign w:val="center"/>
          </w:tcPr>
          <w:p>
            <w:pPr>
              <w:pStyle w:val="12"/>
            </w:pPr>
            <w:r>
              <w:t>131.89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139.77</w:t>
            </w:r>
          </w:p>
        </w:tc>
        <w:tc>
          <w:tcPr>
            <w:tcW w:w="2551" w:type="dxa"/>
            <w:vAlign w:val="center"/>
          </w:tcPr>
          <w:p>
            <w:pPr>
              <w:pStyle w:val="12"/>
            </w:pPr>
            <w:r>
              <w:t>139.77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11.00</w:t>
            </w:r>
          </w:p>
        </w:tc>
        <w:tc>
          <w:tcPr>
            <w:tcW w:w="2551" w:type="dxa"/>
            <w:vAlign w:val="center"/>
          </w:tcPr>
          <w:p>
            <w:pPr>
              <w:pStyle w:val="12"/>
            </w:pPr>
            <w:r>
              <w:t>11.00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40.78</w:t>
            </w:r>
          </w:p>
        </w:tc>
        <w:tc>
          <w:tcPr>
            <w:tcW w:w="2551" w:type="dxa"/>
            <w:vAlign w:val="center"/>
          </w:tcPr>
          <w:p>
            <w:pPr>
              <w:pStyle w:val="12"/>
            </w:pPr>
            <w:r>
              <w:t>40.78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19.76</w:t>
            </w:r>
          </w:p>
        </w:tc>
        <w:tc>
          <w:tcPr>
            <w:tcW w:w="2551" w:type="dxa"/>
            <w:vAlign w:val="center"/>
          </w:tcPr>
          <w:p>
            <w:pPr>
              <w:pStyle w:val="12"/>
            </w:pPr>
            <w:r>
              <w:t>19.76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44.66</w:t>
            </w:r>
          </w:p>
        </w:tc>
        <w:tc>
          <w:tcPr>
            <w:tcW w:w="2551" w:type="dxa"/>
            <w:vAlign w:val="center"/>
          </w:tcPr>
          <w:p>
            <w:pPr>
              <w:pStyle w:val="12"/>
            </w:pPr>
            <w:r>
              <w:t>44.66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1.22</w:t>
            </w:r>
          </w:p>
        </w:tc>
        <w:tc>
          <w:tcPr>
            <w:tcW w:w="2551" w:type="dxa"/>
            <w:vAlign w:val="center"/>
          </w:tcPr>
          <w:p>
            <w:pPr>
              <w:pStyle w:val="12"/>
            </w:pPr>
            <w:r>
              <w:t>1.22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30.59</w:t>
            </w:r>
          </w:p>
        </w:tc>
        <w:tc>
          <w:tcPr>
            <w:tcW w:w="2551" w:type="dxa"/>
            <w:vAlign w:val="center"/>
          </w:tcPr>
          <w:p>
            <w:pPr>
              <w:pStyle w:val="12"/>
            </w:pPr>
            <w:r>
              <w:t>30.59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96.14</w:t>
            </w:r>
          </w:p>
        </w:tc>
        <w:tc>
          <w:tcPr>
            <w:tcW w:w="2551" w:type="dxa"/>
            <w:vAlign w:val="center"/>
          </w:tcPr>
          <w:p>
            <w:pPr>
              <w:pStyle w:val="12"/>
            </w:pPr>
          </w:p>
        </w:tc>
        <w:tc>
          <w:tcPr>
            <w:tcW w:w="2551" w:type="dxa"/>
            <w:vAlign w:val="center"/>
          </w:tcPr>
          <w:p>
            <w:pPr>
              <w:pStyle w:val="12"/>
            </w:pPr>
            <w:r>
              <w:t>96.14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7.65</w:t>
            </w:r>
          </w:p>
        </w:tc>
        <w:tc>
          <w:tcPr>
            <w:tcW w:w="2551" w:type="dxa"/>
            <w:vAlign w:val="center"/>
          </w:tcPr>
          <w:p>
            <w:pPr>
              <w:pStyle w:val="12"/>
            </w:pPr>
          </w:p>
        </w:tc>
        <w:tc>
          <w:tcPr>
            <w:tcW w:w="2551" w:type="dxa"/>
            <w:vAlign w:val="center"/>
          </w:tcPr>
          <w:p>
            <w:pPr>
              <w:pStyle w:val="12"/>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10.50</w:t>
            </w:r>
          </w:p>
        </w:tc>
        <w:tc>
          <w:tcPr>
            <w:tcW w:w="2551" w:type="dxa"/>
            <w:vAlign w:val="center"/>
          </w:tcPr>
          <w:p>
            <w:pPr>
              <w:pStyle w:val="12"/>
            </w:pPr>
          </w:p>
        </w:tc>
        <w:tc>
          <w:tcPr>
            <w:tcW w:w="2551" w:type="dxa"/>
            <w:vAlign w:val="center"/>
          </w:tcPr>
          <w:p>
            <w:pPr>
              <w:pStyle w:val="12"/>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17.28</w:t>
            </w:r>
          </w:p>
        </w:tc>
        <w:tc>
          <w:tcPr>
            <w:tcW w:w="2551" w:type="dxa"/>
            <w:vAlign w:val="center"/>
          </w:tcPr>
          <w:p>
            <w:pPr>
              <w:pStyle w:val="12"/>
            </w:pPr>
          </w:p>
        </w:tc>
        <w:tc>
          <w:tcPr>
            <w:tcW w:w="2551" w:type="dxa"/>
            <w:vAlign w:val="center"/>
          </w:tcPr>
          <w:p>
            <w:pPr>
              <w:pStyle w:val="12"/>
            </w:pPr>
            <w: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9.21</w:t>
            </w:r>
          </w:p>
        </w:tc>
        <w:tc>
          <w:tcPr>
            <w:tcW w:w="2551" w:type="dxa"/>
            <w:vAlign w:val="center"/>
          </w:tcPr>
          <w:p>
            <w:pPr>
              <w:pStyle w:val="12"/>
            </w:pPr>
          </w:p>
        </w:tc>
        <w:tc>
          <w:tcPr>
            <w:tcW w:w="2551" w:type="dxa"/>
            <w:vAlign w:val="center"/>
          </w:tcPr>
          <w:p>
            <w:pPr>
              <w:pStyle w:val="12"/>
            </w:pPr>
            <w:r>
              <w:t>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3.66</w:t>
            </w:r>
          </w:p>
        </w:tc>
        <w:tc>
          <w:tcPr>
            <w:tcW w:w="2551" w:type="dxa"/>
            <w:vAlign w:val="center"/>
          </w:tcPr>
          <w:p>
            <w:pPr>
              <w:pStyle w:val="12"/>
            </w:pPr>
          </w:p>
        </w:tc>
        <w:tc>
          <w:tcPr>
            <w:tcW w:w="2551" w:type="dxa"/>
            <w:vAlign w:val="center"/>
          </w:tcPr>
          <w:p>
            <w:pPr>
              <w:pStyle w:val="12"/>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4.89</w:t>
            </w:r>
          </w:p>
        </w:tc>
        <w:tc>
          <w:tcPr>
            <w:tcW w:w="2551" w:type="dxa"/>
            <w:vAlign w:val="center"/>
          </w:tcPr>
          <w:p>
            <w:pPr>
              <w:pStyle w:val="12"/>
            </w:pPr>
          </w:p>
        </w:tc>
        <w:tc>
          <w:tcPr>
            <w:tcW w:w="2551" w:type="dxa"/>
            <w:vAlign w:val="center"/>
          </w:tcPr>
          <w:p>
            <w:pPr>
              <w:pStyle w:val="12"/>
            </w:pPr>
            <w:r>
              <w:t>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3.75</w:t>
            </w:r>
          </w:p>
        </w:tc>
        <w:tc>
          <w:tcPr>
            <w:tcW w:w="2551" w:type="dxa"/>
            <w:vAlign w:val="center"/>
          </w:tcPr>
          <w:p>
            <w:pPr>
              <w:pStyle w:val="12"/>
            </w:pPr>
          </w:p>
        </w:tc>
        <w:tc>
          <w:tcPr>
            <w:tcW w:w="2551" w:type="dxa"/>
            <w:vAlign w:val="center"/>
          </w:tcPr>
          <w:p>
            <w:pPr>
              <w:pStyle w:val="12"/>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6.90</w:t>
            </w:r>
          </w:p>
        </w:tc>
        <w:tc>
          <w:tcPr>
            <w:tcW w:w="2551" w:type="dxa"/>
            <w:vAlign w:val="center"/>
          </w:tcPr>
          <w:p>
            <w:pPr>
              <w:pStyle w:val="12"/>
            </w:pPr>
          </w:p>
        </w:tc>
        <w:tc>
          <w:tcPr>
            <w:tcW w:w="2551" w:type="dxa"/>
            <w:vAlign w:val="center"/>
          </w:tcPr>
          <w:p>
            <w:pPr>
              <w:pStyle w:val="12"/>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48.95</w:t>
            </w:r>
          </w:p>
        </w:tc>
        <w:tc>
          <w:tcPr>
            <w:tcW w:w="2551" w:type="dxa"/>
            <w:vAlign w:val="center"/>
          </w:tcPr>
          <w:p>
            <w:pPr>
              <w:pStyle w:val="12"/>
            </w:pPr>
            <w:r>
              <w:t>48.95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0.83</w:t>
            </w:r>
          </w:p>
        </w:tc>
        <w:tc>
          <w:tcPr>
            <w:tcW w:w="2551" w:type="dxa"/>
            <w:vAlign w:val="center"/>
          </w:tcPr>
          <w:p>
            <w:pPr>
              <w:pStyle w:val="12"/>
            </w:pPr>
            <w:r>
              <w:t>0.83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43.15</w:t>
            </w:r>
          </w:p>
        </w:tc>
        <w:tc>
          <w:tcPr>
            <w:tcW w:w="2551" w:type="dxa"/>
            <w:vAlign w:val="center"/>
          </w:tcPr>
          <w:p>
            <w:pPr>
              <w:pStyle w:val="12"/>
            </w:pPr>
            <w:r>
              <w:t>43.15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4.36</w:t>
            </w:r>
          </w:p>
        </w:tc>
        <w:tc>
          <w:tcPr>
            <w:tcW w:w="2551" w:type="dxa"/>
            <w:vAlign w:val="center"/>
          </w:tcPr>
          <w:p>
            <w:pPr>
              <w:pStyle w:val="12"/>
            </w:pPr>
            <w:r>
              <w:t>4.36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0.14</w:t>
            </w:r>
          </w:p>
        </w:tc>
        <w:tc>
          <w:tcPr>
            <w:tcW w:w="2551" w:type="dxa"/>
            <w:vAlign w:val="center"/>
          </w:tcPr>
          <w:p>
            <w:pPr>
              <w:pStyle w:val="12"/>
            </w:pPr>
            <w:r>
              <w:t>0.14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0.47</w:t>
            </w:r>
          </w:p>
        </w:tc>
        <w:tc>
          <w:tcPr>
            <w:tcW w:w="2551" w:type="dxa"/>
            <w:vAlign w:val="center"/>
          </w:tcPr>
          <w:p>
            <w:pPr>
              <w:pStyle w:val="12"/>
            </w:pPr>
            <w:r>
              <w:t>0.47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eastAsia="方正书宋_GBK"/>
                <w:lang w:val="en-US" w:eastAsia="zh-CN"/>
              </w:rPr>
            </w:pPr>
            <w:r>
              <w:rPr>
                <w:rFonts w:hint="eastAsia"/>
                <w:lang w:val="en-US" w:eastAsia="zh-CN"/>
              </w:rPr>
              <w:t>3.75</w:t>
            </w:r>
          </w:p>
        </w:tc>
        <w:tc>
          <w:tcPr>
            <w:tcW w:w="2381" w:type="dxa"/>
            <w:vAlign w:val="center"/>
          </w:tcPr>
          <w:p>
            <w:pPr>
              <w:pStyle w:val="16"/>
              <w:rPr>
                <w:rFonts w:hint="default" w:eastAsia="方正书宋_GBK"/>
                <w:lang w:val="en-US" w:eastAsia="zh-CN"/>
              </w:rPr>
            </w:pPr>
            <w:r>
              <w:rPr>
                <w:rFonts w:hint="eastAsia"/>
                <w:lang w:val="en-US" w:eastAsia="zh-CN"/>
              </w:rPr>
              <w:t>3.75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3.75</w:t>
            </w:r>
          </w:p>
        </w:tc>
        <w:tc>
          <w:tcPr>
            <w:tcW w:w="2381" w:type="dxa"/>
            <w:vAlign w:val="center"/>
          </w:tcPr>
          <w:p>
            <w:pPr>
              <w:pStyle w:val="12"/>
            </w:pPr>
            <w:r>
              <w:t>3.75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r>
              <w:t>3.75</w:t>
            </w:r>
          </w:p>
        </w:tc>
        <w:tc>
          <w:tcPr>
            <w:tcW w:w="2381" w:type="dxa"/>
            <w:vAlign w:val="center"/>
          </w:tcPr>
          <w:p>
            <w:pPr>
              <w:pStyle w:val="12"/>
            </w:pPr>
            <w:r>
              <w:t>3.75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3.75</w:t>
            </w:r>
          </w:p>
        </w:tc>
        <w:tc>
          <w:tcPr>
            <w:tcW w:w="2381" w:type="dxa"/>
            <w:vAlign w:val="center"/>
          </w:tcPr>
          <w:p>
            <w:pPr>
              <w:pStyle w:val="12"/>
            </w:pPr>
            <w:r>
              <w:t>3.75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_GBK" w:hAnsi="方正小标宋_GBK" w:cs="方正小标宋_GBK" w:eastAsiaTheme="minorEastAsia"/>
          <w:color w:val="000000"/>
          <w:sz w:val="44"/>
          <w:lang w:eastAsia="zh-CN"/>
        </w:rPr>
      </w:pPr>
      <w:r>
        <w:rPr>
          <w:rFonts w:ascii="方正小标宋_GBK" w:hAnsi="方正小标宋_GBK" w:eastAsia="方正小标宋_GBK" w:cs="方正小标宋_GBK"/>
          <w:color w:val="000000"/>
          <w:sz w:val="44"/>
        </w:rPr>
        <w:t>秦皇岛市北戴河区住房和城乡建设局（本级）</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按照《预算法》、《地方预决算公开操作规程》和《关于进一步推进预算公开工作的实施意见》规定，现将秦皇岛市北戴河区住房和城乡建设局（本级）2022年单位预算公开如下：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部门职责：</w:t>
      </w:r>
    </w:p>
    <w:p>
      <w:pPr>
        <w:pStyle w:val="18"/>
      </w:pPr>
      <w:r>
        <w:t>（一）贯彻执行国家住房城乡建设的方针、政策和法律、法规。拟订住房城乡建设方面的地方性法规、政府规章草案；拟订全</w:t>
      </w:r>
      <w:r>
        <w:rPr>
          <w:rFonts w:hint="eastAsia" w:eastAsiaTheme="minorEastAsia"/>
          <w:lang w:val="uk-UA" w:eastAsia="zh-CN"/>
        </w:rPr>
        <w:t>区</w:t>
      </w:r>
      <w:r>
        <w:t>住房城乡建设行业发展规划并组织实施；研究提出住房城乡建设重大问题的政策建议；负责住房城乡建设行业安全生产监管。</w:t>
      </w:r>
    </w:p>
    <w:p>
      <w:pPr>
        <w:pStyle w:val="18"/>
      </w:pPr>
      <w:r>
        <w:t>（二）负责城镇低收入家庭住房保障。拟订城镇住房保障相关政策并指导实施；会同有关部门做好城镇保障性安居工程资金安排并监督实施；组织编制、实施城镇住房保障发展规划和年度计划。</w:t>
      </w:r>
    </w:p>
    <w:p>
      <w:pPr>
        <w:pStyle w:val="18"/>
      </w:pPr>
      <w:r>
        <w:t>（三）负责推进住房制度改革。拟订适合</w:t>
      </w:r>
      <w:r>
        <w:rPr>
          <w:rFonts w:hint="eastAsia" w:eastAsiaTheme="minorEastAsia"/>
          <w:lang w:eastAsia="zh-CN"/>
        </w:rPr>
        <w:t>我区</w:t>
      </w:r>
      <w:r>
        <w:t>的住房政策，指导住房建设，推动住房制度改革；拟订住房建设发展规划并组织实施。</w:t>
      </w:r>
    </w:p>
    <w:p>
      <w:pPr>
        <w:pStyle w:val="18"/>
      </w:pPr>
      <w:r>
        <w:t>（四）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pPr>
        <w:pStyle w:val="18"/>
      </w:pPr>
      <w:r>
        <w:t>（五）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18"/>
      </w:pPr>
      <w:r>
        <w:t>（六）负责建筑市场的监督管理。负责国家规定必须招标的房屋建筑和市政基础设施工程招标投标活动的监督工作；拟订勘察设计、施工、建设监理的地方性法规、政府规章草案；拟订工程建设、建筑业、勘察设计的行业发展战略、中长期发展规划、改革方案、产业政策、规章制度并监督执行；制定规范建筑市场各方主体行为的规章制度并监督执行；组织协调建筑企业参与国际工程承包、建筑劳务合作。</w:t>
      </w:r>
    </w:p>
    <w:p>
      <w:pPr>
        <w:pStyle w:val="18"/>
      </w:pPr>
      <w:r>
        <w:t>（七）指导城市建设和管理工作。拟订城市建设和管理的政策、规章制度并指导实施；编制省级城市建设行业发展规划并组织实施；指导城市建设行业专业规划的编制、审批和实施；指导城市设计；指导城市市政公用设施的建设和安全运行；会同有关部门负责历史文化名城（镇、村）的保护和监督管理工作。</w:t>
      </w:r>
    </w:p>
    <w:p>
      <w:pPr>
        <w:pStyle w:val="18"/>
      </w:pPr>
      <w:r>
        <w:t>（八）指导村镇建设。拟订村镇建设政策并指导实施；指导村镇建设规划编制和实施；指导乡村建筑风貌管控；指导农村住房建设和安全及危房改造；指导建制镇生活垃圾、生活污水处理及农村生活垃圾收运处置体系建设；指导重点镇和特色小城镇建设。</w:t>
      </w:r>
    </w:p>
    <w:p>
      <w:pPr>
        <w:pStyle w:val="18"/>
      </w:pPr>
      <w:r>
        <w:t>（九）负责建筑工程质量安全监管。拟订建筑工程质量、施工安全和竣工验收备案的政策、规章制度并监督执行；组织或参与工程重大质量、安全事故的调查处理；拟订建筑业、工程勘察设计咨询业的技术政策并指导实施；指导建设工程消防设计审查工作。</w:t>
      </w:r>
    </w:p>
    <w:p>
      <w:pPr>
        <w:pStyle w:val="18"/>
      </w:pPr>
      <w:r>
        <w:t xml:space="preserve">（十）负责推进建筑节能减排。会同有关部门拟订建筑节能的政策、规划并指导实施；制定住房城乡建设的科技发展规划和政策；组织实施重大建筑节能项目；指导和推动建筑节能减排、绿色建筑发展和住房城乡建设行业信息化。    </w:t>
      </w:r>
    </w:p>
    <w:p>
      <w:pPr>
        <w:pStyle w:val="18"/>
      </w:pPr>
      <w:r>
        <w:t>（十</w:t>
      </w:r>
      <w:r>
        <w:rPr>
          <w:rFonts w:hint="eastAsia" w:eastAsiaTheme="minorEastAsia"/>
          <w:lang w:eastAsia="zh-CN"/>
        </w:rPr>
        <w:t>一</w:t>
      </w:r>
      <w:r>
        <w:t>）负责行政执法监督。拟订住房城乡建设系统行政执法的政策法规；组织查处住房城乡建设领域重大案件、跨区域案件以及依法应由省住房城乡建设厅实施行政处罚的案件。</w:t>
      </w:r>
    </w:p>
    <w:p>
      <w:pPr>
        <w:pStyle w:val="18"/>
      </w:pPr>
      <w:r>
        <w:t>（十</w:t>
      </w:r>
      <w:r>
        <w:rPr>
          <w:rFonts w:hint="eastAsia" w:eastAsiaTheme="minorEastAsia"/>
          <w:lang w:eastAsia="zh-CN"/>
        </w:rPr>
        <w:t>二</w:t>
      </w:r>
      <w:r>
        <w:t>）开展住房城乡建设方面的对外交流与合作。</w:t>
      </w:r>
    </w:p>
    <w:p>
      <w:pPr>
        <w:pStyle w:val="18"/>
      </w:pPr>
      <w:r>
        <w:t>（十</w:t>
      </w:r>
      <w:r>
        <w:rPr>
          <w:rFonts w:hint="eastAsia" w:eastAsiaTheme="minorEastAsia"/>
          <w:lang w:eastAsia="zh-CN"/>
        </w:rPr>
        <w:t>三</w:t>
      </w:r>
      <w:r>
        <w:t>）完成</w:t>
      </w:r>
      <w:r>
        <w:rPr>
          <w:rFonts w:hint="eastAsia" w:eastAsiaTheme="minorEastAsia"/>
          <w:lang w:eastAsia="zh-CN"/>
        </w:rPr>
        <w:t>区</w:t>
      </w:r>
      <w:r>
        <w:t>委、</w:t>
      </w:r>
      <w:r>
        <w:rPr>
          <w:rFonts w:hint="eastAsia" w:eastAsiaTheme="minorEastAsia"/>
          <w:lang w:eastAsia="zh-CN"/>
        </w:rPr>
        <w:t>区</w:t>
      </w:r>
      <w:r>
        <w:t>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秦皇岛市北戴河区住房和城乡建设局（本级）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区</w:t>
      </w:r>
      <w:r>
        <w:rPr>
          <w:rFonts w:eastAsia="方正仿宋_GBK"/>
          <w:color w:val="000000"/>
          <w:sz w:val="28"/>
        </w:rPr>
        <w:t>单位预算的编制实行综合预算管理，即全部收入和支出都反映在预算中。</w:t>
      </w:r>
    </w:p>
    <w:p>
      <w:pPr>
        <w:pStyle w:val="27"/>
      </w:pPr>
      <w:r>
        <w:t>1、收入说明</w:t>
      </w:r>
    </w:p>
    <w:p>
      <w:pPr>
        <w:pStyle w:val="27"/>
      </w:pPr>
      <w:r>
        <w:t>2022年预算收入899.22万元，其中：一般公共预算收入899.22万元，基金预算收入0万元，国有资本经营预算收入0万元，财政专户核拨收入0万元，单位资金收入0万元，上年结转0万元。</w:t>
      </w:r>
    </w:p>
    <w:p>
      <w:pPr>
        <w:pStyle w:val="27"/>
      </w:pPr>
      <w:r>
        <w:t>2、支出说明</w:t>
      </w:r>
    </w:p>
    <w:p>
      <w:pPr>
        <w:pStyle w:val="27"/>
      </w:pPr>
      <w:r>
        <w:t>收支预算总表支出栏、基本支出表、项目支出表按经济分类和支出功能分类科目编制，反映北戴河区住房和城乡建设局年度单位预算中支出预算的总体情况。2022年支出预算为899.22万元，其中基本支出564.76万元，包括人员经费468.62万元和日常公用经费96.14万元；项目支出334.46万元，主要为房产信息维护费、警报设施管理及新增警报器、景观运行维护费、老旧公房维护费、燃气监管经费、人防工程设施、人防宣传培训、商品房预售行政审批、招商事务经费、人事代理经费、劳务派遣经费及专业劳务派遣经费。</w:t>
      </w:r>
    </w:p>
    <w:p>
      <w:pPr>
        <w:pStyle w:val="27"/>
      </w:pPr>
      <w:r>
        <w:t>3、比上年增减情况</w:t>
      </w:r>
    </w:p>
    <w:p>
      <w:pPr>
        <w:pStyle w:val="27"/>
      </w:pPr>
      <w:r>
        <w:t>2022年预算收支安排899.22万元，较2021年预算减少44.4万元，其中：基本支出减少18.42万元，主要是减少人员经费支出11.16万元；日常公用经费减少7.26万元；项目支出减少25.98万元，主要为房产信息维护费减少1.35万元、景观运行维护费减少13.25万元、老旧公房维护费减少7.5万元、燃气监管经费减少7万元、人防工程设施0.85万元、人防宣传培训减少1.2万元、人事代理经费增加8.99万元、劳务派遣经费减少3.82万元。</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三、机关运行经费安排情况</w:t>
      </w:r>
    </w:p>
    <w:p>
      <w:pPr>
        <w:pStyle w:val="28"/>
        <w:rPr>
          <w:rFonts w:eastAsiaTheme="minorEastAsia"/>
          <w:lang w:eastAsia="zh-CN"/>
        </w:rPr>
      </w:pPr>
      <w:r>
        <w:t>2022年，我单位运行经费共计安排96.14万元，主要用于</w:t>
      </w:r>
      <w:r>
        <w:rPr>
          <w:rFonts w:hint="eastAsia" w:eastAsiaTheme="minorEastAsia"/>
          <w:lang w:val="uk-UA" w:eastAsia="zh-CN"/>
        </w:rPr>
        <w:t>机关办公区的办公及印刷费、邮电费、公务用车运行维护费等</w:t>
      </w:r>
      <w:r>
        <w:t>日常运行支出</w:t>
      </w:r>
      <w:r>
        <w:rPr>
          <w:rFonts w:hint="eastAsia" w:asciiTheme="minorEastAsia" w:hAnsiTheme="minorEastAsia" w:eastAsiaTheme="minorEastAsia"/>
          <w:lang w:eastAsia="zh-CN"/>
        </w:rPr>
        <w:t>,其中:</w:t>
      </w:r>
      <w:r>
        <w:t>办公</w:t>
      </w:r>
      <w:r>
        <w:rPr>
          <w:rFonts w:hint="eastAsia"/>
          <w:lang w:eastAsia="zh-CN"/>
        </w:rPr>
        <w:t>费7.65万元</w:t>
      </w:r>
      <w:r>
        <w:t>、邮电费</w:t>
      </w:r>
      <w:r>
        <w:rPr>
          <w:rFonts w:hint="eastAsia"/>
          <w:lang w:eastAsia="zh-CN"/>
        </w:rPr>
        <w:t>17.28万元</w:t>
      </w:r>
      <w:r>
        <w:t>、、办公用房水</w:t>
      </w:r>
      <w:r>
        <w:rPr>
          <w:rFonts w:hint="eastAsia"/>
          <w:lang w:eastAsia="zh-CN"/>
        </w:rPr>
        <w:t>费6万元、</w:t>
      </w:r>
      <w:r>
        <w:t>电费</w:t>
      </w:r>
      <w:r>
        <w:rPr>
          <w:rFonts w:hint="eastAsia"/>
          <w:lang w:eastAsia="zh-CN"/>
        </w:rPr>
        <w:t>10.5万元</w:t>
      </w:r>
      <w:r>
        <w:t>、办公用房取暖费</w:t>
      </w:r>
      <w:r>
        <w:rPr>
          <w:rFonts w:hint="eastAsia"/>
          <w:lang w:eastAsia="zh-CN"/>
        </w:rPr>
        <w:t>9.21万元</w:t>
      </w:r>
      <w:r>
        <w:t>、办公用房物业管理费</w:t>
      </w:r>
      <w:r>
        <w:rPr>
          <w:rFonts w:hint="eastAsia"/>
          <w:lang w:eastAsia="zh-CN"/>
        </w:rPr>
        <w:t>5万元</w:t>
      </w:r>
      <w:r>
        <w:t>、公务用车运行维护费</w:t>
      </w:r>
      <w:r>
        <w:rPr>
          <w:rFonts w:hint="eastAsia"/>
          <w:lang w:eastAsia="zh-CN"/>
        </w:rPr>
        <w:t>3.75万元、公务交通补贴18万元、培训费3.66万元、工会经费4.89万元、福利费3.3万元、离休干部经费6.9万元</w:t>
      </w:r>
      <w:r>
        <w:rPr>
          <w:rFonts w:hint="eastAsia" w:eastAsiaTheme="minorEastAsia"/>
          <w:lang w:eastAsia="zh-CN"/>
        </w:rPr>
        <w:t>。</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rPr>
          <w:rFonts w:hint="eastAsia" w:eastAsia="方正仿宋_GBK"/>
          <w:lang w:eastAsia="zh-CN"/>
        </w:rPr>
      </w:pPr>
      <w:r>
        <w:t>2022年，我单位财政拨款“三公”经费预算安排</w:t>
      </w:r>
      <w:r>
        <w:rPr>
          <w:rFonts w:hint="eastAsia"/>
          <w:lang w:val="en-US" w:eastAsia="zh-CN"/>
        </w:rPr>
        <w:t>3.75</w:t>
      </w:r>
      <w:r>
        <w:t>万元，其中因公出国（境）费0万元；公务用车购置及运维费3.75万元（其中：公务用车购置费为0万元，公务用车运维费3.75万元）；公务接待费0万元</w:t>
      </w:r>
      <w:r>
        <w:rPr>
          <w:rFonts w:hint="eastAsia"/>
          <w:lang w:eastAsia="zh-CN"/>
        </w:rPr>
        <w:t>。</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1、劳务派遣专项补助绩效目标表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1.劳务派遣专项补助</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2835" w:type="dxa"/>
            <w:vAlign w:val="center"/>
          </w:tcPr>
          <w:p>
            <w:pPr>
              <w:pStyle w:val="13"/>
            </w:pPr>
            <w:r>
              <w:t>保障人数</w:t>
            </w:r>
          </w:p>
        </w:tc>
        <w:tc>
          <w:tcPr>
            <w:tcW w:w="2551" w:type="dxa"/>
            <w:vAlign w:val="center"/>
          </w:tcPr>
          <w:p>
            <w:pPr>
              <w:pStyle w:val="13"/>
            </w:pPr>
            <w:r>
              <w:t>≥14人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2835" w:type="dxa"/>
            <w:vAlign w:val="center"/>
          </w:tcPr>
          <w:p>
            <w:pPr>
              <w:pStyle w:val="13"/>
            </w:pPr>
            <w:r>
              <w:t>工资福利等发放人员范围的精准性和发放数据的准确性</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2835" w:type="dxa"/>
            <w:vAlign w:val="center"/>
          </w:tcPr>
          <w:p>
            <w:pPr>
              <w:pStyle w:val="13"/>
            </w:pPr>
            <w:r>
              <w:t>工资福利等发放的时效情况</w:t>
            </w:r>
          </w:p>
        </w:tc>
        <w:tc>
          <w:tcPr>
            <w:tcW w:w="2551" w:type="dxa"/>
            <w:vAlign w:val="center"/>
          </w:tcPr>
          <w:p>
            <w:pPr>
              <w:pStyle w:val="13"/>
            </w:pPr>
            <w:r>
              <w:t>按规定时间发放</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2835" w:type="dxa"/>
            <w:vAlign w:val="center"/>
          </w:tcPr>
          <w:p>
            <w:pPr>
              <w:pStyle w:val="13"/>
            </w:pPr>
            <w:r>
              <w:t>工资（福利）、社会保障（公积金）等发放（缴纳）标准</w:t>
            </w:r>
          </w:p>
        </w:tc>
        <w:tc>
          <w:tcPr>
            <w:tcW w:w="2551" w:type="dxa"/>
            <w:vAlign w:val="center"/>
          </w:tcPr>
          <w:p>
            <w:pPr>
              <w:pStyle w:val="13"/>
            </w:pPr>
            <w:r>
              <w:t>按规定执行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2835" w:type="dxa"/>
            <w:vAlign w:val="center"/>
          </w:tcPr>
          <w:p>
            <w:pPr>
              <w:pStyle w:val="13"/>
            </w:pPr>
            <w:r>
              <w:t>通过按时按标准发放工资福利等，进一步增强干部职工得归属感，保持干部队伍相对稳定，保障办公正常运转</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≥100%</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2、人事代理定额补助绩效目标表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1.人事代理定额补助</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2835" w:type="dxa"/>
            <w:vAlign w:val="center"/>
          </w:tcPr>
          <w:p>
            <w:pPr>
              <w:pStyle w:val="13"/>
            </w:pPr>
            <w:r>
              <w:t>保障人数</w:t>
            </w:r>
          </w:p>
        </w:tc>
        <w:tc>
          <w:tcPr>
            <w:tcW w:w="2551" w:type="dxa"/>
            <w:vAlign w:val="center"/>
          </w:tcPr>
          <w:p>
            <w:pPr>
              <w:pStyle w:val="13"/>
            </w:pPr>
            <w:r>
              <w:t>≥14人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2835" w:type="dxa"/>
            <w:vAlign w:val="center"/>
          </w:tcPr>
          <w:p>
            <w:pPr>
              <w:pStyle w:val="13"/>
            </w:pPr>
            <w:r>
              <w:t>工资福利等发放人员范围的精准性和发放数据的准确性</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2835" w:type="dxa"/>
            <w:vAlign w:val="center"/>
          </w:tcPr>
          <w:p>
            <w:pPr>
              <w:pStyle w:val="13"/>
            </w:pPr>
            <w:r>
              <w:t>工资福利等发放的时效情况</w:t>
            </w:r>
          </w:p>
        </w:tc>
        <w:tc>
          <w:tcPr>
            <w:tcW w:w="2551" w:type="dxa"/>
            <w:vAlign w:val="center"/>
          </w:tcPr>
          <w:p>
            <w:pPr>
              <w:pStyle w:val="13"/>
            </w:pPr>
            <w:r>
              <w:t>按规定时间发放</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2835" w:type="dxa"/>
            <w:vAlign w:val="center"/>
          </w:tcPr>
          <w:p>
            <w:pPr>
              <w:pStyle w:val="13"/>
            </w:pPr>
            <w:r>
              <w:t>工资（福利）、社会保障（公积金）等发放（缴纳）标准</w:t>
            </w:r>
          </w:p>
        </w:tc>
        <w:tc>
          <w:tcPr>
            <w:tcW w:w="2551" w:type="dxa"/>
            <w:vAlign w:val="center"/>
          </w:tcPr>
          <w:p>
            <w:pPr>
              <w:pStyle w:val="13"/>
            </w:pPr>
            <w:r>
              <w:t>按规定执行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2835" w:type="dxa"/>
            <w:vAlign w:val="center"/>
          </w:tcPr>
          <w:p>
            <w:pPr>
              <w:pStyle w:val="13"/>
            </w:pPr>
            <w:r>
              <w:t>通过按时按标准发放工资福利等，进一步增强干部职工得归属感，保持干部队伍相对稳定，保障办公正常运转</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≥100%</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3、人事代理专项补助绩效目标表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1.人事代理专项补助</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2835" w:type="dxa"/>
            <w:vAlign w:val="center"/>
          </w:tcPr>
          <w:p>
            <w:pPr>
              <w:pStyle w:val="13"/>
            </w:pPr>
            <w:r>
              <w:t>保障人数</w:t>
            </w:r>
          </w:p>
        </w:tc>
        <w:tc>
          <w:tcPr>
            <w:tcW w:w="2551" w:type="dxa"/>
            <w:vAlign w:val="center"/>
          </w:tcPr>
          <w:p>
            <w:pPr>
              <w:pStyle w:val="13"/>
            </w:pPr>
            <w:r>
              <w:t>≥14人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2835" w:type="dxa"/>
            <w:vAlign w:val="center"/>
          </w:tcPr>
          <w:p>
            <w:pPr>
              <w:pStyle w:val="13"/>
            </w:pPr>
            <w:r>
              <w:t>工资福利等发放人员范围的精准性和发放数据的准确性</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2835" w:type="dxa"/>
            <w:vAlign w:val="center"/>
          </w:tcPr>
          <w:p>
            <w:pPr>
              <w:pStyle w:val="13"/>
            </w:pPr>
            <w:r>
              <w:t>工资福利等发放的时效情况</w:t>
            </w:r>
          </w:p>
        </w:tc>
        <w:tc>
          <w:tcPr>
            <w:tcW w:w="2551" w:type="dxa"/>
            <w:vAlign w:val="center"/>
          </w:tcPr>
          <w:p>
            <w:pPr>
              <w:pStyle w:val="13"/>
            </w:pPr>
            <w:r>
              <w:t>按规定时间发放</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2835" w:type="dxa"/>
            <w:vAlign w:val="center"/>
          </w:tcPr>
          <w:p>
            <w:pPr>
              <w:pStyle w:val="13"/>
            </w:pPr>
            <w:r>
              <w:t>工资（福利）、社会保障（公积金）等发放（缴纳）标准</w:t>
            </w:r>
          </w:p>
        </w:tc>
        <w:tc>
          <w:tcPr>
            <w:tcW w:w="2551" w:type="dxa"/>
            <w:vAlign w:val="center"/>
          </w:tcPr>
          <w:p>
            <w:pPr>
              <w:pStyle w:val="13"/>
            </w:pPr>
            <w:r>
              <w:t>按规定执行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2835" w:type="dxa"/>
            <w:vAlign w:val="center"/>
          </w:tcPr>
          <w:p>
            <w:pPr>
              <w:pStyle w:val="13"/>
            </w:pPr>
            <w:r>
              <w:t>通过按时按标准发放工资福利等，进一步增强干部职工得归属感，保持干部队伍相对稳定，保障办公正常运转</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≥100%</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4、专业劳务派遣专项补助绩效目标表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1.人事代理定额补助</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2835" w:type="dxa"/>
            <w:vAlign w:val="center"/>
          </w:tcPr>
          <w:p>
            <w:pPr>
              <w:pStyle w:val="13"/>
            </w:pPr>
            <w:r>
              <w:t>保障人数</w:t>
            </w:r>
          </w:p>
        </w:tc>
        <w:tc>
          <w:tcPr>
            <w:tcW w:w="2551" w:type="dxa"/>
            <w:vAlign w:val="center"/>
          </w:tcPr>
          <w:p>
            <w:pPr>
              <w:pStyle w:val="13"/>
            </w:pPr>
            <w:r>
              <w:t>≥7人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2835" w:type="dxa"/>
            <w:vAlign w:val="center"/>
          </w:tcPr>
          <w:p>
            <w:pPr>
              <w:pStyle w:val="13"/>
            </w:pPr>
            <w:r>
              <w:t>工资福利等发放人员范围的精准性和发放数据的准确性</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2835" w:type="dxa"/>
            <w:vAlign w:val="center"/>
          </w:tcPr>
          <w:p>
            <w:pPr>
              <w:pStyle w:val="13"/>
            </w:pPr>
            <w:r>
              <w:t>工资福利等发放的时效情况</w:t>
            </w:r>
          </w:p>
        </w:tc>
        <w:tc>
          <w:tcPr>
            <w:tcW w:w="2551" w:type="dxa"/>
            <w:vAlign w:val="center"/>
          </w:tcPr>
          <w:p>
            <w:pPr>
              <w:pStyle w:val="13"/>
            </w:pPr>
            <w:r>
              <w:t>按规定时间发放</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2835" w:type="dxa"/>
            <w:vAlign w:val="center"/>
          </w:tcPr>
          <w:p>
            <w:pPr>
              <w:pStyle w:val="13"/>
            </w:pPr>
            <w:r>
              <w:t>工资（福利）、社会保障（公积金）等发放（缴纳）标准</w:t>
            </w:r>
          </w:p>
        </w:tc>
        <w:tc>
          <w:tcPr>
            <w:tcW w:w="2551" w:type="dxa"/>
            <w:vAlign w:val="center"/>
          </w:tcPr>
          <w:p>
            <w:pPr>
              <w:pStyle w:val="13"/>
            </w:pPr>
            <w:r>
              <w:t>按规定执行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2835" w:type="dxa"/>
            <w:vAlign w:val="center"/>
          </w:tcPr>
          <w:p>
            <w:pPr>
              <w:pStyle w:val="13"/>
            </w:pPr>
            <w:r>
              <w:t>通过按时按标准发放工资福利等，进一步增强干部职工得归属感，保持干部队伍相对稳定，保障办公正常运转</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≥100%</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5、房产信息系统维护使用费绩效目标表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1.做好房产信息指标监测与评价，提出房产信息持续较快发展的意见和建议，为区领导决策提供支撑；推动区域经济实力发展壮大。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信息维护率</w:t>
            </w:r>
          </w:p>
        </w:tc>
        <w:tc>
          <w:tcPr>
            <w:tcW w:w="2835" w:type="dxa"/>
            <w:vAlign w:val="center"/>
          </w:tcPr>
          <w:p>
            <w:pPr>
              <w:pStyle w:val="13"/>
            </w:pPr>
            <w:r>
              <w:t>信息维护率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负责全区测绘及房产档案的管理完成率</w:t>
            </w:r>
          </w:p>
        </w:tc>
        <w:tc>
          <w:tcPr>
            <w:tcW w:w="2835" w:type="dxa"/>
            <w:vAlign w:val="center"/>
          </w:tcPr>
          <w:p>
            <w:pPr>
              <w:pStyle w:val="13"/>
            </w:pPr>
            <w:r>
              <w:t>负责全区测绘及房产档案的管理完成率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时效完成率</w:t>
            </w:r>
          </w:p>
        </w:tc>
        <w:tc>
          <w:tcPr>
            <w:tcW w:w="2835" w:type="dxa"/>
            <w:vAlign w:val="center"/>
          </w:tcPr>
          <w:p>
            <w:pPr>
              <w:pStyle w:val="13"/>
            </w:pPr>
            <w:r>
              <w:t>运行维护需求响应时间</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房产信息指标监测</w:t>
            </w:r>
          </w:p>
        </w:tc>
        <w:tc>
          <w:tcPr>
            <w:tcW w:w="2835" w:type="dxa"/>
            <w:vAlign w:val="center"/>
          </w:tcPr>
          <w:p>
            <w:pPr>
              <w:pStyle w:val="13"/>
            </w:pPr>
            <w:r>
              <w:t>房产信息指标监测</w:t>
            </w:r>
          </w:p>
        </w:tc>
        <w:tc>
          <w:tcPr>
            <w:tcW w:w="2551" w:type="dxa"/>
            <w:vAlign w:val="center"/>
          </w:tcPr>
          <w:p>
            <w:pPr>
              <w:pStyle w:val="13"/>
            </w:pPr>
            <w:r>
              <w:t>监控覆盖面广</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资金产生效益率</w:t>
            </w:r>
          </w:p>
        </w:tc>
        <w:tc>
          <w:tcPr>
            <w:tcW w:w="2835" w:type="dxa"/>
            <w:vAlign w:val="center"/>
          </w:tcPr>
          <w:p>
            <w:pPr>
              <w:pStyle w:val="13"/>
            </w:pPr>
            <w:r>
              <w:t>资金产生效益率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≥95%</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6、警报设施管理及新增警报器绩效目标表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1.人防工程结构、设施设备完好，防护设备安装到位、符合质量规范，防汛防火措施落实到位，保持良好使用状态。</w:t>
            </w:r>
            <w:r>
              <w:tab/>
            </w:r>
            <w:r>
              <w:tab/>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项目数量使用率</w:t>
            </w:r>
          </w:p>
        </w:tc>
        <w:tc>
          <w:tcPr>
            <w:tcW w:w="2835" w:type="dxa"/>
            <w:vAlign w:val="center"/>
          </w:tcPr>
          <w:p>
            <w:pPr>
              <w:pStyle w:val="13"/>
            </w:pPr>
            <w:r>
              <w:t>项目数量使用率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验收质量合格率</w:t>
            </w:r>
          </w:p>
        </w:tc>
        <w:tc>
          <w:tcPr>
            <w:tcW w:w="2835" w:type="dxa"/>
            <w:vAlign w:val="center"/>
          </w:tcPr>
          <w:p>
            <w:pPr>
              <w:pStyle w:val="13"/>
            </w:pPr>
            <w:r>
              <w:t>验收质量合格率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规定时间内完成率</w:t>
            </w:r>
          </w:p>
        </w:tc>
        <w:tc>
          <w:tcPr>
            <w:tcW w:w="2835" w:type="dxa"/>
            <w:vAlign w:val="center"/>
          </w:tcPr>
          <w:p>
            <w:pPr>
              <w:pStyle w:val="13"/>
            </w:pPr>
            <w:r>
              <w:t>规定时间内完成率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运行保障完成率</w:t>
            </w:r>
          </w:p>
        </w:tc>
        <w:tc>
          <w:tcPr>
            <w:tcW w:w="2835" w:type="dxa"/>
            <w:vAlign w:val="center"/>
          </w:tcPr>
          <w:p>
            <w:pPr>
              <w:pStyle w:val="13"/>
            </w:pPr>
            <w:r>
              <w:t>运行保障完成率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项目持续发挥作用百分率</w:t>
            </w:r>
          </w:p>
        </w:tc>
        <w:tc>
          <w:tcPr>
            <w:tcW w:w="2835" w:type="dxa"/>
            <w:vAlign w:val="center"/>
          </w:tcPr>
          <w:p>
            <w:pPr>
              <w:pStyle w:val="13"/>
            </w:pPr>
            <w:r>
              <w:t>项目持续发挥作用百分率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≥95%</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7、景观运行维护费绩效目标表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1.保证叠水景观正常运行，提高游客满意度，合理使用，保障设备安全</w:t>
            </w:r>
            <w:r>
              <w:tab/>
            </w:r>
            <w:r>
              <w:tab/>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排除设备故障率</w:t>
            </w:r>
          </w:p>
        </w:tc>
        <w:tc>
          <w:tcPr>
            <w:tcW w:w="2835" w:type="dxa"/>
            <w:vAlign w:val="center"/>
          </w:tcPr>
          <w:p>
            <w:pPr>
              <w:pStyle w:val="13"/>
            </w:pPr>
            <w:r>
              <w:t>排除设备故障率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检查合格率</w:t>
            </w:r>
          </w:p>
        </w:tc>
        <w:tc>
          <w:tcPr>
            <w:tcW w:w="2835" w:type="dxa"/>
            <w:vAlign w:val="center"/>
          </w:tcPr>
          <w:p>
            <w:pPr>
              <w:pStyle w:val="13"/>
            </w:pPr>
            <w:r>
              <w:t>检查合格率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日常工作完成效率</w:t>
            </w:r>
          </w:p>
        </w:tc>
        <w:tc>
          <w:tcPr>
            <w:tcW w:w="2835" w:type="dxa"/>
            <w:vAlign w:val="center"/>
          </w:tcPr>
          <w:p>
            <w:pPr>
              <w:pStyle w:val="13"/>
            </w:pPr>
            <w:r>
              <w:t>日常工作完成效率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项目总成本率</w:t>
            </w:r>
          </w:p>
        </w:tc>
        <w:tc>
          <w:tcPr>
            <w:tcW w:w="2835" w:type="dxa"/>
            <w:vAlign w:val="center"/>
          </w:tcPr>
          <w:p>
            <w:pPr>
              <w:pStyle w:val="13"/>
            </w:pPr>
            <w:r>
              <w:t>项目总成本率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设备运行完好率</w:t>
            </w:r>
          </w:p>
        </w:tc>
        <w:tc>
          <w:tcPr>
            <w:tcW w:w="2835" w:type="dxa"/>
            <w:vAlign w:val="center"/>
          </w:tcPr>
          <w:p>
            <w:pPr>
              <w:pStyle w:val="13"/>
            </w:pPr>
            <w:r>
              <w:t>设备运行完好率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游客满意度</w:t>
            </w:r>
          </w:p>
        </w:tc>
        <w:tc>
          <w:tcPr>
            <w:tcW w:w="2835" w:type="dxa"/>
            <w:vAlign w:val="center"/>
          </w:tcPr>
          <w:p>
            <w:pPr>
              <w:pStyle w:val="13"/>
            </w:pPr>
            <w:r>
              <w:t>游客满意度</w:t>
            </w:r>
          </w:p>
        </w:tc>
        <w:tc>
          <w:tcPr>
            <w:tcW w:w="2551" w:type="dxa"/>
            <w:vAlign w:val="center"/>
          </w:tcPr>
          <w:p>
            <w:pPr>
              <w:pStyle w:val="13"/>
            </w:pPr>
            <w:r>
              <w:t>游客满意度</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8、老旧公房维护管理费绩效目标表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1.对公房房屋即时维修，确保房屋结构、设施设备基本完好，符合质量规范，防汛措施落实到位，避免出现住户出现人身和财产损失事故发生</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维修数量完成率</w:t>
            </w:r>
          </w:p>
        </w:tc>
        <w:tc>
          <w:tcPr>
            <w:tcW w:w="2835" w:type="dxa"/>
            <w:vAlign w:val="center"/>
          </w:tcPr>
          <w:p>
            <w:pPr>
              <w:pStyle w:val="13"/>
            </w:pPr>
            <w:r>
              <w:t>维修数量完成率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老旧公房完好率</w:t>
            </w:r>
          </w:p>
        </w:tc>
        <w:tc>
          <w:tcPr>
            <w:tcW w:w="2835" w:type="dxa"/>
            <w:vAlign w:val="center"/>
          </w:tcPr>
          <w:p>
            <w:pPr>
              <w:pStyle w:val="13"/>
            </w:pPr>
            <w:r>
              <w:t>老旧公房完好率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2835" w:type="dxa"/>
            <w:vAlign w:val="center"/>
          </w:tcPr>
          <w:p>
            <w:pPr>
              <w:pStyle w:val="13"/>
            </w:pPr>
            <w:r>
              <w:t>任务完成及时率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2835" w:type="dxa"/>
            <w:vAlign w:val="center"/>
          </w:tcPr>
          <w:p>
            <w:pPr>
              <w:pStyle w:val="13"/>
            </w:pPr>
            <w:r>
              <w:t>成本控制率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2835" w:type="dxa"/>
            <w:vAlign w:val="center"/>
          </w:tcPr>
          <w:p>
            <w:pPr>
              <w:pStyle w:val="13"/>
            </w:pPr>
            <w:r>
              <w:t>社会效益指标</w:t>
            </w:r>
          </w:p>
        </w:tc>
        <w:tc>
          <w:tcPr>
            <w:tcW w:w="2551" w:type="dxa"/>
            <w:vAlign w:val="center"/>
          </w:tcPr>
          <w:p>
            <w:pPr>
              <w:pStyle w:val="13"/>
            </w:pPr>
            <w:r>
              <w:t>老旧小区整洁度</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≥100</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9、燃气监管经费绩效目标表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1.监督全区燃气行业安全运行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排除安全生产事故率</w:t>
            </w:r>
          </w:p>
        </w:tc>
        <w:tc>
          <w:tcPr>
            <w:tcW w:w="2835" w:type="dxa"/>
            <w:vAlign w:val="center"/>
          </w:tcPr>
          <w:p>
            <w:pPr>
              <w:pStyle w:val="13"/>
            </w:pPr>
            <w:r>
              <w:t>排除安全生产事故率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安全保障率</w:t>
            </w:r>
          </w:p>
        </w:tc>
        <w:tc>
          <w:tcPr>
            <w:tcW w:w="2835" w:type="dxa"/>
            <w:vAlign w:val="center"/>
          </w:tcPr>
          <w:p>
            <w:pPr>
              <w:pStyle w:val="13"/>
            </w:pPr>
            <w:r>
              <w:t>安全保障率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工作计划完成率</w:t>
            </w:r>
          </w:p>
        </w:tc>
        <w:tc>
          <w:tcPr>
            <w:tcW w:w="2835" w:type="dxa"/>
            <w:vAlign w:val="center"/>
          </w:tcPr>
          <w:p>
            <w:pPr>
              <w:pStyle w:val="13"/>
            </w:pPr>
            <w:r>
              <w:t>工作计划完成率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项目总成本</w:t>
            </w:r>
          </w:p>
        </w:tc>
        <w:tc>
          <w:tcPr>
            <w:tcW w:w="2551" w:type="dxa"/>
            <w:vAlign w:val="center"/>
          </w:tcPr>
          <w:p>
            <w:pPr>
              <w:pStyle w:val="13"/>
            </w:pPr>
            <w:r>
              <w:t>按规定执行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排除安全生产事故率</w:t>
            </w:r>
          </w:p>
        </w:tc>
        <w:tc>
          <w:tcPr>
            <w:tcW w:w="2835" w:type="dxa"/>
            <w:vAlign w:val="center"/>
          </w:tcPr>
          <w:p>
            <w:pPr>
              <w:pStyle w:val="13"/>
            </w:pPr>
            <w:r>
              <w:t>排除安全生产事故率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≥95%</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10、人防工程设施维护绩效目标表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1.人防工程结构、设施设备完好，防护设备安装到位、符合质量规范，防汛防火措施落实到位，保持良好使用状。</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工程完工率</w:t>
            </w:r>
          </w:p>
        </w:tc>
        <w:tc>
          <w:tcPr>
            <w:tcW w:w="2835" w:type="dxa"/>
            <w:vAlign w:val="center"/>
          </w:tcPr>
          <w:p>
            <w:pPr>
              <w:pStyle w:val="13"/>
            </w:pPr>
            <w:r>
              <w:t>工程施工进度工作量占工程完工总量的比率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2835" w:type="dxa"/>
            <w:vAlign w:val="center"/>
          </w:tcPr>
          <w:p>
            <w:pPr>
              <w:pStyle w:val="13"/>
            </w:pPr>
            <w:r>
              <w:t>合格的工程数量占工程完工总量的比例</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项目按计划开工率</w:t>
            </w:r>
          </w:p>
        </w:tc>
        <w:tc>
          <w:tcPr>
            <w:tcW w:w="2835" w:type="dxa"/>
            <w:vAlign w:val="center"/>
          </w:tcPr>
          <w:p>
            <w:pPr>
              <w:pStyle w:val="13"/>
            </w:pPr>
            <w:r>
              <w:t>项目按计划开工率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超概算比例</w:t>
            </w:r>
          </w:p>
        </w:tc>
        <w:tc>
          <w:tcPr>
            <w:tcW w:w="2835" w:type="dxa"/>
            <w:vAlign w:val="center"/>
          </w:tcPr>
          <w:p>
            <w:pPr>
              <w:pStyle w:val="13"/>
            </w:pPr>
            <w:r>
              <w:t>超概算金额占概算的比例</w:t>
            </w:r>
          </w:p>
        </w:tc>
        <w:tc>
          <w:tcPr>
            <w:tcW w:w="2551" w:type="dxa"/>
            <w:vAlign w:val="center"/>
          </w:tcPr>
          <w:p>
            <w:pPr>
              <w:pStyle w:val="13"/>
            </w:pPr>
            <w:r>
              <w:t>≤30%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设施正常运转率</w:t>
            </w:r>
          </w:p>
        </w:tc>
        <w:tc>
          <w:tcPr>
            <w:tcW w:w="2835" w:type="dxa"/>
            <w:vAlign w:val="center"/>
          </w:tcPr>
          <w:p>
            <w:pPr>
              <w:pStyle w:val="13"/>
            </w:pPr>
            <w:r>
              <w:t>设施正常运转率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受益群体满意程度</w:t>
            </w:r>
          </w:p>
        </w:tc>
        <w:tc>
          <w:tcPr>
            <w:tcW w:w="2551" w:type="dxa"/>
            <w:vAlign w:val="center"/>
          </w:tcPr>
          <w:p>
            <w:pPr>
              <w:pStyle w:val="13"/>
            </w:pPr>
            <w:r>
              <w:t>≥100%</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11、人防宣传培训绩效目标表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规划、计划不断科学完善，法规制度进一步健全。防空防灾宣传教育成效进一步巩固深化，人防建设成果充分展现，人防建设环境进一步优化，群众防空防灾应急处置能力进一步提高；人防宣教基地（场所）运行良好。人防干部职工队伍政治、业务素质进一步提升，机关“准军事化”水平不断提高</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培训班次</w:t>
            </w:r>
          </w:p>
        </w:tc>
        <w:tc>
          <w:tcPr>
            <w:tcW w:w="2835" w:type="dxa"/>
            <w:vAlign w:val="center"/>
          </w:tcPr>
          <w:p>
            <w:pPr>
              <w:pStyle w:val="13"/>
            </w:pPr>
            <w:r>
              <w:t>组织培训的班次</w:t>
            </w:r>
          </w:p>
        </w:tc>
        <w:tc>
          <w:tcPr>
            <w:tcW w:w="2551" w:type="dxa"/>
            <w:vAlign w:val="center"/>
          </w:tcPr>
          <w:p>
            <w:pPr>
              <w:pStyle w:val="13"/>
            </w:pPr>
            <w:r>
              <w:t>≥3次</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2835" w:type="dxa"/>
            <w:vAlign w:val="center"/>
          </w:tcPr>
          <w:p>
            <w:pPr>
              <w:pStyle w:val="13"/>
            </w:pPr>
            <w:r>
              <w:t>培训合格的学员数量占培训总学员数量的比率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培训计划按期完成率（%）</w:t>
            </w:r>
          </w:p>
        </w:tc>
        <w:tc>
          <w:tcPr>
            <w:tcW w:w="2835" w:type="dxa"/>
            <w:vAlign w:val="center"/>
          </w:tcPr>
          <w:p>
            <w:pPr>
              <w:pStyle w:val="13"/>
            </w:pPr>
            <w:r>
              <w:t>培训计划按期完成率=按期完成的培训任务数/总培训计划数*100%</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2835" w:type="dxa"/>
            <w:vAlign w:val="center"/>
          </w:tcPr>
          <w:p>
            <w:pPr>
              <w:pStyle w:val="13"/>
            </w:pPr>
            <w:r>
              <w:t>参训学员每人每天培训费支出标准率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受训学员业务提升情况</w:t>
            </w:r>
          </w:p>
        </w:tc>
        <w:tc>
          <w:tcPr>
            <w:tcW w:w="2835" w:type="dxa"/>
            <w:vAlign w:val="center"/>
          </w:tcPr>
          <w:p>
            <w:pPr>
              <w:pStyle w:val="13"/>
            </w:pPr>
            <w:r>
              <w:t>培训内容对受训学员实际工作上的提升效果</w:t>
            </w:r>
          </w:p>
        </w:tc>
        <w:tc>
          <w:tcPr>
            <w:tcW w:w="2551" w:type="dxa"/>
            <w:vAlign w:val="center"/>
          </w:tcPr>
          <w:p>
            <w:pPr>
              <w:pStyle w:val="13"/>
            </w:pPr>
            <w:r>
              <w:t>有效提升</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受训学员满意度</w:t>
            </w:r>
          </w:p>
        </w:tc>
        <w:tc>
          <w:tcPr>
            <w:tcW w:w="2835" w:type="dxa"/>
            <w:vAlign w:val="center"/>
          </w:tcPr>
          <w:p>
            <w:pPr>
              <w:pStyle w:val="13"/>
            </w:pPr>
            <w:r>
              <w:t>调查中满意和较满意的受训学员数量占调查总人数的比率</w:t>
            </w:r>
          </w:p>
        </w:tc>
        <w:tc>
          <w:tcPr>
            <w:tcW w:w="2551" w:type="dxa"/>
            <w:vAlign w:val="center"/>
          </w:tcPr>
          <w:p>
            <w:pPr>
              <w:pStyle w:val="13"/>
            </w:pPr>
            <w:r>
              <w:t>≥100%</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12、商品房预售行政审批系统运行及配套设备购置绩效目标表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1.维护商品房交易双方的合法权益</w:t>
            </w:r>
            <w:r>
              <w:tab/>
            </w:r>
            <w:r>
              <w:tab/>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预算利用率</w:t>
            </w:r>
          </w:p>
        </w:tc>
        <w:tc>
          <w:tcPr>
            <w:tcW w:w="2835" w:type="dxa"/>
            <w:vAlign w:val="center"/>
          </w:tcPr>
          <w:p>
            <w:pPr>
              <w:pStyle w:val="13"/>
            </w:pPr>
            <w:r>
              <w:t>预算利用率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2835" w:type="dxa"/>
            <w:vAlign w:val="center"/>
          </w:tcPr>
          <w:p>
            <w:pPr>
              <w:pStyle w:val="13"/>
            </w:pPr>
            <w:r>
              <w:t>质量合格率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2835" w:type="dxa"/>
            <w:vAlign w:val="center"/>
          </w:tcPr>
          <w:p>
            <w:pPr>
              <w:pStyle w:val="13"/>
            </w:pPr>
            <w:r>
              <w:t>完工及时率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总成本控制率</w:t>
            </w:r>
          </w:p>
        </w:tc>
        <w:tc>
          <w:tcPr>
            <w:tcW w:w="2835" w:type="dxa"/>
            <w:vAlign w:val="center"/>
          </w:tcPr>
          <w:p>
            <w:pPr>
              <w:pStyle w:val="13"/>
            </w:pPr>
            <w:r>
              <w:t>总成本控制率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社会服务率</w:t>
            </w:r>
          </w:p>
        </w:tc>
        <w:tc>
          <w:tcPr>
            <w:tcW w:w="2835" w:type="dxa"/>
            <w:vAlign w:val="center"/>
          </w:tcPr>
          <w:p>
            <w:pPr>
              <w:pStyle w:val="13"/>
            </w:pPr>
            <w:r>
              <w:t>社会服务率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≥100%</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13、招商事务工作经费绩效目标表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1.负责推介宣传资源优势，产业优势投资环境和招商引资项目，扩大我区营销力和知名度</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新结识客商数</w:t>
            </w:r>
          </w:p>
        </w:tc>
        <w:tc>
          <w:tcPr>
            <w:tcW w:w="2835" w:type="dxa"/>
            <w:vAlign w:val="center"/>
          </w:tcPr>
          <w:p>
            <w:pPr>
              <w:pStyle w:val="13"/>
            </w:pPr>
            <w:r>
              <w:t>新结识客商数</w:t>
            </w:r>
          </w:p>
        </w:tc>
        <w:tc>
          <w:tcPr>
            <w:tcW w:w="2551" w:type="dxa"/>
            <w:vAlign w:val="center"/>
          </w:tcPr>
          <w:p>
            <w:pPr>
              <w:pStyle w:val="13"/>
            </w:pPr>
            <w:r>
              <w:t>结合实际确定</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服务水平友好率</w:t>
            </w:r>
          </w:p>
        </w:tc>
        <w:tc>
          <w:tcPr>
            <w:tcW w:w="2835" w:type="dxa"/>
            <w:vAlign w:val="center"/>
          </w:tcPr>
          <w:p>
            <w:pPr>
              <w:pStyle w:val="13"/>
            </w:pPr>
            <w:r>
              <w:t>服务水平友好率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2835" w:type="dxa"/>
            <w:vAlign w:val="center"/>
          </w:tcPr>
          <w:p>
            <w:pPr>
              <w:pStyle w:val="13"/>
            </w:pPr>
            <w:r>
              <w:t>工作任务完成及时率</w:t>
            </w:r>
          </w:p>
        </w:tc>
        <w:tc>
          <w:tcPr>
            <w:tcW w:w="2551" w:type="dxa"/>
            <w:vAlign w:val="center"/>
          </w:tcPr>
          <w:p>
            <w:pPr>
              <w:pStyle w:val="13"/>
            </w:pPr>
            <w:r>
              <w:t>依照实际情况完成工作任务</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按实际需要</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保障工作完成</w:t>
            </w:r>
          </w:p>
        </w:tc>
        <w:tc>
          <w:tcPr>
            <w:tcW w:w="2835" w:type="dxa"/>
            <w:vAlign w:val="center"/>
          </w:tcPr>
          <w:p>
            <w:pPr>
              <w:pStyle w:val="13"/>
            </w:pPr>
            <w:r>
              <w:t>保障工作完成</w:t>
            </w:r>
          </w:p>
        </w:tc>
        <w:tc>
          <w:tcPr>
            <w:tcW w:w="2551" w:type="dxa"/>
            <w:vAlign w:val="center"/>
          </w:tcPr>
          <w:p>
            <w:pPr>
              <w:pStyle w:val="13"/>
            </w:pPr>
            <w:r>
              <w:t>有效保障</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≥100%</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2022年，秦皇岛市北戴河区住房和城乡建设局（本级）安排政府采购预算7.80万元。具体内容见下表。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7.80</w:t>
            </w:r>
          </w:p>
        </w:tc>
        <w:tc>
          <w:tcPr>
            <w:tcW w:w="964" w:type="dxa"/>
            <w:vAlign w:val="center"/>
          </w:tcPr>
          <w:p>
            <w:pPr>
              <w:pStyle w:val="16"/>
            </w:pPr>
            <w:r>
              <w:t>7.80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秦皇岛市北戴河区住房和城乡建设局（本级）小计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7.80</w:t>
            </w:r>
          </w:p>
        </w:tc>
        <w:tc>
          <w:tcPr>
            <w:tcW w:w="964" w:type="dxa"/>
            <w:vAlign w:val="center"/>
          </w:tcPr>
          <w:p>
            <w:pPr>
              <w:pStyle w:val="16"/>
            </w:pPr>
            <w:r>
              <w:t>7.80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运转类公用项目经费(2022年)</w:t>
            </w:r>
          </w:p>
        </w:tc>
        <w:tc>
          <w:tcPr>
            <w:tcW w:w="964" w:type="dxa"/>
            <w:vAlign w:val="center"/>
          </w:tcPr>
          <w:p>
            <w:pPr>
              <w:pStyle w:val="12"/>
            </w:pPr>
            <w:r>
              <w:t>96.14</w:t>
            </w:r>
          </w:p>
        </w:tc>
        <w:tc>
          <w:tcPr>
            <w:tcW w:w="1134" w:type="dxa"/>
            <w:vAlign w:val="center"/>
          </w:tcPr>
          <w:p>
            <w:pPr>
              <w:pStyle w:val="13"/>
            </w:pPr>
            <w:r>
              <w:t>台式计算机</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9</w:t>
            </w:r>
          </w:p>
        </w:tc>
        <w:tc>
          <w:tcPr>
            <w:tcW w:w="850" w:type="dxa"/>
            <w:vAlign w:val="center"/>
          </w:tcPr>
          <w:p>
            <w:pPr>
              <w:pStyle w:val="12"/>
            </w:pPr>
            <w:r>
              <w:t>0.45</w:t>
            </w:r>
          </w:p>
        </w:tc>
        <w:tc>
          <w:tcPr>
            <w:tcW w:w="964" w:type="dxa"/>
            <w:vAlign w:val="center"/>
          </w:tcPr>
          <w:p>
            <w:pPr>
              <w:pStyle w:val="12"/>
            </w:pPr>
            <w:r>
              <w:t>4.05</w:t>
            </w:r>
          </w:p>
        </w:tc>
        <w:tc>
          <w:tcPr>
            <w:tcW w:w="964" w:type="dxa"/>
            <w:vAlign w:val="center"/>
          </w:tcPr>
          <w:p>
            <w:pPr>
              <w:pStyle w:val="12"/>
            </w:pPr>
            <w:r>
              <w:t>4.05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运转类公用项目经费(2022年)</w:t>
            </w:r>
          </w:p>
        </w:tc>
        <w:tc>
          <w:tcPr>
            <w:tcW w:w="964" w:type="dxa"/>
            <w:vAlign w:val="center"/>
          </w:tcPr>
          <w:p>
            <w:pPr>
              <w:pStyle w:val="12"/>
            </w:pPr>
            <w:r>
              <w:t>96.14</w:t>
            </w:r>
          </w:p>
        </w:tc>
        <w:tc>
          <w:tcPr>
            <w:tcW w:w="1134" w:type="dxa"/>
            <w:vAlign w:val="center"/>
          </w:tcPr>
          <w:p>
            <w:pPr>
              <w:pStyle w:val="13"/>
            </w:pPr>
            <w:r>
              <w:t>车辆维修和保养服务</w:t>
            </w:r>
          </w:p>
        </w:tc>
        <w:tc>
          <w:tcPr>
            <w:tcW w:w="1134" w:type="dxa"/>
            <w:vAlign w:val="center"/>
          </w:tcPr>
          <w:p>
            <w:pPr>
              <w:pStyle w:val="13"/>
            </w:pPr>
            <w:r>
              <w:t>C050301</w:t>
            </w:r>
          </w:p>
        </w:tc>
        <w:tc>
          <w:tcPr>
            <w:tcW w:w="709" w:type="dxa"/>
            <w:vAlign w:val="center"/>
          </w:tcPr>
          <w:p>
            <w:pPr>
              <w:pStyle w:val="14"/>
            </w:pPr>
            <w:r>
              <w:t>批次</w:t>
            </w:r>
          </w:p>
        </w:tc>
        <w:tc>
          <w:tcPr>
            <w:tcW w:w="850" w:type="dxa"/>
            <w:vAlign w:val="center"/>
          </w:tcPr>
          <w:p>
            <w:pPr>
              <w:pStyle w:val="12"/>
            </w:pPr>
            <w:r>
              <w:t>1</w:t>
            </w:r>
          </w:p>
        </w:tc>
        <w:tc>
          <w:tcPr>
            <w:tcW w:w="850" w:type="dxa"/>
            <w:vAlign w:val="center"/>
          </w:tcPr>
          <w:p>
            <w:pPr>
              <w:pStyle w:val="12"/>
            </w:pPr>
            <w:r>
              <w:t>1.75</w:t>
            </w:r>
          </w:p>
        </w:tc>
        <w:tc>
          <w:tcPr>
            <w:tcW w:w="964" w:type="dxa"/>
            <w:vAlign w:val="center"/>
          </w:tcPr>
          <w:p>
            <w:pPr>
              <w:pStyle w:val="12"/>
            </w:pPr>
            <w:r>
              <w:t>1.75</w:t>
            </w:r>
          </w:p>
        </w:tc>
        <w:tc>
          <w:tcPr>
            <w:tcW w:w="964" w:type="dxa"/>
            <w:vAlign w:val="center"/>
          </w:tcPr>
          <w:p>
            <w:pPr>
              <w:pStyle w:val="12"/>
            </w:pPr>
            <w:r>
              <w:t>1.75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运转类公用项目经费(2022年)</w:t>
            </w:r>
          </w:p>
        </w:tc>
        <w:tc>
          <w:tcPr>
            <w:tcW w:w="964" w:type="dxa"/>
            <w:vAlign w:val="center"/>
          </w:tcPr>
          <w:p>
            <w:pPr>
              <w:pStyle w:val="12"/>
            </w:pPr>
            <w:r>
              <w:t>96.14</w:t>
            </w:r>
          </w:p>
        </w:tc>
        <w:tc>
          <w:tcPr>
            <w:tcW w:w="1134" w:type="dxa"/>
            <w:vAlign w:val="center"/>
          </w:tcPr>
          <w:p>
            <w:pPr>
              <w:pStyle w:val="13"/>
            </w:pPr>
            <w:r>
              <w:t>车辆加油服务</w:t>
            </w:r>
          </w:p>
        </w:tc>
        <w:tc>
          <w:tcPr>
            <w:tcW w:w="1134" w:type="dxa"/>
            <w:vAlign w:val="center"/>
          </w:tcPr>
          <w:p>
            <w:pPr>
              <w:pStyle w:val="13"/>
            </w:pPr>
            <w:r>
              <w:t>C050302</w:t>
            </w:r>
          </w:p>
        </w:tc>
        <w:tc>
          <w:tcPr>
            <w:tcW w:w="709" w:type="dxa"/>
            <w:vAlign w:val="center"/>
          </w:tcPr>
          <w:p>
            <w:pPr>
              <w:pStyle w:val="14"/>
            </w:pPr>
            <w:r>
              <w:t>批次</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运转类公用项目经费(2022年)</w:t>
            </w:r>
          </w:p>
        </w:tc>
        <w:tc>
          <w:tcPr>
            <w:tcW w:w="964" w:type="dxa"/>
            <w:vAlign w:val="center"/>
          </w:tcPr>
          <w:p>
            <w:pPr>
              <w:pStyle w:val="12"/>
            </w:pPr>
            <w:r>
              <w:t>96.14</w:t>
            </w:r>
          </w:p>
        </w:tc>
        <w:tc>
          <w:tcPr>
            <w:tcW w:w="1134" w:type="dxa"/>
            <w:vAlign w:val="center"/>
          </w:tcPr>
          <w:p>
            <w:pPr>
              <w:pStyle w:val="13"/>
            </w:pPr>
            <w:r>
              <w:t>机动车保险服务</w:t>
            </w:r>
          </w:p>
        </w:tc>
        <w:tc>
          <w:tcPr>
            <w:tcW w:w="1134" w:type="dxa"/>
            <w:vAlign w:val="center"/>
          </w:tcPr>
          <w:p>
            <w:pPr>
              <w:pStyle w:val="13"/>
            </w:pPr>
            <w:r>
              <w:t>C15040201</w:t>
            </w:r>
          </w:p>
        </w:tc>
        <w:tc>
          <w:tcPr>
            <w:tcW w:w="709" w:type="dxa"/>
            <w:vAlign w:val="center"/>
          </w:tcPr>
          <w:p>
            <w:pPr>
              <w:pStyle w:val="14"/>
            </w:pPr>
            <w:r>
              <w:t>批次</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秦皇岛市北戴河区住房和城乡建设局（本级）上年末固定资产金额为</w:t>
      </w:r>
      <w:r>
        <w:rPr>
          <w:rFonts w:hint="eastAsia" w:asciiTheme="minorEastAsia" w:hAnsiTheme="minorEastAsia" w:eastAsiaTheme="minorEastAsia"/>
          <w:color w:val="000000"/>
          <w:sz w:val="28"/>
          <w:lang w:eastAsia="zh-CN"/>
        </w:rPr>
        <w:t>3926.94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333001秦皇岛市北戴河区住房和城乡建设局（本级）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rPr>
                <w:rFonts w:hint="eastAsia" w:asciiTheme="minorEastAsia" w:hAnsiTheme="minorEastAsia" w:eastAsiaTheme="minorEastAsia"/>
                <w:lang w:eastAsia="zh-CN"/>
              </w:rPr>
              <w:t>3926.94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13.45</w:t>
            </w:r>
          </w:p>
        </w:tc>
        <w:tc>
          <w:tcPr>
            <w:tcW w:w="2835" w:type="dxa"/>
            <w:vAlign w:val="center"/>
          </w:tcPr>
          <w:p>
            <w:pPr>
              <w:pStyle w:val="12"/>
            </w:pPr>
            <w:r>
              <w:t>3356.15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0.11</w:t>
            </w:r>
          </w:p>
        </w:tc>
        <w:tc>
          <w:tcPr>
            <w:tcW w:w="2835" w:type="dxa"/>
            <w:vAlign w:val="center"/>
          </w:tcPr>
          <w:p>
            <w:pPr>
              <w:pStyle w:val="12"/>
            </w:pPr>
            <w:r>
              <w:t>44.97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127.37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193</w:t>
            </w:r>
          </w:p>
        </w:tc>
        <w:tc>
          <w:tcPr>
            <w:tcW w:w="2835" w:type="dxa"/>
            <w:vAlign w:val="center"/>
          </w:tcPr>
          <w:p>
            <w:pPr>
              <w:pStyle w:val="12"/>
            </w:pPr>
            <w:r>
              <w:t>443.42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rPr>
          <w:rFonts w:eastAsia="方正仿宋_GBK"/>
          <w:color w:val="000000"/>
          <w:sz w:val="28"/>
        </w:rPr>
      </w:pPr>
      <w:r>
        <w:rPr>
          <w:rFonts w:eastAsia="方正仿宋_GBK"/>
          <w:color w:val="000000"/>
          <w:sz w:val="28"/>
        </w:rPr>
        <w:t>我单位无其他需要说明的事项。</w:t>
      </w:r>
    </w:p>
    <w:p>
      <w:pPr>
        <w:rPr>
          <w:rFonts w:eastAsia="方正仿宋_GBK"/>
          <w:color w:val="000000"/>
          <w:sz w:val="28"/>
        </w:rPr>
      </w:pPr>
    </w:p>
    <w:p>
      <w:pPr>
        <w:rPr>
          <w:rFonts w:eastAsia="方正仿宋_GBK"/>
          <w:color w:val="000000"/>
          <w:sz w:val="28"/>
        </w:rPr>
      </w:pPr>
    </w:p>
    <w:p>
      <w:pPr>
        <w:rPr>
          <w:rFonts w:eastAsia="方正仿宋_GBK"/>
          <w:color w:val="000000"/>
          <w:sz w:val="28"/>
        </w:rPr>
      </w:pPr>
    </w:p>
    <w:p>
      <w:pPr>
        <w:rPr>
          <w:rFonts w:eastAsia="方正仿宋_GBK"/>
          <w:color w:val="000000"/>
          <w:sz w:val="28"/>
        </w:rPr>
      </w:pPr>
    </w:p>
    <w:p>
      <w:pPr>
        <w:rPr>
          <w:rFonts w:eastAsia="方正仿宋_GBK"/>
          <w:color w:val="000000"/>
          <w:sz w:val="28"/>
        </w:rPr>
      </w:pPr>
    </w:p>
    <w:p>
      <w:pPr>
        <w:rPr>
          <w:rFonts w:eastAsia="方正仿宋_GBK"/>
          <w:color w:val="000000"/>
          <w:sz w:val="28"/>
        </w:rPr>
      </w:pPr>
    </w:p>
    <w:p>
      <w:pPr>
        <w:rPr>
          <w:rFonts w:eastAsia="方正仿宋_GBK"/>
          <w:color w:val="000000"/>
          <w:sz w:val="28"/>
        </w:rPr>
      </w:pPr>
    </w:p>
    <w:p>
      <w:pPr>
        <w:rPr>
          <w:rFonts w:eastAsiaTheme="minorEastAsia"/>
          <w:color w:val="000000"/>
          <w:sz w:val="28"/>
          <w:lang w:eastAsia="zh-CN"/>
        </w:rPr>
      </w:pPr>
    </w:p>
    <w:p>
      <w:pPr>
        <w:rPr>
          <w:rFonts w:eastAsiaTheme="minorEastAsia"/>
          <w:color w:val="000000"/>
          <w:sz w:val="28"/>
          <w:lang w:eastAsia="zh-CN"/>
        </w:rPr>
      </w:pPr>
    </w:p>
    <w:p>
      <w:pPr>
        <w:rPr>
          <w:rFonts w:eastAsiaTheme="minorEastAsia"/>
          <w:color w:val="000000"/>
          <w:sz w:val="28"/>
          <w:lang w:eastAsia="zh-CN"/>
        </w:rPr>
      </w:pPr>
    </w:p>
    <w:p>
      <w:pPr>
        <w:rPr>
          <w:rFonts w:eastAsiaTheme="minorEastAsia"/>
          <w:color w:val="000000"/>
          <w:sz w:val="28"/>
          <w:lang w:eastAsia="zh-CN"/>
        </w:rPr>
      </w:pPr>
    </w:p>
    <w:p>
      <w:pPr>
        <w:rPr>
          <w:rFonts w:eastAsiaTheme="minorEastAsia"/>
          <w:color w:val="000000"/>
          <w:sz w:val="28"/>
          <w:lang w:eastAsia="zh-CN"/>
        </w:rPr>
      </w:pPr>
    </w:p>
    <w:p>
      <w:pPr>
        <w:rPr>
          <w:rFonts w:eastAsiaTheme="minorEastAsia"/>
          <w:color w:val="000000"/>
          <w:sz w:val="28"/>
          <w:lang w:eastAsia="zh-CN"/>
        </w:rPr>
      </w:pPr>
    </w:p>
    <w:p>
      <w:pPr>
        <w:rPr>
          <w:rFonts w:eastAsiaTheme="minorEastAsia"/>
          <w:color w:val="000000"/>
          <w:sz w:val="28"/>
          <w:lang w:eastAsia="zh-CN"/>
        </w:rPr>
      </w:pPr>
    </w:p>
    <w:p>
      <w:pPr>
        <w:rPr>
          <w:rFonts w:eastAsia="方正仿宋_GBK"/>
          <w:color w:val="000000"/>
          <w:sz w:val="28"/>
        </w:rPr>
      </w:pPr>
    </w:p>
    <w:p>
      <w:pPr>
        <w:rPr>
          <w:rFonts w:eastAsia="方正仿宋_GBK"/>
          <w:color w:val="000000"/>
          <w:sz w:val="28"/>
        </w:rPr>
      </w:pPr>
    </w:p>
    <w:p>
      <w:pPr>
        <w:rPr>
          <w:rFonts w:eastAsia="方正仿宋_GBK"/>
          <w:color w:val="000000"/>
          <w:sz w:val="28"/>
        </w:rPr>
      </w:pPr>
    </w:p>
    <w:p>
      <w:pPr>
        <w:rPr>
          <w:rFonts w:eastAsia="方正仿宋_GBK"/>
          <w:color w:val="000000"/>
          <w:sz w:val="28"/>
        </w:rPr>
      </w:pPr>
    </w:p>
    <w:p>
      <w:pPr>
        <w:rPr>
          <w:rFonts w:eastAsia="方正仿宋_GBK"/>
          <w:color w:val="000000"/>
          <w:sz w:val="28"/>
        </w:rPr>
      </w:pPr>
    </w:p>
    <w:p>
      <w:pPr>
        <w:jc w:val="center"/>
        <w:outlineLvl w:val="3"/>
      </w:pPr>
      <w:bookmarkStart w:id="1" w:name="_Toc_4_4_0000000020"/>
      <w:r>
        <w:rPr>
          <w:rFonts w:ascii="方正小标宋_GBK" w:hAnsi="方正小标宋_GBK" w:eastAsia="方正小标宋_GBK" w:cs="方正小标宋_GBK"/>
          <w:color w:val="000000"/>
          <w:sz w:val="44"/>
        </w:rPr>
        <w:t>二、秦皇岛市北戴河区工程保障服务中心收支预算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212.81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212.81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212.81</w:t>
            </w:r>
          </w:p>
        </w:tc>
        <w:tc>
          <w:tcPr>
            <w:tcW w:w="4535" w:type="dxa"/>
            <w:vAlign w:val="center"/>
          </w:tcPr>
          <w:p>
            <w:pPr>
              <w:pStyle w:val="15"/>
            </w:pPr>
            <w:r>
              <w:t>本年支出合计</w:t>
            </w:r>
          </w:p>
        </w:tc>
        <w:tc>
          <w:tcPr>
            <w:tcW w:w="2126" w:type="dxa"/>
            <w:vAlign w:val="center"/>
          </w:tcPr>
          <w:p>
            <w:pPr>
              <w:pStyle w:val="16"/>
            </w:pPr>
            <w:r>
              <w:t>212.81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212.81</w:t>
            </w:r>
          </w:p>
        </w:tc>
        <w:tc>
          <w:tcPr>
            <w:tcW w:w="4535" w:type="dxa"/>
            <w:vAlign w:val="center"/>
          </w:tcPr>
          <w:p>
            <w:pPr>
              <w:pStyle w:val="15"/>
            </w:pPr>
            <w:r>
              <w:t>支出总计</w:t>
            </w:r>
          </w:p>
        </w:tc>
        <w:tc>
          <w:tcPr>
            <w:tcW w:w="2126" w:type="dxa"/>
            <w:vAlign w:val="center"/>
          </w:tcPr>
          <w:p>
            <w:pPr>
              <w:pStyle w:val="16"/>
            </w:pPr>
            <w:r>
              <w:t>212.81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212.81</w:t>
            </w:r>
          </w:p>
        </w:tc>
        <w:tc>
          <w:tcPr>
            <w:tcW w:w="1134" w:type="dxa"/>
            <w:vAlign w:val="center"/>
          </w:tcPr>
          <w:p>
            <w:pPr>
              <w:pStyle w:val="16"/>
            </w:pPr>
            <w:r>
              <w:t>212.81</w:t>
            </w:r>
          </w:p>
        </w:tc>
        <w:tc>
          <w:tcPr>
            <w:tcW w:w="1134" w:type="dxa"/>
            <w:vAlign w:val="center"/>
          </w:tcPr>
          <w:p>
            <w:pPr>
              <w:pStyle w:val="16"/>
            </w:pPr>
            <w:r>
              <w:t>212.81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212.81</w:t>
            </w:r>
          </w:p>
        </w:tc>
        <w:tc>
          <w:tcPr>
            <w:tcW w:w="1134" w:type="dxa"/>
            <w:vAlign w:val="center"/>
          </w:tcPr>
          <w:p>
            <w:pPr>
              <w:pStyle w:val="12"/>
            </w:pPr>
            <w:r>
              <w:t>212.81</w:t>
            </w:r>
          </w:p>
        </w:tc>
        <w:tc>
          <w:tcPr>
            <w:tcW w:w="1134" w:type="dxa"/>
            <w:vAlign w:val="center"/>
          </w:tcPr>
          <w:p>
            <w:pPr>
              <w:pStyle w:val="12"/>
            </w:pPr>
            <w:r>
              <w:t>212.81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21206</w:t>
            </w:r>
          </w:p>
        </w:tc>
        <w:tc>
          <w:tcPr>
            <w:tcW w:w="1559" w:type="dxa"/>
            <w:vAlign w:val="center"/>
          </w:tcPr>
          <w:p>
            <w:pPr>
              <w:pStyle w:val="13"/>
            </w:pPr>
            <w:r>
              <w:t>建设市场管理与监督</w:t>
            </w:r>
          </w:p>
        </w:tc>
        <w:tc>
          <w:tcPr>
            <w:tcW w:w="1134" w:type="dxa"/>
            <w:vAlign w:val="center"/>
          </w:tcPr>
          <w:p>
            <w:pPr>
              <w:pStyle w:val="12"/>
            </w:pPr>
            <w:r>
              <w:t>212.81</w:t>
            </w:r>
          </w:p>
        </w:tc>
        <w:tc>
          <w:tcPr>
            <w:tcW w:w="1134" w:type="dxa"/>
            <w:vAlign w:val="center"/>
          </w:tcPr>
          <w:p>
            <w:pPr>
              <w:pStyle w:val="12"/>
            </w:pPr>
            <w:r>
              <w:t>212.81</w:t>
            </w:r>
          </w:p>
        </w:tc>
        <w:tc>
          <w:tcPr>
            <w:tcW w:w="1134" w:type="dxa"/>
            <w:vAlign w:val="center"/>
          </w:tcPr>
          <w:p>
            <w:pPr>
              <w:pStyle w:val="12"/>
            </w:pPr>
            <w:r>
              <w:t>212.81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2120601</w:t>
            </w:r>
          </w:p>
        </w:tc>
        <w:tc>
          <w:tcPr>
            <w:tcW w:w="1559" w:type="dxa"/>
            <w:vAlign w:val="center"/>
          </w:tcPr>
          <w:p>
            <w:pPr>
              <w:pStyle w:val="13"/>
            </w:pPr>
            <w:r>
              <w:t>建设市场管理与监督</w:t>
            </w:r>
          </w:p>
        </w:tc>
        <w:tc>
          <w:tcPr>
            <w:tcW w:w="1134" w:type="dxa"/>
            <w:vAlign w:val="center"/>
          </w:tcPr>
          <w:p>
            <w:pPr>
              <w:pStyle w:val="12"/>
            </w:pPr>
            <w:r>
              <w:t>212.81</w:t>
            </w:r>
          </w:p>
        </w:tc>
        <w:tc>
          <w:tcPr>
            <w:tcW w:w="1134" w:type="dxa"/>
            <w:vAlign w:val="center"/>
          </w:tcPr>
          <w:p>
            <w:pPr>
              <w:pStyle w:val="12"/>
            </w:pPr>
            <w:r>
              <w:t>212.81</w:t>
            </w:r>
          </w:p>
        </w:tc>
        <w:tc>
          <w:tcPr>
            <w:tcW w:w="1134" w:type="dxa"/>
            <w:vAlign w:val="center"/>
          </w:tcPr>
          <w:p>
            <w:pPr>
              <w:pStyle w:val="12"/>
            </w:pPr>
            <w:r>
              <w:t>212.81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212.81</w:t>
            </w:r>
          </w:p>
        </w:tc>
        <w:tc>
          <w:tcPr>
            <w:tcW w:w="1361" w:type="dxa"/>
            <w:vAlign w:val="center"/>
          </w:tcPr>
          <w:p>
            <w:pPr>
              <w:pStyle w:val="16"/>
            </w:pPr>
          </w:p>
        </w:tc>
        <w:tc>
          <w:tcPr>
            <w:tcW w:w="1361" w:type="dxa"/>
            <w:vAlign w:val="center"/>
          </w:tcPr>
          <w:p>
            <w:pPr>
              <w:pStyle w:val="16"/>
            </w:pPr>
            <w:r>
              <w:t>212.81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212.81</w:t>
            </w:r>
          </w:p>
        </w:tc>
        <w:tc>
          <w:tcPr>
            <w:tcW w:w="1361" w:type="dxa"/>
            <w:vAlign w:val="center"/>
          </w:tcPr>
          <w:p>
            <w:pPr>
              <w:pStyle w:val="12"/>
            </w:pPr>
          </w:p>
        </w:tc>
        <w:tc>
          <w:tcPr>
            <w:tcW w:w="1361" w:type="dxa"/>
            <w:vAlign w:val="center"/>
          </w:tcPr>
          <w:p>
            <w:pPr>
              <w:pStyle w:val="12"/>
            </w:pPr>
            <w:r>
              <w:t>212.81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21206</w:t>
            </w:r>
          </w:p>
        </w:tc>
        <w:tc>
          <w:tcPr>
            <w:tcW w:w="4535" w:type="dxa"/>
            <w:vAlign w:val="center"/>
          </w:tcPr>
          <w:p>
            <w:pPr>
              <w:pStyle w:val="13"/>
            </w:pPr>
            <w:r>
              <w:t>建设市场管理与监督</w:t>
            </w:r>
          </w:p>
        </w:tc>
        <w:tc>
          <w:tcPr>
            <w:tcW w:w="1361" w:type="dxa"/>
            <w:vAlign w:val="center"/>
          </w:tcPr>
          <w:p>
            <w:pPr>
              <w:pStyle w:val="12"/>
            </w:pPr>
            <w:r>
              <w:t>212.81</w:t>
            </w:r>
          </w:p>
        </w:tc>
        <w:tc>
          <w:tcPr>
            <w:tcW w:w="1361" w:type="dxa"/>
            <w:vAlign w:val="center"/>
          </w:tcPr>
          <w:p>
            <w:pPr>
              <w:pStyle w:val="12"/>
            </w:pPr>
          </w:p>
        </w:tc>
        <w:tc>
          <w:tcPr>
            <w:tcW w:w="1361" w:type="dxa"/>
            <w:vAlign w:val="center"/>
          </w:tcPr>
          <w:p>
            <w:pPr>
              <w:pStyle w:val="12"/>
            </w:pPr>
            <w:r>
              <w:t>212.81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2120601</w:t>
            </w:r>
          </w:p>
        </w:tc>
        <w:tc>
          <w:tcPr>
            <w:tcW w:w="4535" w:type="dxa"/>
            <w:vAlign w:val="center"/>
          </w:tcPr>
          <w:p>
            <w:pPr>
              <w:pStyle w:val="13"/>
            </w:pPr>
            <w:r>
              <w:t>建设市场管理与监督</w:t>
            </w:r>
          </w:p>
        </w:tc>
        <w:tc>
          <w:tcPr>
            <w:tcW w:w="1361" w:type="dxa"/>
            <w:vAlign w:val="center"/>
          </w:tcPr>
          <w:p>
            <w:pPr>
              <w:pStyle w:val="12"/>
            </w:pPr>
            <w:r>
              <w:t>212.81</w:t>
            </w:r>
          </w:p>
        </w:tc>
        <w:tc>
          <w:tcPr>
            <w:tcW w:w="1361" w:type="dxa"/>
            <w:vAlign w:val="center"/>
          </w:tcPr>
          <w:p>
            <w:pPr>
              <w:pStyle w:val="12"/>
            </w:pPr>
          </w:p>
        </w:tc>
        <w:tc>
          <w:tcPr>
            <w:tcW w:w="1361" w:type="dxa"/>
            <w:vAlign w:val="center"/>
          </w:tcPr>
          <w:p>
            <w:pPr>
              <w:pStyle w:val="12"/>
            </w:pPr>
            <w:r>
              <w:t>212.81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212.81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212.81</w:t>
            </w:r>
          </w:p>
        </w:tc>
        <w:tc>
          <w:tcPr>
            <w:tcW w:w="1474" w:type="dxa"/>
            <w:vAlign w:val="center"/>
          </w:tcPr>
          <w:p>
            <w:pPr>
              <w:pStyle w:val="12"/>
            </w:pPr>
            <w:r>
              <w:t>212.81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212.81</w:t>
            </w:r>
          </w:p>
        </w:tc>
        <w:tc>
          <w:tcPr>
            <w:tcW w:w="3402" w:type="dxa"/>
            <w:vAlign w:val="center"/>
          </w:tcPr>
          <w:p>
            <w:pPr>
              <w:pStyle w:val="15"/>
            </w:pPr>
            <w:r>
              <w:t>本年支出合计</w:t>
            </w:r>
          </w:p>
        </w:tc>
        <w:tc>
          <w:tcPr>
            <w:tcW w:w="1474" w:type="dxa"/>
            <w:vAlign w:val="center"/>
          </w:tcPr>
          <w:p>
            <w:pPr>
              <w:pStyle w:val="16"/>
            </w:pPr>
            <w:r>
              <w:t>212.81</w:t>
            </w:r>
          </w:p>
        </w:tc>
        <w:tc>
          <w:tcPr>
            <w:tcW w:w="1474" w:type="dxa"/>
            <w:vAlign w:val="center"/>
          </w:tcPr>
          <w:p>
            <w:pPr>
              <w:pStyle w:val="16"/>
            </w:pPr>
            <w:r>
              <w:t>212.81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212.81</w:t>
            </w:r>
          </w:p>
        </w:tc>
        <w:tc>
          <w:tcPr>
            <w:tcW w:w="3402" w:type="dxa"/>
            <w:vAlign w:val="center"/>
          </w:tcPr>
          <w:p>
            <w:pPr>
              <w:pStyle w:val="15"/>
            </w:pPr>
            <w:r>
              <w:t>支出总计</w:t>
            </w:r>
          </w:p>
        </w:tc>
        <w:tc>
          <w:tcPr>
            <w:tcW w:w="1474" w:type="dxa"/>
            <w:vAlign w:val="center"/>
          </w:tcPr>
          <w:p>
            <w:pPr>
              <w:pStyle w:val="16"/>
            </w:pPr>
            <w:r>
              <w:t>212.81</w:t>
            </w:r>
          </w:p>
        </w:tc>
        <w:tc>
          <w:tcPr>
            <w:tcW w:w="1474" w:type="dxa"/>
            <w:vAlign w:val="center"/>
          </w:tcPr>
          <w:p>
            <w:pPr>
              <w:pStyle w:val="16"/>
            </w:pPr>
            <w:r>
              <w:t>212.81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212.81</w:t>
            </w:r>
          </w:p>
        </w:tc>
        <w:tc>
          <w:tcPr>
            <w:tcW w:w="2551" w:type="dxa"/>
            <w:vAlign w:val="center"/>
          </w:tcPr>
          <w:p>
            <w:pPr>
              <w:pStyle w:val="16"/>
            </w:pPr>
          </w:p>
        </w:tc>
        <w:tc>
          <w:tcPr>
            <w:tcW w:w="2551" w:type="dxa"/>
            <w:vAlign w:val="center"/>
          </w:tcPr>
          <w:p>
            <w:pPr>
              <w:pStyle w:val="16"/>
            </w:pPr>
            <w:r>
              <w:t>212.81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212.81</w:t>
            </w:r>
          </w:p>
        </w:tc>
        <w:tc>
          <w:tcPr>
            <w:tcW w:w="2551" w:type="dxa"/>
            <w:vAlign w:val="center"/>
          </w:tcPr>
          <w:p>
            <w:pPr>
              <w:pStyle w:val="12"/>
            </w:pPr>
          </w:p>
        </w:tc>
        <w:tc>
          <w:tcPr>
            <w:tcW w:w="2551" w:type="dxa"/>
            <w:vAlign w:val="center"/>
          </w:tcPr>
          <w:p>
            <w:pPr>
              <w:pStyle w:val="12"/>
            </w:pPr>
            <w:r>
              <w:t>212.81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21206</w:t>
            </w:r>
          </w:p>
        </w:tc>
        <w:tc>
          <w:tcPr>
            <w:tcW w:w="4535" w:type="dxa"/>
            <w:vAlign w:val="center"/>
          </w:tcPr>
          <w:p>
            <w:pPr>
              <w:pStyle w:val="13"/>
            </w:pPr>
            <w:r>
              <w:t>建设市场管理与监督</w:t>
            </w:r>
          </w:p>
        </w:tc>
        <w:tc>
          <w:tcPr>
            <w:tcW w:w="2551" w:type="dxa"/>
            <w:vAlign w:val="center"/>
          </w:tcPr>
          <w:p>
            <w:pPr>
              <w:pStyle w:val="12"/>
            </w:pPr>
            <w:r>
              <w:t>212.81</w:t>
            </w:r>
          </w:p>
        </w:tc>
        <w:tc>
          <w:tcPr>
            <w:tcW w:w="2551" w:type="dxa"/>
            <w:vAlign w:val="center"/>
          </w:tcPr>
          <w:p>
            <w:pPr>
              <w:pStyle w:val="12"/>
            </w:pPr>
          </w:p>
        </w:tc>
        <w:tc>
          <w:tcPr>
            <w:tcW w:w="2551" w:type="dxa"/>
            <w:vAlign w:val="center"/>
          </w:tcPr>
          <w:p>
            <w:pPr>
              <w:pStyle w:val="12"/>
            </w:pPr>
            <w:r>
              <w:t>212.81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2120601</w:t>
            </w:r>
          </w:p>
        </w:tc>
        <w:tc>
          <w:tcPr>
            <w:tcW w:w="4535" w:type="dxa"/>
            <w:vAlign w:val="center"/>
          </w:tcPr>
          <w:p>
            <w:pPr>
              <w:pStyle w:val="13"/>
            </w:pPr>
            <w:r>
              <w:t>建设市场管理与监督</w:t>
            </w:r>
          </w:p>
        </w:tc>
        <w:tc>
          <w:tcPr>
            <w:tcW w:w="2551" w:type="dxa"/>
            <w:vAlign w:val="center"/>
          </w:tcPr>
          <w:p>
            <w:pPr>
              <w:pStyle w:val="12"/>
            </w:pPr>
            <w:r>
              <w:t>212.81</w:t>
            </w:r>
          </w:p>
        </w:tc>
        <w:tc>
          <w:tcPr>
            <w:tcW w:w="2551" w:type="dxa"/>
            <w:vAlign w:val="center"/>
          </w:tcPr>
          <w:p>
            <w:pPr>
              <w:pStyle w:val="12"/>
            </w:pPr>
          </w:p>
        </w:tc>
        <w:tc>
          <w:tcPr>
            <w:tcW w:w="2551" w:type="dxa"/>
            <w:vAlign w:val="center"/>
          </w:tcPr>
          <w:p>
            <w:pPr>
              <w:pStyle w:val="12"/>
            </w:pPr>
            <w:r>
              <w:t>212.81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eastAsia" w:eastAsia="方正书宋_GBK"/>
                <w:lang w:eastAsia="zh-CN"/>
              </w:rPr>
            </w:pPr>
            <w:r>
              <w:rPr>
                <w:rFonts w:hint="eastAsia"/>
                <w:lang w:val="en-US" w:eastAsia="zh-CN"/>
              </w:rPr>
              <w:t>0</w:t>
            </w:r>
          </w:p>
        </w:tc>
        <w:tc>
          <w:tcPr>
            <w:tcW w:w="2381" w:type="dxa"/>
            <w:vAlign w:val="center"/>
          </w:tcPr>
          <w:p>
            <w:pPr>
              <w:pStyle w:val="16"/>
              <w:rPr>
                <w:rFonts w:hint="eastAsia" w:eastAsia="方正书宋_GBK"/>
                <w:lang w:eastAsia="zh-CN"/>
              </w:rPr>
            </w:pPr>
            <w:r>
              <w:rPr>
                <w:rFonts w:hint="eastAsia"/>
                <w:lang w:val="en-US" w:eastAsia="zh-CN"/>
              </w:rPr>
              <w:t>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秦皇岛市北戴河区工程保障服务中心2022年单位预算信息公开情况说明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按照《预算法》、《地方预决算公开操作规程》和《关于进一步推进预算公开工作的实施意见》规定，现将秦皇岛市北戴河区工程保障服务中心2022年单位预算公开如下：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根据《秦皇岛市北戴河区职能配置、内设机构和人员编制规定》， 秦皇岛市北戴河区工程保障服务中心的主要职责是：</w:t>
      </w:r>
    </w:p>
    <w:p>
      <w:pPr>
        <w:pStyle w:val="26"/>
      </w:pPr>
      <w:r>
        <w:t>1、贯彻执行中华人民共和国《建筑法》、《防震减灾法》及相关配套法律法规，负责组织实施和监督检查；</w:t>
      </w:r>
    </w:p>
    <w:p>
      <w:pPr>
        <w:pStyle w:val="26"/>
      </w:pPr>
      <w:r>
        <w:t>2、负责北戴河区城市规划建设用地区域外和由区政府财政投资的市政基础设施项目及开发区工业项目的施工许可审核，建设工程竣工验收备案工作;</w:t>
      </w:r>
    </w:p>
    <w:p>
      <w:pPr>
        <w:pStyle w:val="26"/>
      </w:pPr>
      <w:r>
        <w:t>3、负责北戴河区城市规划建设用地区域外的建设工程抗震监管和安全生产监管工作；</w:t>
      </w:r>
    </w:p>
    <w:p>
      <w:pPr>
        <w:pStyle w:val="26"/>
      </w:pPr>
      <w:r>
        <w:t>4、负责由区政府财政投资的市政基础设施项目及开发区工业项目的建设工程抗震监管、安全生产监管及建筑稽查工作；</w:t>
      </w:r>
    </w:p>
    <w:p>
      <w:pPr>
        <w:pStyle w:val="26"/>
      </w:pPr>
      <w:r>
        <w:t xml:space="preserve">5、负责全区建筑业统计工作； </w:t>
      </w:r>
    </w:p>
    <w:p>
      <w:pPr>
        <w:pStyle w:val="26"/>
      </w:pPr>
      <w:r>
        <w:t xml:space="preserve">6、负责全区地震管理工作； </w:t>
      </w:r>
    </w:p>
    <w:p>
      <w:pPr>
        <w:pStyle w:val="26"/>
      </w:pPr>
      <w:r>
        <w:t>7、负责全区农村危房改造工作；</w:t>
      </w:r>
    </w:p>
    <w:p>
      <w:pPr>
        <w:pStyle w:val="26"/>
      </w:pPr>
      <w:r>
        <w:t>8、协助市城乡建设局对全区建筑企业资质进行管理。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秦皇岛市北戴河区工程保障服务中心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区</w:t>
      </w:r>
      <w:r>
        <w:rPr>
          <w:rFonts w:eastAsia="方正仿宋_GBK"/>
          <w:color w:val="000000"/>
          <w:sz w:val="28"/>
        </w:rPr>
        <w:t>单位预算的编制实行综合预算管理，即全部收入和支出都反映在预算中。</w:t>
      </w:r>
    </w:p>
    <w:p>
      <w:pPr>
        <w:pStyle w:val="27"/>
      </w:pPr>
      <w:r>
        <w:t>1、收入说明</w:t>
      </w:r>
    </w:p>
    <w:p>
      <w:pPr>
        <w:pStyle w:val="27"/>
      </w:pPr>
      <w:r>
        <w:t>2022年预算收入为212.81万元，其中：一般公共预算收入212.81万元，基金预算收入0万元，财政专户核拨收入0万元，其他来源收入0万元。</w:t>
      </w:r>
    </w:p>
    <w:p>
      <w:pPr>
        <w:pStyle w:val="27"/>
      </w:pPr>
      <w:r>
        <w:t>2、支出说明</w:t>
      </w:r>
    </w:p>
    <w:p>
      <w:pPr>
        <w:pStyle w:val="27"/>
      </w:pPr>
      <w:r>
        <w:t>收支预算总表支出表、基本支出表、项目支出表按经济分类和支出功能分类科目编制，反映北戴河区年度部门预算中支出预算的总体情况。2022年预算支出为212.81万元，其中：基本支出0万元；项目支出212.81万元，主要为非全额事业单位定额补助14.97万元，非全额事业单位专项补助196.59万元，工程建设管理业务费1.25万元。</w:t>
      </w:r>
    </w:p>
    <w:p>
      <w:pPr>
        <w:pStyle w:val="27"/>
      </w:pPr>
      <w:r>
        <w:t>3、比上年增减情况</w:t>
      </w:r>
    </w:p>
    <w:p>
      <w:pPr>
        <w:pStyle w:val="27"/>
        <w:rPr>
          <w:rFonts w:eastAsiaTheme="minorEastAsia"/>
          <w:lang w:eastAsia="zh-CN"/>
        </w:rPr>
      </w:pPr>
      <w:r>
        <w:t>2022年预算支出安排212.81万元，较2021年预算减少17.48万元，其中：基本支出减少229.04万元，主要原因为本单位基本支出中人员经费以及日常公用经费全部改为项目支出，且日常公用经费减少支出；项目支出增加211.56万元，主要原因为本单位基本支出中人员经费以及日常公用经费全部改为项目支出，厉行节约，压缩经费，减少行政运行费用。</w:t>
      </w:r>
    </w:p>
    <w:p>
      <w:pPr>
        <w:pStyle w:val="27"/>
        <w:rPr>
          <w:rFonts w:eastAsiaTheme="minorEastAsia"/>
          <w:lang w:eastAsia="zh-CN"/>
        </w:rPr>
      </w:pPr>
    </w:p>
    <w:p>
      <w:pPr>
        <w:spacing w:before="10" w:after="10"/>
        <w:ind w:firstLine="640"/>
        <w:outlineLvl w:val="5"/>
        <w:rPr>
          <w:lang w:eastAsia="zh-CN"/>
        </w:rPr>
      </w:pPr>
      <w:r>
        <w:rPr>
          <w:rFonts w:ascii="黑体" w:hAnsi="黑体" w:eastAsia="黑体" w:cs="黑体"/>
          <w:color w:val="000000"/>
          <w:sz w:val="32"/>
        </w:rPr>
        <w:t>三、机关运行经费安排情况</w:t>
      </w:r>
    </w:p>
    <w:p>
      <w:pPr>
        <w:pStyle w:val="28"/>
      </w:pPr>
      <w:r>
        <w:t>机关运行经费共计安排0万元，主要原因为本单位本年日常公用经费全部为项目支出。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2022年，我单位财政拨款“三公”经费预算安排0万元，与上年持平，无增减变化。其中：因公出国（境）费0万元，与上年持平，无增减变化；公务用车购置及运行维护费0万元（其中：公务用车购置费为0万元，公务用车运行维护费0万元)，公务用车购置费与上年持平，无增减变化；公务用车运行维护费0万元，与上年持平，无增减变化；公务接待费0万元，与上年持平，无增减变化。</w:t>
      </w:r>
    </w:p>
    <w:p>
      <w:pPr>
        <w:spacing w:before="10" w:after="10"/>
        <w:ind w:firstLine="640"/>
        <w:outlineLvl w:val="5"/>
        <w:rPr>
          <w:rFonts w:ascii="黑体" w:hAnsi="黑体" w:eastAsia="黑体" w:cs="黑体"/>
          <w:color w:val="000000"/>
          <w:sz w:val="32"/>
          <w:lang w:eastAsia="zh-CN"/>
        </w:rPr>
      </w:pPr>
    </w:p>
    <w:p>
      <w:pPr>
        <w:rPr>
          <w:rFonts w:cs="方正仿宋_GBK" w:asciiTheme="minorEastAsia" w:hAnsiTheme="minorEastAsia" w:eastAsiaTheme="minorEastAsia"/>
          <w:b/>
          <w:color w:val="000000"/>
          <w:sz w:val="28"/>
          <w:lang w:eastAsia="zh-CN"/>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rPr>
          <w:rFonts w:cs="方正仿宋_GBK" w:asciiTheme="minorEastAsia" w:hAnsiTheme="minorEastAsia" w:eastAsiaTheme="minorEastAsia"/>
          <w:b/>
          <w:color w:val="000000"/>
          <w:sz w:val="28"/>
          <w:lang w:eastAsia="zh-CN"/>
        </w:rPr>
      </w:pPr>
    </w:p>
    <w:p>
      <w:pPr>
        <w:rPr>
          <w:rFonts w:hint="eastAsia" w:ascii="方正仿宋_GBK" w:hAnsi="方正仿宋_GBK" w:cs="方正仿宋_GBK" w:eastAsiaTheme="minorEastAsia"/>
          <w:b/>
          <w:color w:val="000000"/>
          <w:sz w:val="28"/>
          <w:lang w:eastAsia="zh-CN"/>
        </w:rPr>
      </w:pPr>
      <w:r>
        <w:rPr>
          <w:rFonts w:ascii="方正仿宋_GBK" w:hAnsi="方正仿宋_GBK" w:eastAsia="方正仿宋_GBK" w:cs="方正仿宋_GBK"/>
          <w:b/>
          <w:color w:val="000000"/>
          <w:sz w:val="28"/>
        </w:rPr>
        <w:t>1、非全额事业单位定额补助绩效目标表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1.1.做好经费保障工作，保障办公正常运转。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2835" w:type="dxa"/>
            <w:vAlign w:val="center"/>
          </w:tcPr>
          <w:p>
            <w:pPr>
              <w:pStyle w:val="13"/>
            </w:pPr>
            <w:r>
              <w:t>保障办公人数</w:t>
            </w:r>
          </w:p>
        </w:tc>
        <w:tc>
          <w:tcPr>
            <w:tcW w:w="2551" w:type="dxa"/>
            <w:vAlign w:val="center"/>
          </w:tcPr>
          <w:p>
            <w:pPr>
              <w:pStyle w:val="13"/>
            </w:pPr>
            <w:r>
              <w:t>≤16人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2835" w:type="dxa"/>
            <w:vAlign w:val="center"/>
          </w:tcPr>
          <w:p>
            <w:pPr>
              <w:pStyle w:val="13"/>
            </w:pPr>
            <w:r>
              <w:t>各项日常工作保障率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及时保障各项日常办公需要</w:t>
            </w:r>
          </w:p>
        </w:tc>
        <w:tc>
          <w:tcPr>
            <w:tcW w:w="2551" w:type="dxa"/>
            <w:vAlign w:val="center"/>
          </w:tcPr>
          <w:p>
            <w:pPr>
              <w:pStyle w:val="13"/>
            </w:pPr>
            <w:r>
              <w:t>及时保障</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2835" w:type="dxa"/>
            <w:vAlign w:val="center"/>
          </w:tcPr>
          <w:p>
            <w:pPr>
              <w:pStyle w:val="13"/>
            </w:pPr>
            <w:r>
              <w:t>办公费、水电费、交通费、会议费、工会经费、招待费及其他公用经费的支出</w:t>
            </w:r>
          </w:p>
        </w:tc>
        <w:tc>
          <w:tcPr>
            <w:tcW w:w="2551" w:type="dxa"/>
            <w:vAlign w:val="center"/>
          </w:tcPr>
          <w:p>
            <w:pPr>
              <w:pStyle w:val="13"/>
            </w:pPr>
            <w:r>
              <w:t>按统一规定执行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2835" w:type="dxa"/>
            <w:vAlign w:val="center"/>
          </w:tcPr>
          <w:p>
            <w:pPr>
              <w:pStyle w:val="13"/>
            </w:pPr>
            <w:r>
              <w:t>保障日常办公需要，维持单位正常运转</w:t>
            </w:r>
          </w:p>
        </w:tc>
        <w:tc>
          <w:tcPr>
            <w:tcW w:w="2551" w:type="dxa"/>
            <w:vAlign w:val="center"/>
          </w:tcPr>
          <w:p>
            <w:pPr>
              <w:pStyle w:val="13"/>
            </w:pPr>
            <w:r>
              <w:t>维持单位正常运转</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≥99%</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2、非全额事业单位专项补助绩效目标表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1.1.主要用于人员工资福利等支出，保障办公正常运转。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2835" w:type="dxa"/>
            <w:vAlign w:val="center"/>
          </w:tcPr>
          <w:p>
            <w:pPr>
              <w:pStyle w:val="13"/>
            </w:pPr>
            <w:r>
              <w:t>保障人数</w:t>
            </w:r>
          </w:p>
        </w:tc>
        <w:tc>
          <w:tcPr>
            <w:tcW w:w="2551" w:type="dxa"/>
            <w:vAlign w:val="center"/>
          </w:tcPr>
          <w:p>
            <w:pPr>
              <w:pStyle w:val="13"/>
            </w:pPr>
            <w:r>
              <w:t>≤16人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2835" w:type="dxa"/>
            <w:vAlign w:val="center"/>
          </w:tcPr>
          <w:p>
            <w:pPr>
              <w:pStyle w:val="13"/>
            </w:pPr>
            <w:r>
              <w:t>工资福利等发放人员范围的精准性和发放数据的准确性</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2835" w:type="dxa"/>
            <w:vAlign w:val="center"/>
          </w:tcPr>
          <w:p>
            <w:pPr>
              <w:pStyle w:val="13"/>
            </w:pPr>
            <w:r>
              <w:t>工资福利等发放的时效情况</w:t>
            </w:r>
          </w:p>
        </w:tc>
        <w:tc>
          <w:tcPr>
            <w:tcW w:w="2551" w:type="dxa"/>
            <w:vAlign w:val="center"/>
          </w:tcPr>
          <w:p>
            <w:pPr>
              <w:pStyle w:val="13"/>
            </w:pPr>
            <w:r>
              <w:t>按规定时间发放</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2835" w:type="dxa"/>
            <w:vAlign w:val="center"/>
          </w:tcPr>
          <w:p>
            <w:pPr>
              <w:pStyle w:val="13"/>
            </w:pPr>
            <w:r>
              <w:t>工资（福利）、社会保障（公积金）等发放（缴纳）标准</w:t>
            </w:r>
          </w:p>
        </w:tc>
        <w:tc>
          <w:tcPr>
            <w:tcW w:w="2551" w:type="dxa"/>
            <w:vAlign w:val="center"/>
          </w:tcPr>
          <w:p>
            <w:pPr>
              <w:pStyle w:val="13"/>
            </w:pPr>
            <w:r>
              <w:t>按规定执行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2835" w:type="dxa"/>
            <w:vAlign w:val="center"/>
          </w:tcPr>
          <w:p>
            <w:pPr>
              <w:pStyle w:val="13"/>
            </w:pPr>
            <w:r>
              <w:t>通过按时按标准发放工资福利等，进一步增强干部职工得归属感，保持干部队伍相对稳定，保障办公正常运转</w:t>
            </w:r>
          </w:p>
        </w:tc>
        <w:tc>
          <w:tcPr>
            <w:tcW w:w="2551" w:type="dxa"/>
            <w:vAlign w:val="center"/>
          </w:tcPr>
          <w:p>
            <w:pPr>
              <w:pStyle w:val="13"/>
            </w:pPr>
            <w:r>
              <w:t>保持干部队伍相对稳定</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≥99%</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3、工程建设管理业务费绩效目标表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每周建筑工地巡查次数</w:t>
            </w:r>
          </w:p>
        </w:tc>
        <w:tc>
          <w:tcPr>
            <w:tcW w:w="2835" w:type="dxa"/>
            <w:vAlign w:val="center"/>
          </w:tcPr>
          <w:p>
            <w:pPr>
              <w:pStyle w:val="13"/>
            </w:pPr>
            <w:r>
              <w:t>每周建筑工地巡查次数</w:t>
            </w:r>
          </w:p>
        </w:tc>
        <w:tc>
          <w:tcPr>
            <w:tcW w:w="2551" w:type="dxa"/>
            <w:vAlign w:val="center"/>
          </w:tcPr>
          <w:p>
            <w:pPr>
              <w:pStyle w:val="13"/>
            </w:pPr>
            <w:r>
              <w:t>≥5次</w:t>
            </w:r>
          </w:p>
        </w:tc>
        <w:tc>
          <w:tcPr>
            <w:tcW w:w="2268" w:type="dxa"/>
            <w:vAlign w:val="center"/>
          </w:tcPr>
          <w:p>
            <w:pPr>
              <w:pStyle w:val="13"/>
            </w:pPr>
            <w:r>
              <w:t>巡查与监管次数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建筑工地安全生产率</w:t>
            </w:r>
          </w:p>
        </w:tc>
        <w:tc>
          <w:tcPr>
            <w:tcW w:w="2835" w:type="dxa"/>
            <w:vAlign w:val="center"/>
          </w:tcPr>
          <w:p>
            <w:pPr>
              <w:pStyle w:val="13"/>
            </w:pPr>
            <w:r>
              <w:t>建筑工地安全生产率</w:t>
            </w:r>
          </w:p>
        </w:tc>
        <w:tc>
          <w:tcPr>
            <w:tcW w:w="2551" w:type="dxa"/>
            <w:vAlign w:val="center"/>
          </w:tcPr>
          <w:p>
            <w:pPr>
              <w:pStyle w:val="13"/>
            </w:pPr>
            <w:r>
              <w:t>100%</w:t>
            </w:r>
          </w:p>
        </w:tc>
        <w:tc>
          <w:tcPr>
            <w:tcW w:w="2268" w:type="dxa"/>
            <w:vAlign w:val="center"/>
          </w:tcPr>
          <w:p>
            <w:pPr>
              <w:pStyle w:val="13"/>
            </w:pPr>
            <w:r>
              <w:t>巡查与监管建筑工地是否安全生产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建筑工地问题整改率</w:t>
            </w:r>
          </w:p>
        </w:tc>
        <w:tc>
          <w:tcPr>
            <w:tcW w:w="2835" w:type="dxa"/>
            <w:vAlign w:val="center"/>
          </w:tcPr>
          <w:p>
            <w:pPr>
              <w:pStyle w:val="13"/>
            </w:pPr>
            <w:r>
              <w:t>建筑工地问题整改率</w:t>
            </w:r>
          </w:p>
        </w:tc>
        <w:tc>
          <w:tcPr>
            <w:tcW w:w="2551" w:type="dxa"/>
            <w:vAlign w:val="center"/>
          </w:tcPr>
          <w:p>
            <w:pPr>
              <w:pStyle w:val="13"/>
            </w:pPr>
            <w:r>
              <w:t>≥95%</w:t>
            </w:r>
          </w:p>
        </w:tc>
        <w:tc>
          <w:tcPr>
            <w:tcW w:w="2268" w:type="dxa"/>
            <w:vAlign w:val="center"/>
          </w:tcPr>
          <w:p>
            <w:pPr>
              <w:pStyle w:val="13"/>
            </w:pPr>
            <w:r>
              <w:t>巡查与监管建筑工地是否对发现问题进行整改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2835" w:type="dxa"/>
            <w:vAlign w:val="center"/>
          </w:tcPr>
          <w:p>
            <w:pPr>
              <w:pStyle w:val="13"/>
            </w:pPr>
            <w:r>
              <w:t>完成工作需要的资金</w:t>
            </w:r>
          </w:p>
        </w:tc>
        <w:tc>
          <w:tcPr>
            <w:tcW w:w="2551" w:type="dxa"/>
            <w:vAlign w:val="center"/>
          </w:tcPr>
          <w:p>
            <w:pPr>
              <w:pStyle w:val="13"/>
            </w:pPr>
            <w:r>
              <w:t>≤1.25万元</w:t>
            </w:r>
          </w:p>
        </w:tc>
        <w:tc>
          <w:tcPr>
            <w:tcW w:w="2268" w:type="dxa"/>
            <w:vAlign w:val="center"/>
          </w:tcPr>
          <w:p>
            <w:pPr>
              <w:pStyle w:val="13"/>
            </w:pPr>
            <w:r>
              <w:t>对建筑工地的巡查与监管使用的资金小于或等于项目资金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建筑工地规范化作业率</w:t>
            </w:r>
          </w:p>
        </w:tc>
        <w:tc>
          <w:tcPr>
            <w:tcW w:w="2835" w:type="dxa"/>
            <w:vAlign w:val="center"/>
          </w:tcPr>
          <w:p>
            <w:pPr>
              <w:pStyle w:val="13"/>
            </w:pPr>
            <w:r>
              <w:t>建筑工地规范化作业率</w:t>
            </w:r>
          </w:p>
        </w:tc>
        <w:tc>
          <w:tcPr>
            <w:tcW w:w="2551" w:type="dxa"/>
            <w:vAlign w:val="center"/>
          </w:tcPr>
          <w:p>
            <w:pPr>
              <w:pStyle w:val="13"/>
            </w:pPr>
            <w:r>
              <w:t>≥95%</w:t>
            </w:r>
          </w:p>
        </w:tc>
        <w:tc>
          <w:tcPr>
            <w:tcW w:w="2268" w:type="dxa"/>
            <w:vAlign w:val="center"/>
          </w:tcPr>
          <w:p>
            <w:pPr>
              <w:pStyle w:val="13"/>
            </w:pPr>
            <w:r>
              <w:t>各建筑工地安全生产率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安全生产天数</w:t>
            </w:r>
          </w:p>
        </w:tc>
        <w:tc>
          <w:tcPr>
            <w:tcW w:w="2835" w:type="dxa"/>
            <w:vAlign w:val="center"/>
          </w:tcPr>
          <w:p>
            <w:pPr>
              <w:pStyle w:val="13"/>
            </w:pPr>
            <w:r>
              <w:t>保证建筑工地正常运行，增加企业经济效益</w:t>
            </w:r>
          </w:p>
        </w:tc>
        <w:tc>
          <w:tcPr>
            <w:tcW w:w="2551" w:type="dxa"/>
            <w:vAlign w:val="center"/>
          </w:tcPr>
          <w:p>
            <w:pPr>
              <w:pStyle w:val="13"/>
            </w:pPr>
            <w:r>
              <w:t>≥300天</w:t>
            </w:r>
          </w:p>
        </w:tc>
        <w:tc>
          <w:tcPr>
            <w:tcW w:w="2268" w:type="dxa"/>
            <w:vAlign w:val="center"/>
          </w:tcPr>
          <w:p>
            <w:pPr>
              <w:pStyle w:val="13"/>
            </w:pPr>
            <w:r>
              <w:t>安全生产天数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复查结果合格率</w:t>
            </w:r>
          </w:p>
        </w:tc>
        <w:tc>
          <w:tcPr>
            <w:tcW w:w="2835" w:type="dxa"/>
            <w:vAlign w:val="center"/>
          </w:tcPr>
          <w:p>
            <w:pPr>
              <w:pStyle w:val="13"/>
            </w:pPr>
            <w:r>
              <w:t>复查结果合格率</w:t>
            </w:r>
          </w:p>
        </w:tc>
        <w:tc>
          <w:tcPr>
            <w:tcW w:w="2551" w:type="dxa"/>
            <w:vAlign w:val="center"/>
          </w:tcPr>
          <w:p>
            <w:pPr>
              <w:pStyle w:val="13"/>
            </w:pPr>
            <w:r>
              <w:t>≥90%</w:t>
            </w:r>
          </w:p>
        </w:tc>
        <w:tc>
          <w:tcPr>
            <w:tcW w:w="2268" w:type="dxa"/>
            <w:vAlign w:val="center"/>
          </w:tcPr>
          <w:p>
            <w:pPr>
              <w:pStyle w:val="13"/>
            </w:pPr>
            <w:r>
              <w:t>复查结果合格率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建筑工地符合大气污染防治标准</w:t>
            </w:r>
          </w:p>
        </w:tc>
        <w:tc>
          <w:tcPr>
            <w:tcW w:w="2835" w:type="dxa"/>
            <w:vAlign w:val="center"/>
          </w:tcPr>
          <w:p>
            <w:pPr>
              <w:pStyle w:val="13"/>
            </w:pPr>
            <w:r>
              <w:t>建筑工地符合大气污染防治标准</w:t>
            </w:r>
          </w:p>
        </w:tc>
        <w:tc>
          <w:tcPr>
            <w:tcW w:w="2551" w:type="dxa"/>
            <w:vAlign w:val="center"/>
          </w:tcPr>
          <w:p>
            <w:pPr>
              <w:pStyle w:val="13"/>
            </w:pPr>
            <w:r>
              <w:t>100%</w:t>
            </w:r>
          </w:p>
        </w:tc>
        <w:tc>
          <w:tcPr>
            <w:tcW w:w="2268" w:type="dxa"/>
            <w:vAlign w:val="center"/>
          </w:tcPr>
          <w:p>
            <w:pPr>
              <w:pStyle w:val="13"/>
            </w:pPr>
            <w:r>
              <w:t>建筑工地符合大气污染防治标准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2835" w:type="dxa"/>
            <w:vAlign w:val="center"/>
          </w:tcPr>
          <w:p>
            <w:pPr>
              <w:pStyle w:val="13"/>
            </w:pPr>
            <w:r>
              <w:t>企业满意度</w:t>
            </w:r>
          </w:p>
        </w:tc>
        <w:tc>
          <w:tcPr>
            <w:tcW w:w="2551" w:type="dxa"/>
            <w:vAlign w:val="center"/>
          </w:tcPr>
          <w:p>
            <w:pPr>
              <w:pStyle w:val="13"/>
            </w:pPr>
            <w:r>
              <w:t>≥80%</w:t>
            </w:r>
          </w:p>
        </w:tc>
        <w:tc>
          <w:tcPr>
            <w:tcW w:w="2268" w:type="dxa"/>
            <w:vAlign w:val="center"/>
          </w:tcPr>
          <w:p>
            <w:pPr>
              <w:pStyle w:val="13"/>
            </w:pPr>
            <w:r>
              <w:t>各建筑企业对监管的满意度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2022年，秦皇岛市北戴河区工程保障服务中心安排政府采购预算0.00万元。具体内容见下表。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333003秦皇岛市北戴河区工程保障服务中心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highlight w:val="none"/>
        </w:rPr>
      </w:pPr>
      <w:r>
        <w:rPr>
          <w:rFonts w:eastAsia="方正仿宋_GBK"/>
          <w:color w:val="000000"/>
          <w:sz w:val="28"/>
          <w:highlight w:val="none"/>
        </w:rPr>
        <w:t>秦皇岛市北戴河区工程保障服务中心上年末固定资产金额为</w:t>
      </w:r>
      <w:r>
        <w:rPr>
          <w:rFonts w:hint="eastAsia" w:eastAsiaTheme="minorEastAsia"/>
          <w:color w:val="000000"/>
          <w:sz w:val="28"/>
          <w:highlight w:val="none"/>
          <w:lang w:eastAsia="zh-CN"/>
        </w:rPr>
        <w:t>162.55</w:t>
      </w:r>
      <w:r>
        <w:rPr>
          <w:rFonts w:eastAsia="方正仿宋_GBK"/>
          <w:color w:val="000000"/>
          <w:sz w:val="28"/>
          <w:highlight w:val="none"/>
        </w:rPr>
        <w:t>万元（详见下表）。本年度拟购置固定资产总额为0.00万元，已按要求列入政府采购预算，详见政府采购预算表。</w:t>
      </w: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highlight w:val="none"/>
              </w:rPr>
            </w:pPr>
            <w:r>
              <w:rPr>
                <w:highlight w:val="none"/>
              </w:rPr>
              <w:t>333003秦皇岛市北戴河区工程保障服务中心</w:t>
            </w:r>
          </w:p>
        </w:tc>
        <w:tc>
          <w:tcPr>
            <w:tcW w:w="5669"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highlight w:val="none"/>
              </w:rPr>
            </w:pPr>
            <w:r>
              <w:rPr>
                <w:highlight w:val="none"/>
              </w:rPr>
              <w:t>项   目</w:t>
            </w:r>
          </w:p>
        </w:tc>
        <w:tc>
          <w:tcPr>
            <w:tcW w:w="2835" w:type="dxa"/>
            <w:vAlign w:val="center"/>
          </w:tcPr>
          <w:p>
            <w:pPr>
              <w:pStyle w:val="11"/>
              <w:rPr>
                <w:highlight w:val="none"/>
              </w:rPr>
            </w:pPr>
            <w:r>
              <w:rPr>
                <w:highlight w:val="none"/>
              </w:rPr>
              <w:t>数量</w:t>
            </w:r>
          </w:p>
        </w:tc>
        <w:tc>
          <w:tcPr>
            <w:tcW w:w="2835" w:type="dxa"/>
            <w:vAlign w:val="center"/>
          </w:tcPr>
          <w:p>
            <w:pPr>
              <w:pStyle w:val="11"/>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资产总额</w:t>
            </w:r>
          </w:p>
        </w:tc>
        <w:tc>
          <w:tcPr>
            <w:tcW w:w="2835" w:type="dxa"/>
            <w:vAlign w:val="center"/>
          </w:tcPr>
          <w:p>
            <w:pPr>
              <w:pStyle w:val="14"/>
              <w:rPr>
                <w:highlight w:val="none"/>
              </w:rPr>
            </w:pPr>
          </w:p>
        </w:tc>
        <w:tc>
          <w:tcPr>
            <w:tcW w:w="2835" w:type="dxa"/>
            <w:vAlign w:val="center"/>
          </w:tcPr>
          <w:p>
            <w:pPr>
              <w:pStyle w:val="12"/>
              <w:rPr>
                <w:rFonts w:hint="eastAsia" w:eastAsiaTheme="minorEastAsia"/>
                <w:highlight w:val="none"/>
                <w:lang w:eastAsia="zh-CN"/>
              </w:rPr>
            </w:pPr>
            <w:r>
              <w:rPr>
                <w:rFonts w:hint="eastAsia" w:eastAsiaTheme="minorEastAsia"/>
                <w:highlight w:val="none"/>
                <w:lang w:eastAsia="zh-CN"/>
              </w:rPr>
              <w:t>162.55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1、房屋（平方米）</w:t>
            </w:r>
          </w:p>
        </w:tc>
        <w:tc>
          <w:tcPr>
            <w:tcW w:w="2835" w:type="dxa"/>
            <w:vAlign w:val="center"/>
          </w:tcPr>
          <w:p>
            <w:pPr>
              <w:pStyle w:val="14"/>
              <w:rPr>
                <w:highlight w:val="none"/>
              </w:rPr>
            </w:pPr>
            <w:r>
              <w:rPr>
                <w:highlight w:val="none"/>
              </w:rPr>
              <w:t>2094.04</w:t>
            </w:r>
          </w:p>
        </w:tc>
        <w:tc>
          <w:tcPr>
            <w:tcW w:w="2835" w:type="dxa"/>
            <w:vAlign w:val="center"/>
          </w:tcPr>
          <w:p>
            <w:pPr>
              <w:pStyle w:val="12"/>
              <w:rPr>
                <w:highlight w:val="none"/>
              </w:rPr>
            </w:pPr>
            <w:r>
              <w:rPr>
                <w:highlight w:val="none"/>
              </w:rPr>
              <w:t>154.35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　　其中：办公用房（平方米）</w:t>
            </w:r>
          </w:p>
        </w:tc>
        <w:tc>
          <w:tcPr>
            <w:tcW w:w="2835" w:type="dxa"/>
            <w:vAlign w:val="center"/>
          </w:tcPr>
          <w:p>
            <w:pPr>
              <w:pStyle w:val="14"/>
              <w:rPr>
                <w:highlight w:val="none"/>
              </w:rPr>
            </w:pPr>
            <w:r>
              <w:rPr>
                <w:highlight w:val="none"/>
              </w:rPr>
              <w:t>385.56</w:t>
            </w:r>
          </w:p>
        </w:tc>
        <w:tc>
          <w:tcPr>
            <w:tcW w:w="2835" w:type="dxa"/>
            <w:vAlign w:val="center"/>
          </w:tcPr>
          <w:p>
            <w:pPr>
              <w:pStyle w:val="12"/>
              <w:rPr>
                <w:highlight w:val="none"/>
              </w:rPr>
            </w:pPr>
            <w:r>
              <w:rPr>
                <w:highlight w:val="none"/>
              </w:rPr>
              <w:t>28.42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2、车辆（台、辆）</w:t>
            </w:r>
          </w:p>
        </w:tc>
        <w:tc>
          <w:tcPr>
            <w:tcW w:w="2835" w:type="dxa"/>
            <w:vAlign w:val="center"/>
          </w:tcPr>
          <w:p>
            <w:pPr>
              <w:pStyle w:val="14"/>
              <w:rPr>
                <w:highlight w:val="none"/>
              </w:rPr>
            </w:pPr>
          </w:p>
        </w:tc>
        <w:tc>
          <w:tcPr>
            <w:tcW w:w="2835"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3、单价在20万元以上的设备</w:t>
            </w:r>
          </w:p>
        </w:tc>
        <w:tc>
          <w:tcPr>
            <w:tcW w:w="2835" w:type="dxa"/>
            <w:vAlign w:val="center"/>
          </w:tcPr>
          <w:p>
            <w:pPr>
              <w:pStyle w:val="14"/>
              <w:rPr>
                <w:highlight w:val="none"/>
              </w:rPr>
            </w:pPr>
          </w:p>
        </w:tc>
        <w:tc>
          <w:tcPr>
            <w:tcW w:w="2835"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4、其他固定资产</w:t>
            </w:r>
          </w:p>
        </w:tc>
        <w:tc>
          <w:tcPr>
            <w:tcW w:w="2835" w:type="dxa"/>
            <w:vAlign w:val="center"/>
          </w:tcPr>
          <w:p>
            <w:pPr>
              <w:pStyle w:val="14"/>
              <w:rPr>
                <w:rFonts w:hint="eastAsia" w:eastAsiaTheme="minorEastAsia"/>
                <w:highlight w:val="none"/>
                <w:lang w:eastAsia="zh-CN"/>
              </w:rPr>
            </w:pPr>
            <w:r>
              <w:rPr>
                <w:rFonts w:hint="eastAsia" w:eastAsiaTheme="minorEastAsia"/>
                <w:highlight w:val="none"/>
                <w:lang w:eastAsia="zh-CN"/>
              </w:rPr>
              <w:t>25</w:t>
            </w:r>
          </w:p>
        </w:tc>
        <w:tc>
          <w:tcPr>
            <w:tcW w:w="2835" w:type="dxa"/>
            <w:vAlign w:val="center"/>
          </w:tcPr>
          <w:p>
            <w:pPr>
              <w:pStyle w:val="12"/>
              <w:rPr>
                <w:rFonts w:hint="eastAsia" w:eastAsiaTheme="minorEastAsia"/>
                <w:highlight w:val="none"/>
                <w:lang w:eastAsia="zh-CN"/>
              </w:rPr>
            </w:pPr>
            <w:r>
              <w:rPr>
                <w:rFonts w:hint="eastAsia" w:eastAsiaTheme="minorEastAsia"/>
                <w:highlight w:val="none"/>
                <w:lang w:eastAsia="zh-CN"/>
              </w:rPr>
              <w:t>8.2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三、秦皇岛市北戴河区工程建设服务中心收支预算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185.61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185.61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185.61</w:t>
            </w:r>
          </w:p>
        </w:tc>
        <w:tc>
          <w:tcPr>
            <w:tcW w:w="4535" w:type="dxa"/>
            <w:vAlign w:val="center"/>
          </w:tcPr>
          <w:p>
            <w:pPr>
              <w:pStyle w:val="15"/>
            </w:pPr>
            <w:r>
              <w:t>本年支出合计</w:t>
            </w:r>
          </w:p>
        </w:tc>
        <w:tc>
          <w:tcPr>
            <w:tcW w:w="2126" w:type="dxa"/>
            <w:vAlign w:val="center"/>
          </w:tcPr>
          <w:p>
            <w:pPr>
              <w:pStyle w:val="16"/>
            </w:pPr>
            <w:r>
              <w:t>185.61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185.61</w:t>
            </w:r>
          </w:p>
        </w:tc>
        <w:tc>
          <w:tcPr>
            <w:tcW w:w="4535" w:type="dxa"/>
            <w:vAlign w:val="center"/>
          </w:tcPr>
          <w:p>
            <w:pPr>
              <w:pStyle w:val="15"/>
            </w:pPr>
            <w:r>
              <w:t>支出总计</w:t>
            </w:r>
          </w:p>
        </w:tc>
        <w:tc>
          <w:tcPr>
            <w:tcW w:w="2126" w:type="dxa"/>
            <w:vAlign w:val="center"/>
          </w:tcPr>
          <w:p>
            <w:pPr>
              <w:pStyle w:val="16"/>
            </w:pPr>
            <w:r>
              <w:t>185.61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185.61</w:t>
            </w:r>
          </w:p>
        </w:tc>
        <w:tc>
          <w:tcPr>
            <w:tcW w:w="1134" w:type="dxa"/>
            <w:vAlign w:val="center"/>
          </w:tcPr>
          <w:p>
            <w:pPr>
              <w:pStyle w:val="16"/>
            </w:pPr>
            <w:r>
              <w:t>185.61</w:t>
            </w:r>
          </w:p>
        </w:tc>
        <w:tc>
          <w:tcPr>
            <w:tcW w:w="1134" w:type="dxa"/>
            <w:vAlign w:val="center"/>
          </w:tcPr>
          <w:p>
            <w:pPr>
              <w:pStyle w:val="16"/>
            </w:pPr>
            <w:r>
              <w:t>185.61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185.61</w:t>
            </w:r>
          </w:p>
        </w:tc>
        <w:tc>
          <w:tcPr>
            <w:tcW w:w="1134" w:type="dxa"/>
            <w:vAlign w:val="center"/>
          </w:tcPr>
          <w:p>
            <w:pPr>
              <w:pStyle w:val="12"/>
            </w:pPr>
            <w:r>
              <w:t>185.61</w:t>
            </w:r>
          </w:p>
        </w:tc>
        <w:tc>
          <w:tcPr>
            <w:tcW w:w="1134" w:type="dxa"/>
            <w:vAlign w:val="center"/>
          </w:tcPr>
          <w:p>
            <w:pPr>
              <w:pStyle w:val="12"/>
            </w:pPr>
            <w:r>
              <w:t>185.61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185.61</w:t>
            </w:r>
          </w:p>
        </w:tc>
        <w:tc>
          <w:tcPr>
            <w:tcW w:w="1134" w:type="dxa"/>
            <w:vAlign w:val="center"/>
          </w:tcPr>
          <w:p>
            <w:pPr>
              <w:pStyle w:val="12"/>
            </w:pPr>
            <w:r>
              <w:t>185.61</w:t>
            </w:r>
          </w:p>
        </w:tc>
        <w:tc>
          <w:tcPr>
            <w:tcW w:w="1134" w:type="dxa"/>
            <w:vAlign w:val="center"/>
          </w:tcPr>
          <w:p>
            <w:pPr>
              <w:pStyle w:val="12"/>
            </w:pPr>
            <w:r>
              <w:t>185.61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2120106</w:t>
            </w:r>
          </w:p>
        </w:tc>
        <w:tc>
          <w:tcPr>
            <w:tcW w:w="1559" w:type="dxa"/>
            <w:vAlign w:val="center"/>
          </w:tcPr>
          <w:p>
            <w:pPr>
              <w:pStyle w:val="13"/>
            </w:pPr>
            <w:r>
              <w:t>工程建设管理</w:t>
            </w:r>
          </w:p>
        </w:tc>
        <w:tc>
          <w:tcPr>
            <w:tcW w:w="1134" w:type="dxa"/>
            <w:vAlign w:val="center"/>
          </w:tcPr>
          <w:p>
            <w:pPr>
              <w:pStyle w:val="12"/>
            </w:pPr>
            <w:r>
              <w:t>185.61</w:t>
            </w:r>
          </w:p>
        </w:tc>
        <w:tc>
          <w:tcPr>
            <w:tcW w:w="1134" w:type="dxa"/>
            <w:vAlign w:val="center"/>
          </w:tcPr>
          <w:p>
            <w:pPr>
              <w:pStyle w:val="12"/>
            </w:pPr>
            <w:r>
              <w:t>185.61</w:t>
            </w:r>
          </w:p>
        </w:tc>
        <w:tc>
          <w:tcPr>
            <w:tcW w:w="1134" w:type="dxa"/>
            <w:vAlign w:val="center"/>
          </w:tcPr>
          <w:p>
            <w:pPr>
              <w:pStyle w:val="12"/>
            </w:pPr>
            <w:r>
              <w:t>185.61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185.61</w:t>
            </w:r>
          </w:p>
        </w:tc>
        <w:tc>
          <w:tcPr>
            <w:tcW w:w="1361" w:type="dxa"/>
            <w:vAlign w:val="center"/>
          </w:tcPr>
          <w:p>
            <w:pPr>
              <w:pStyle w:val="16"/>
            </w:pPr>
          </w:p>
        </w:tc>
        <w:tc>
          <w:tcPr>
            <w:tcW w:w="1361" w:type="dxa"/>
            <w:vAlign w:val="center"/>
          </w:tcPr>
          <w:p>
            <w:pPr>
              <w:pStyle w:val="16"/>
            </w:pPr>
            <w:r>
              <w:t>185.61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185.61</w:t>
            </w:r>
          </w:p>
        </w:tc>
        <w:tc>
          <w:tcPr>
            <w:tcW w:w="1361" w:type="dxa"/>
            <w:vAlign w:val="center"/>
          </w:tcPr>
          <w:p>
            <w:pPr>
              <w:pStyle w:val="12"/>
            </w:pPr>
          </w:p>
        </w:tc>
        <w:tc>
          <w:tcPr>
            <w:tcW w:w="1361" w:type="dxa"/>
            <w:vAlign w:val="center"/>
          </w:tcPr>
          <w:p>
            <w:pPr>
              <w:pStyle w:val="12"/>
            </w:pPr>
            <w:r>
              <w:t>185.61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185.61</w:t>
            </w:r>
          </w:p>
        </w:tc>
        <w:tc>
          <w:tcPr>
            <w:tcW w:w="1361" w:type="dxa"/>
            <w:vAlign w:val="center"/>
          </w:tcPr>
          <w:p>
            <w:pPr>
              <w:pStyle w:val="12"/>
            </w:pPr>
          </w:p>
        </w:tc>
        <w:tc>
          <w:tcPr>
            <w:tcW w:w="1361" w:type="dxa"/>
            <w:vAlign w:val="center"/>
          </w:tcPr>
          <w:p>
            <w:pPr>
              <w:pStyle w:val="12"/>
            </w:pPr>
            <w:r>
              <w:t>185.61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2120106</w:t>
            </w:r>
          </w:p>
        </w:tc>
        <w:tc>
          <w:tcPr>
            <w:tcW w:w="4535" w:type="dxa"/>
            <w:vAlign w:val="center"/>
          </w:tcPr>
          <w:p>
            <w:pPr>
              <w:pStyle w:val="13"/>
            </w:pPr>
            <w:r>
              <w:t>工程建设管理</w:t>
            </w:r>
          </w:p>
        </w:tc>
        <w:tc>
          <w:tcPr>
            <w:tcW w:w="1361" w:type="dxa"/>
            <w:vAlign w:val="center"/>
          </w:tcPr>
          <w:p>
            <w:pPr>
              <w:pStyle w:val="12"/>
            </w:pPr>
            <w:r>
              <w:t>185.61</w:t>
            </w:r>
          </w:p>
        </w:tc>
        <w:tc>
          <w:tcPr>
            <w:tcW w:w="1361" w:type="dxa"/>
            <w:vAlign w:val="center"/>
          </w:tcPr>
          <w:p>
            <w:pPr>
              <w:pStyle w:val="12"/>
            </w:pPr>
          </w:p>
        </w:tc>
        <w:tc>
          <w:tcPr>
            <w:tcW w:w="1361" w:type="dxa"/>
            <w:vAlign w:val="center"/>
          </w:tcPr>
          <w:p>
            <w:pPr>
              <w:pStyle w:val="12"/>
            </w:pPr>
            <w:r>
              <w:t>185.61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185.61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185.61</w:t>
            </w:r>
          </w:p>
        </w:tc>
        <w:tc>
          <w:tcPr>
            <w:tcW w:w="1474" w:type="dxa"/>
            <w:vAlign w:val="center"/>
          </w:tcPr>
          <w:p>
            <w:pPr>
              <w:pStyle w:val="12"/>
            </w:pPr>
            <w:r>
              <w:t>185.61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185.61</w:t>
            </w:r>
          </w:p>
        </w:tc>
        <w:tc>
          <w:tcPr>
            <w:tcW w:w="3402" w:type="dxa"/>
            <w:vAlign w:val="center"/>
          </w:tcPr>
          <w:p>
            <w:pPr>
              <w:pStyle w:val="15"/>
            </w:pPr>
            <w:r>
              <w:t>本年支出合计</w:t>
            </w:r>
          </w:p>
        </w:tc>
        <w:tc>
          <w:tcPr>
            <w:tcW w:w="1474" w:type="dxa"/>
            <w:vAlign w:val="center"/>
          </w:tcPr>
          <w:p>
            <w:pPr>
              <w:pStyle w:val="16"/>
            </w:pPr>
            <w:r>
              <w:t>185.61</w:t>
            </w:r>
          </w:p>
        </w:tc>
        <w:tc>
          <w:tcPr>
            <w:tcW w:w="1474" w:type="dxa"/>
            <w:vAlign w:val="center"/>
          </w:tcPr>
          <w:p>
            <w:pPr>
              <w:pStyle w:val="16"/>
            </w:pPr>
            <w:r>
              <w:t>185.61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185.61</w:t>
            </w:r>
          </w:p>
        </w:tc>
        <w:tc>
          <w:tcPr>
            <w:tcW w:w="3402" w:type="dxa"/>
            <w:vAlign w:val="center"/>
          </w:tcPr>
          <w:p>
            <w:pPr>
              <w:pStyle w:val="15"/>
            </w:pPr>
            <w:r>
              <w:t>支出总计</w:t>
            </w:r>
          </w:p>
        </w:tc>
        <w:tc>
          <w:tcPr>
            <w:tcW w:w="1474" w:type="dxa"/>
            <w:vAlign w:val="center"/>
          </w:tcPr>
          <w:p>
            <w:pPr>
              <w:pStyle w:val="16"/>
            </w:pPr>
            <w:r>
              <w:t>185.61</w:t>
            </w:r>
          </w:p>
        </w:tc>
        <w:tc>
          <w:tcPr>
            <w:tcW w:w="1474" w:type="dxa"/>
            <w:vAlign w:val="center"/>
          </w:tcPr>
          <w:p>
            <w:pPr>
              <w:pStyle w:val="16"/>
            </w:pPr>
            <w:r>
              <w:t>185.61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185.61</w:t>
            </w:r>
          </w:p>
        </w:tc>
        <w:tc>
          <w:tcPr>
            <w:tcW w:w="2551" w:type="dxa"/>
            <w:vAlign w:val="center"/>
          </w:tcPr>
          <w:p>
            <w:pPr>
              <w:pStyle w:val="16"/>
            </w:pPr>
          </w:p>
        </w:tc>
        <w:tc>
          <w:tcPr>
            <w:tcW w:w="2551" w:type="dxa"/>
            <w:vAlign w:val="center"/>
          </w:tcPr>
          <w:p>
            <w:pPr>
              <w:pStyle w:val="16"/>
            </w:pPr>
            <w:r>
              <w:t>185.61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185.61</w:t>
            </w:r>
          </w:p>
        </w:tc>
        <w:tc>
          <w:tcPr>
            <w:tcW w:w="2551" w:type="dxa"/>
            <w:vAlign w:val="center"/>
          </w:tcPr>
          <w:p>
            <w:pPr>
              <w:pStyle w:val="12"/>
            </w:pPr>
          </w:p>
        </w:tc>
        <w:tc>
          <w:tcPr>
            <w:tcW w:w="2551" w:type="dxa"/>
            <w:vAlign w:val="center"/>
          </w:tcPr>
          <w:p>
            <w:pPr>
              <w:pStyle w:val="12"/>
            </w:pPr>
            <w:r>
              <w:t>185.61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185.61</w:t>
            </w:r>
          </w:p>
        </w:tc>
        <w:tc>
          <w:tcPr>
            <w:tcW w:w="2551" w:type="dxa"/>
            <w:vAlign w:val="center"/>
          </w:tcPr>
          <w:p>
            <w:pPr>
              <w:pStyle w:val="12"/>
            </w:pPr>
          </w:p>
        </w:tc>
        <w:tc>
          <w:tcPr>
            <w:tcW w:w="2551" w:type="dxa"/>
            <w:vAlign w:val="center"/>
          </w:tcPr>
          <w:p>
            <w:pPr>
              <w:pStyle w:val="12"/>
            </w:pPr>
            <w:r>
              <w:t>185.61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2120106</w:t>
            </w:r>
          </w:p>
        </w:tc>
        <w:tc>
          <w:tcPr>
            <w:tcW w:w="4535" w:type="dxa"/>
            <w:vAlign w:val="center"/>
          </w:tcPr>
          <w:p>
            <w:pPr>
              <w:pStyle w:val="13"/>
            </w:pPr>
            <w:r>
              <w:t>工程建设管理</w:t>
            </w:r>
          </w:p>
        </w:tc>
        <w:tc>
          <w:tcPr>
            <w:tcW w:w="2551" w:type="dxa"/>
            <w:vAlign w:val="center"/>
          </w:tcPr>
          <w:p>
            <w:pPr>
              <w:pStyle w:val="12"/>
            </w:pPr>
            <w:r>
              <w:t>185.61</w:t>
            </w:r>
          </w:p>
        </w:tc>
        <w:tc>
          <w:tcPr>
            <w:tcW w:w="2551" w:type="dxa"/>
            <w:vAlign w:val="center"/>
          </w:tcPr>
          <w:p>
            <w:pPr>
              <w:pStyle w:val="12"/>
            </w:pPr>
          </w:p>
        </w:tc>
        <w:tc>
          <w:tcPr>
            <w:tcW w:w="2551" w:type="dxa"/>
            <w:vAlign w:val="center"/>
          </w:tcPr>
          <w:p>
            <w:pPr>
              <w:pStyle w:val="12"/>
            </w:pPr>
            <w:r>
              <w:t>185.61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eastAsia="方正书宋_GBK"/>
                <w:lang w:val="en-US" w:eastAsia="zh-CN"/>
              </w:rPr>
            </w:pPr>
            <w:r>
              <w:rPr>
                <w:rFonts w:hint="eastAsia"/>
                <w:lang w:val="en-US" w:eastAsia="zh-CN"/>
              </w:rPr>
              <w:t>1.25</w:t>
            </w:r>
          </w:p>
        </w:tc>
        <w:tc>
          <w:tcPr>
            <w:tcW w:w="2381" w:type="dxa"/>
            <w:vAlign w:val="center"/>
          </w:tcPr>
          <w:p>
            <w:pPr>
              <w:pStyle w:val="16"/>
              <w:rPr>
                <w:rFonts w:hint="default" w:eastAsia="方正书宋_GBK"/>
                <w:lang w:val="en-US" w:eastAsia="zh-CN"/>
              </w:rPr>
            </w:pPr>
            <w:r>
              <w:rPr>
                <w:rFonts w:hint="eastAsia"/>
                <w:lang w:val="en-US" w:eastAsia="zh-CN"/>
              </w:rPr>
              <w:t>1.25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1.25</w:t>
            </w:r>
          </w:p>
        </w:tc>
        <w:tc>
          <w:tcPr>
            <w:tcW w:w="2381" w:type="dxa"/>
            <w:vAlign w:val="center"/>
          </w:tcPr>
          <w:p>
            <w:pPr>
              <w:pStyle w:val="12"/>
            </w:pPr>
            <w:r>
              <w:t>1.25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r>
              <w:t>1.25</w:t>
            </w:r>
          </w:p>
        </w:tc>
        <w:tc>
          <w:tcPr>
            <w:tcW w:w="2381" w:type="dxa"/>
            <w:vAlign w:val="center"/>
          </w:tcPr>
          <w:p>
            <w:pPr>
              <w:pStyle w:val="12"/>
            </w:pPr>
            <w:r>
              <w:t>1.25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1.25</w:t>
            </w:r>
          </w:p>
        </w:tc>
        <w:tc>
          <w:tcPr>
            <w:tcW w:w="2381" w:type="dxa"/>
            <w:vAlign w:val="center"/>
          </w:tcPr>
          <w:p>
            <w:pPr>
              <w:pStyle w:val="12"/>
            </w:pPr>
            <w:r>
              <w:t>1.25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秦皇岛市北戴河区工程建设服务中心2022年单位预算信息公开情况说明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按照《预算法》、《地方预决算公开操作规程》和《关于进一步推进预算公开工作的实施意见》规定，现将秦皇岛市北戴河区工程建设服务中心2022年单位预算公开如下：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北戴河区工程建设管理中心主要负责我区城市规划区域外（北戴河村、朱庄村、苏庄村、蔡各庄村、谢李庄村、甘各庄村、古城村、西坨头村8个村）和北戴河区城市规划区域内由区政府财政投资的项目及北戴河区开发区工业项目的工程建设招投标、工程造价、墙体材料革新和建筑节能监督管理工作的职能。现将工作职能汇报如下：</w:t>
      </w:r>
    </w:p>
    <w:p>
      <w:pPr>
        <w:pStyle w:val="26"/>
      </w:pPr>
      <w:r>
        <w:t>1、组织贯彻实施有关工程建设招投标、工程造价、墙体材料革新和建筑节能管理的方针、政策和法规。</w:t>
      </w:r>
    </w:p>
    <w:p>
      <w:pPr>
        <w:pStyle w:val="26"/>
      </w:pPr>
      <w:r>
        <w:t>2、负责我区工程建设的招投标管理，工程建设的报建，监督招投标活动。</w:t>
      </w:r>
    </w:p>
    <w:p>
      <w:pPr>
        <w:pStyle w:val="26"/>
      </w:pPr>
      <w:r>
        <w:t>3、负责我区工程建设造价管理，工程建设概、预、结算审定，建筑材料价格的动态管理，协调、仲裁工程建设造价方面的争议和纠纷。协助市造价管理站管理我区工程建设概、预、结算人员和工程造价中介机构。</w:t>
      </w:r>
    </w:p>
    <w:p>
      <w:pPr>
        <w:pStyle w:val="26"/>
      </w:pPr>
      <w:r>
        <w:t>4、负责我区墙体材料革新和建筑节能监督管理，工程建设墙体材料革新和建筑节能的验收，对建筑工程新型墙体材料的使用、建筑节能的落实情况进行监督检查。</w:t>
      </w:r>
    </w:p>
    <w:p>
      <w:pPr>
        <w:pStyle w:val="26"/>
      </w:pPr>
      <w:r>
        <w:t>5、依法查处违反招标、造价、墙体材料革新和建筑节能管理有关法规的行为。</w:t>
      </w:r>
    </w:p>
    <w:p>
      <w:pPr>
        <w:pStyle w:val="26"/>
      </w:pPr>
      <w:r>
        <w:t>6、向有关部门提供我区工程建设招投标、造价、节能情况的报表。</w:t>
      </w:r>
    </w:p>
    <w:p>
      <w:pPr>
        <w:pStyle w:val="26"/>
      </w:pPr>
      <w:r>
        <w:t>7、协助市招标办、造价站、节能办，完成其他相关工作。</w:t>
      </w: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秦皇岛市北戴河区工程建设服务中心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区</w:t>
      </w:r>
      <w:r>
        <w:rPr>
          <w:rFonts w:eastAsia="方正仿宋_GBK"/>
          <w:color w:val="000000"/>
          <w:sz w:val="28"/>
        </w:rPr>
        <w:t>单位预算的编制实行综合预算管理，即全部收入和支出都反映在预算中。</w:t>
      </w:r>
    </w:p>
    <w:p>
      <w:pPr>
        <w:pStyle w:val="27"/>
      </w:pPr>
      <w:r>
        <w:t>1、收入说明</w:t>
      </w:r>
    </w:p>
    <w:p>
      <w:pPr>
        <w:pStyle w:val="27"/>
      </w:pPr>
      <w:r>
        <w:t>2022年预算收入为185.61万元，其中：一般公共预算收入185.61万元，基金预算收入0万元，财政专户核拨收入0万元，其他来源收入0万元。</w:t>
      </w:r>
    </w:p>
    <w:p>
      <w:pPr>
        <w:pStyle w:val="27"/>
      </w:pPr>
      <w:r>
        <w:t>2、支出说明</w:t>
      </w:r>
    </w:p>
    <w:p>
      <w:pPr>
        <w:pStyle w:val="27"/>
      </w:pPr>
      <w:r>
        <w:t>收支预算总表支出表、基本支出表、项目支出表按经济分类和支出功能分类科目编制，反映北戴河区年度部门预算中支出预算的总体情况。2022年预算支出为185.61万元，其中：基本支出0万元，主要是人员经费0万元和日常公用经费0万元；项目支出185.61万元，主要为列每个项目明细非全额事业单位定额补助15.12万元，非定额事业单位专项补助170.49万元。</w:t>
      </w:r>
    </w:p>
    <w:p>
      <w:pPr>
        <w:pStyle w:val="27"/>
      </w:pPr>
      <w:r>
        <w:t>3、比上年增减情况</w:t>
      </w:r>
    </w:p>
    <w:p>
      <w:pPr>
        <w:pStyle w:val="27"/>
        <w:rPr>
          <w:lang w:eastAsia="zh-CN"/>
        </w:rPr>
      </w:pPr>
      <w:r>
        <w:t>2022年预算支出安排185.61万元，较2021年预算减少7.68万元，原因为调出1人。我单位为自收自支事业单位，经费为项目拨款，无基本支出拨款，2022年预算安排全部为项目支出，2022年项目支出较2021年增加185.61万元，基本支出0万元。厉行节约，压缩经费，减少行政运行费用。</w:t>
      </w:r>
    </w:p>
    <w:p>
      <w:pPr>
        <w:pStyle w:val="27"/>
        <w:rPr>
          <w:lang w:eastAsia="zh-CN"/>
        </w:rPr>
      </w:pPr>
    </w:p>
    <w:p>
      <w:pPr>
        <w:spacing w:before="10" w:after="10"/>
        <w:ind w:firstLine="640"/>
        <w:outlineLvl w:val="5"/>
      </w:pPr>
      <w:r>
        <w:rPr>
          <w:rFonts w:ascii="黑体" w:hAnsi="黑体" w:eastAsia="黑体" w:cs="黑体"/>
          <w:color w:val="000000"/>
          <w:sz w:val="32"/>
        </w:rPr>
        <w:t>三、机关运行经费安排情况</w:t>
      </w:r>
    </w:p>
    <w:p>
      <w:pPr>
        <w:pStyle w:val="28"/>
      </w:pPr>
      <w:r>
        <w:t>机关运行经费共计安排0万元，主要原因为本单位本年日常公用经费全部为项目支出。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2022年，我部门财政拨款“三公”经费预算安排1.25万元，与上年持平，无增减变化。其中：因公出国（境）费0万元，与上年持平，无增减变化；公务用车购置及运行维护费1.25万元（其中：公务用车购置费为0万元，公务用车运行维护费1.25万元)，公务用车购置费与上年持平，无增减变化；公务用车运行维护费1.25万元，与上年相比，与上年持平，无增减变化，主要是厉行节约，压缩经费；公务接待费0万元，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1、非全额事业单位定额补助绩效目标表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1.1.做好经费保障工作，保障办公正常运转。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2835" w:type="dxa"/>
            <w:vAlign w:val="center"/>
          </w:tcPr>
          <w:p>
            <w:pPr>
              <w:pStyle w:val="13"/>
            </w:pPr>
            <w:r>
              <w:t>保障办公人数</w:t>
            </w:r>
          </w:p>
        </w:tc>
        <w:tc>
          <w:tcPr>
            <w:tcW w:w="2551" w:type="dxa"/>
            <w:vAlign w:val="center"/>
          </w:tcPr>
          <w:p>
            <w:pPr>
              <w:pStyle w:val="13"/>
            </w:pPr>
            <w:r>
              <w:t>≤15人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2835" w:type="dxa"/>
            <w:vAlign w:val="center"/>
          </w:tcPr>
          <w:p>
            <w:pPr>
              <w:pStyle w:val="13"/>
            </w:pPr>
            <w:r>
              <w:t>各项日常工作保障率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及时保障各项日常办公需要</w:t>
            </w:r>
          </w:p>
        </w:tc>
        <w:tc>
          <w:tcPr>
            <w:tcW w:w="2551" w:type="dxa"/>
            <w:vAlign w:val="center"/>
          </w:tcPr>
          <w:p>
            <w:pPr>
              <w:pStyle w:val="13"/>
            </w:pPr>
            <w:r>
              <w:t>及时保障</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2835" w:type="dxa"/>
            <w:vAlign w:val="center"/>
          </w:tcPr>
          <w:p>
            <w:pPr>
              <w:pStyle w:val="13"/>
            </w:pPr>
            <w:r>
              <w:t>办公费、水电费、交通费、会议费、工会经费、招待费及其他公用经费的支出</w:t>
            </w:r>
          </w:p>
        </w:tc>
        <w:tc>
          <w:tcPr>
            <w:tcW w:w="2551" w:type="dxa"/>
            <w:vAlign w:val="center"/>
          </w:tcPr>
          <w:p>
            <w:pPr>
              <w:pStyle w:val="13"/>
            </w:pPr>
            <w:r>
              <w:t>按统一规定执行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2835" w:type="dxa"/>
            <w:vAlign w:val="center"/>
          </w:tcPr>
          <w:p>
            <w:pPr>
              <w:pStyle w:val="13"/>
            </w:pPr>
            <w:r>
              <w:t>保障日常办公需要，维持单位正常运转</w:t>
            </w:r>
          </w:p>
        </w:tc>
        <w:tc>
          <w:tcPr>
            <w:tcW w:w="2551" w:type="dxa"/>
            <w:vAlign w:val="center"/>
          </w:tcPr>
          <w:p>
            <w:pPr>
              <w:pStyle w:val="13"/>
            </w:pPr>
            <w:r>
              <w:t>维持单位正常运转</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≥99%</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2、非全额事业单位专项补助绩效目标表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1.1.主要用于人员工资福利等支出，保障办公正常运转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2835" w:type="dxa"/>
            <w:vAlign w:val="center"/>
          </w:tcPr>
          <w:p>
            <w:pPr>
              <w:pStyle w:val="13"/>
            </w:pPr>
            <w:r>
              <w:t>保障人数</w:t>
            </w:r>
          </w:p>
        </w:tc>
        <w:tc>
          <w:tcPr>
            <w:tcW w:w="2551" w:type="dxa"/>
            <w:vAlign w:val="center"/>
          </w:tcPr>
          <w:p>
            <w:pPr>
              <w:pStyle w:val="13"/>
            </w:pPr>
            <w:r>
              <w:t>≤15人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2835" w:type="dxa"/>
            <w:vAlign w:val="center"/>
          </w:tcPr>
          <w:p>
            <w:pPr>
              <w:pStyle w:val="13"/>
            </w:pPr>
            <w:r>
              <w:t>工资福利等发放人员范围的精准性和发放数据的准确性</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2835" w:type="dxa"/>
            <w:vAlign w:val="center"/>
          </w:tcPr>
          <w:p>
            <w:pPr>
              <w:pStyle w:val="13"/>
            </w:pPr>
            <w:r>
              <w:t>工资福利等发放的时效情况</w:t>
            </w:r>
          </w:p>
        </w:tc>
        <w:tc>
          <w:tcPr>
            <w:tcW w:w="2551" w:type="dxa"/>
            <w:vAlign w:val="center"/>
          </w:tcPr>
          <w:p>
            <w:pPr>
              <w:pStyle w:val="13"/>
            </w:pPr>
            <w:r>
              <w:t>按规定时间发放</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2835" w:type="dxa"/>
            <w:vAlign w:val="center"/>
          </w:tcPr>
          <w:p>
            <w:pPr>
              <w:pStyle w:val="13"/>
            </w:pPr>
            <w:r>
              <w:t>工资（福利）、社会保障（公积金）等发放（缴纳）标准</w:t>
            </w:r>
          </w:p>
        </w:tc>
        <w:tc>
          <w:tcPr>
            <w:tcW w:w="2551" w:type="dxa"/>
            <w:vAlign w:val="center"/>
          </w:tcPr>
          <w:p>
            <w:pPr>
              <w:pStyle w:val="13"/>
            </w:pPr>
            <w:r>
              <w:t>按规定执行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2835" w:type="dxa"/>
            <w:vAlign w:val="center"/>
          </w:tcPr>
          <w:p>
            <w:pPr>
              <w:pStyle w:val="13"/>
            </w:pPr>
            <w:r>
              <w:t>通过按时按标准发放工资福利等，进一步增强干部职工得归属感，保持干部队伍相对稳定，保障办公正常运转</w:t>
            </w:r>
          </w:p>
        </w:tc>
        <w:tc>
          <w:tcPr>
            <w:tcW w:w="2551" w:type="dxa"/>
            <w:vAlign w:val="center"/>
          </w:tcPr>
          <w:p>
            <w:pPr>
              <w:pStyle w:val="13"/>
            </w:pPr>
            <w:r>
              <w:t>保持干部队伍相对稳定</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≥99%</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2022年，秦皇岛市北戴河区工程建设服务中心安排政府采购预算0.00万元。具体内容见下表。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秦皇岛市北戴河区工程建设服务中心上年末固定资产金额为62</w:t>
      </w:r>
      <w:r>
        <w:rPr>
          <w:rFonts w:hint="eastAsia" w:asciiTheme="minorEastAsia" w:hAnsiTheme="minorEastAsia" w:eastAsiaTheme="minorEastAsia"/>
          <w:color w:val="000000"/>
          <w:sz w:val="28"/>
          <w:lang w:eastAsia="zh-CN"/>
        </w:rPr>
        <w:t>.</w:t>
      </w:r>
      <w:r>
        <w:rPr>
          <w:rFonts w:eastAsia="方正仿宋_GBK"/>
          <w:color w:val="000000"/>
          <w:sz w:val="28"/>
        </w:rPr>
        <w:t>59</w:t>
      </w:r>
      <w:r>
        <w:rPr>
          <w:rFonts w:hint="eastAsia" w:eastAsiaTheme="minorEastAsia"/>
          <w:color w:val="000000"/>
          <w:sz w:val="28"/>
          <w:lang w:eastAsia="zh-CN"/>
        </w:rPr>
        <w:t>万</w:t>
      </w:r>
      <w:r>
        <w:rPr>
          <w:rFonts w:eastAsia="方正仿宋_GBK"/>
          <w:color w:val="000000"/>
          <w:sz w:val="28"/>
        </w:rPr>
        <w:t>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333004秦皇岛市北戴河区工程建设服务中心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w:t>
            </w:r>
            <w:r>
              <w:rPr>
                <w:rFonts w:hint="eastAsia" w:eastAsiaTheme="minor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eastAsia" w:eastAsiaTheme="minorEastAsia"/>
                <w:lang w:eastAsia="zh-CN"/>
              </w:rPr>
            </w:pPr>
            <w:r>
              <w:t>62</w:t>
            </w:r>
            <w:r>
              <w:rPr>
                <w:rFonts w:hint="eastAsia" w:eastAsiaTheme="minorEastAsia"/>
                <w:lang w:eastAsia="zh-CN"/>
              </w:rPr>
              <w:t>.</w:t>
            </w:r>
            <w:r>
              <w:t>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rPr>
                <w:rFonts w:hint="eastAsia" w:eastAsiaTheme="minorEastAsia"/>
                <w:lang w:eastAsia="zh-CN"/>
              </w:rPr>
            </w:pPr>
            <w:r>
              <w:t>27</w:t>
            </w:r>
            <w:r>
              <w:rPr>
                <w:rFonts w:hint="eastAsia" w:eastAsiaTheme="minorEastAsia"/>
                <w:lang w:eastAsia="zh-CN"/>
              </w:rPr>
              <w:t>.</w:t>
            </w:r>
            <w: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77</w:t>
            </w:r>
          </w:p>
        </w:tc>
        <w:tc>
          <w:tcPr>
            <w:tcW w:w="2835" w:type="dxa"/>
            <w:vAlign w:val="center"/>
          </w:tcPr>
          <w:p>
            <w:pPr>
              <w:pStyle w:val="12"/>
              <w:rPr>
                <w:rFonts w:hint="eastAsia" w:eastAsiaTheme="minorEastAsia"/>
                <w:lang w:eastAsia="zh-CN"/>
              </w:rPr>
            </w:pPr>
            <w:r>
              <w:t>35</w:t>
            </w:r>
            <w:r>
              <w:rPr>
                <w:rFonts w:hint="eastAsia" w:eastAsiaTheme="minorEastAsia"/>
                <w:lang w:eastAsia="zh-CN"/>
              </w:rPr>
              <w:t>.</w:t>
            </w:r>
            <w:r>
              <w:t>15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2"/>
      <w:r>
        <w:rPr>
          <w:rFonts w:ascii="方正小标宋_GBK" w:hAnsi="方正小标宋_GBK" w:eastAsia="方正小标宋_GBK" w:cs="方正小标宋_GBK"/>
          <w:color w:val="000000"/>
          <w:sz w:val="44"/>
        </w:rPr>
        <w:t>四、秦皇岛市北戴河区建设工程质量服务中心收支预算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261.23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180.01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261.23</w:t>
            </w:r>
          </w:p>
        </w:tc>
        <w:tc>
          <w:tcPr>
            <w:tcW w:w="4535" w:type="dxa"/>
            <w:vAlign w:val="center"/>
          </w:tcPr>
          <w:p>
            <w:pPr>
              <w:pStyle w:val="15"/>
            </w:pPr>
            <w:r>
              <w:t>本年支出合计</w:t>
            </w:r>
          </w:p>
        </w:tc>
        <w:tc>
          <w:tcPr>
            <w:tcW w:w="2126" w:type="dxa"/>
            <w:vAlign w:val="center"/>
          </w:tcPr>
          <w:p>
            <w:pPr>
              <w:pStyle w:val="16"/>
            </w:pPr>
            <w:r>
              <w:t>261.23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261.23</w:t>
            </w:r>
          </w:p>
        </w:tc>
        <w:tc>
          <w:tcPr>
            <w:tcW w:w="4535" w:type="dxa"/>
            <w:vAlign w:val="center"/>
          </w:tcPr>
          <w:p>
            <w:pPr>
              <w:pStyle w:val="15"/>
            </w:pPr>
            <w:r>
              <w:t>支出总计</w:t>
            </w:r>
          </w:p>
        </w:tc>
        <w:tc>
          <w:tcPr>
            <w:tcW w:w="2126" w:type="dxa"/>
            <w:vAlign w:val="center"/>
          </w:tcPr>
          <w:p>
            <w:pPr>
              <w:pStyle w:val="16"/>
            </w:pPr>
            <w:r>
              <w:t>261.23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261.23</w:t>
            </w:r>
          </w:p>
        </w:tc>
        <w:tc>
          <w:tcPr>
            <w:tcW w:w="1134" w:type="dxa"/>
            <w:vAlign w:val="center"/>
          </w:tcPr>
          <w:p>
            <w:pPr>
              <w:pStyle w:val="16"/>
            </w:pPr>
            <w:r>
              <w:t>261.23</w:t>
            </w:r>
          </w:p>
        </w:tc>
        <w:tc>
          <w:tcPr>
            <w:tcW w:w="1134" w:type="dxa"/>
            <w:vAlign w:val="center"/>
          </w:tcPr>
          <w:p>
            <w:pPr>
              <w:pStyle w:val="16"/>
            </w:pPr>
            <w:r>
              <w:t>261.23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35.42</w:t>
            </w:r>
          </w:p>
        </w:tc>
        <w:tc>
          <w:tcPr>
            <w:tcW w:w="1134" w:type="dxa"/>
            <w:vAlign w:val="center"/>
          </w:tcPr>
          <w:p>
            <w:pPr>
              <w:pStyle w:val="12"/>
            </w:pPr>
            <w:r>
              <w:t>35.42</w:t>
            </w:r>
          </w:p>
        </w:tc>
        <w:tc>
          <w:tcPr>
            <w:tcW w:w="1134" w:type="dxa"/>
            <w:vAlign w:val="center"/>
          </w:tcPr>
          <w:p>
            <w:pPr>
              <w:pStyle w:val="12"/>
            </w:pPr>
            <w:r>
              <w:t>35.42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35.42</w:t>
            </w:r>
          </w:p>
        </w:tc>
        <w:tc>
          <w:tcPr>
            <w:tcW w:w="1134" w:type="dxa"/>
            <w:vAlign w:val="center"/>
          </w:tcPr>
          <w:p>
            <w:pPr>
              <w:pStyle w:val="12"/>
            </w:pPr>
            <w:r>
              <w:t>35.42</w:t>
            </w:r>
          </w:p>
        </w:tc>
        <w:tc>
          <w:tcPr>
            <w:tcW w:w="1134" w:type="dxa"/>
            <w:vAlign w:val="center"/>
          </w:tcPr>
          <w:p>
            <w:pPr>
              <w:pStyle w:val="12"/>
            </w:pPr>
            <w:r>
              <w:t>35.42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12.62</w:t>
            </w:r>
          </w:p>
        </w:tc>
        <w:tc>
          <w:tcPr>
            <w:tcW w:w="1134" w:type="dxa"/>
            <w:vAlign w:val="center"/>
          </w:tcPr>
          <w:p>
            <w:pPr>
              <w:pStyle w:val="12"/>
            </w:pPr>
            <w:r>
              <w:t>12.62</w:t>
            </w:r>
          </w:p>
        </w:tc>
        <w:tc>
          <w:tcPr>
            <w:tcW w:w="1134" w:type="dxa"/>
            <w:vAlign w:val="center"/>
          </w:tcPr>
          <w:p>
            <w:pPr>
              <w:pStyle w:val="12"/>
            </w:pPr>
            <w:r>
              <w:t>12.62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22.80</w:t>
            </w:r>
          </w:p>
        </w:tc>
        <w:tc>
          <w:tcPr>
            <w:tcW w:w="1134" w:type="dxa"/>
            <w:vAlign w:val="center"/>
          </w:tcPr>
          <w:p>
            <w:pPr>
              <w:pStyle w:val="12"/>
            </w:pPr>
            <w:r>
              <w:t>22.80</w:t>
            </w:r>
          </w:p>
        </w:tc>
        <w:tc>
          <w:tcPr>
            <w:tcW w:w="1134" w:type="dxa"/>
            <w:vAlign w:val="center"/>
          </w:tcPr>
          <w:p>
            <w:pPr>
              <w:pStyle w:val="12"/>
            </w:pPr>
            <w:r>
              <w:t>22.80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28.60</w:t>
            </w:r>
          </w:p>
        </w:tc>
        <w:tc>
          <w:tcPr>
            <w:tcW w:w="1134" w:type="dxa"/>
            <w:vAlign w:val="center"/>
          </w:tcPr>
          <w:p>
            <w:pPr>
              <w:pStyle w:val="12"/>
            </w:pPr>
            <w:r>
              <w:t>28.60</w:t>
            </w:r>
          </w:p>
        </w:tc>
        <w:tc>
          <w:tcPr>
            <w:tcW w:w="1134" w:type="dxa"/>
            <w:vAlign w:val="center"/>
          </w:tcPr>
          <w:p>
            <w:pPr>
              <w:pStyle w:val="12"/>
            </w:pPr>
            <w:r>
              <w:t>28.60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28.60</w:t>
            </w:r>
          </w:p>
        </w:tc>
        <w:tc>
          <w:tcPr>
            <w:tcW w:w="1134" w:type="dxa"/>
            <w:vAlign w:val="center"/>
          </w:tcPr>
          <w:p>
            <w:pPr>
              <w:pStyle w:val="12"/>
            </w:pPr>
            <w:r>
              <w:t>28.60</w:t>
            </w:r>
          </w:p>
        </w:tc>
        <w:tc>
          <w:tcPr>
            <w:tcW w:w="1134" w:type="dxa"/>
            <w:vAlign w:val="center"/>
          </w:tcPr>
          <w:p>
            <w:pPr>
              <w:pStyle w:val="12"/>
            </w:pPr>
            <w:r>
              <w:t>28.60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11.20</w:t>
            </w:r>
          </w:p>
        </w:tc>
        <w:tc>
          <w:tcPr>
            <w:tcW w:w="1134" w:type="dxa"/>
            <w:vAlign w:val="center"/>
          </w:tcPr>
          <w:p>
            <w:pPr>
              <w:pStyle w:val="12"/>
            </w:pPr>
            <w:r>
              <w:t>11.20</w:t>
            </w:r>
          </w:p>
        </w:tc>
        <w:tc>
          <w:tcPr>
            <w:tcW w:w="1134" w:type="dxa"/>
            <w:vAlign w:val="center"/>
          </w:tcPr>
          <w:p>
            <w:pPr>
              <w:pStyle w:val="12"/>
            </w:pPr>
            <w:r>
              <w:t>11.20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17.40</w:t>
            </w:r>
          </w:p>
        </w:tc>
        <w:tc>
          <w:tcPr>
            <w:tcW w:w="1134" w:type="dxa"/>
            <w:vAlign w:val="center"/>
          </w:tcPr>
          <w:p>
            <w:pPr>
              <w:pStyle w:val="12"/>
            </w:pPr>
            <w:r>
              <w:t>17.40</w:t>
            </w:r>
          </w:p>
        </w:tc>
        <w:tc>
          <w:tcPr>
            <w:tcW w:w="1134" w:type="dxa"/>
            <w:vAlign w:val="center"/>
          </w:tcPr>
          <w:p>
            <w:pPr>
              <w:pStyle w:val="12"/>
            </w:pPr>
            <w:r>
              <w:t>17.40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180.01</w:t>
            </w:r>
          </w:p>
        </w:tc>
        <w:tc>
          <w:tcPr>
            <w:tcW w:w="1134" w:type="dxa"/>
            <w:vAlign w:val="center"/>
          </w:tcPr>
          <w:p>
            <w:pPr>
              <w:pStyle w:val="12"/>
            </w:pPr>
            <w:r>
              <w:t>180.01</w:t>
            </w:r>
          </w:p>
        </w:tc>
        <w:tc>
          <w:tcPr>
            <w:tcW w:w="1134" w:type="dxa"/>
            <w:vAlign w:val="center"/>
          </w:tcPr>
          <w:p>
            <w:pPr>
              <w:pStyle w:val="12"/>
            </w:pPr>
            <w:r>
              <w:t>180.01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21206</w:t>
            </w:r>
          </w:p>
        </w:tc>
        <w:tc>
          <w:tcPr>
            <w:tcW w:w="1559" w:type="dxa"/>
            <w:vAlign w:val="center"/>
          </w:tcPr>
          <w:p>
            <w:pPr>
              <w:pStyle w:val="13"/>
            </w:pPr>
            <w:r>
              <w:t>建设市场管理与监督</w:t>
            </w:r>
          </w:p>
        </w:tc>
        <w:tc>
          <w:tcPr>
            <w:tcW w:w="1134" w:type="dxa"/>
            <w:vAlign w:val="center"/>
          </w:tcPr>
          <w:p>
            <w:pPr>
              <w:pStyle w:val="12"/>
            </w:pPr>
            <w:r>
              <w:t>180.01</w:t>
            </w:r>
          </w:p>
        </w:tc>
        <w:tc>
          <w:tcPr>
            <w:tcW w:w="1134" w:type="dxa"/>
            <w:vAlign w:val="center"/>
          </w:tcPr>
          <w:p>
            <w:pPr>
              <w:pStyle w:val="12"/>
            </w:pPr>
            <w:r>
              <w:t>180.01</w:t>
            </w:r>
          </w:p>
        </w:tc>
        <w:tc>
          <w:tcPr>
            <w:tcW w:w="1134" w:type="dxa"/>
            <w:vAlign w:val="center"/>
          </w:tcPr>
          <w:p>
            <w:pPr>
              <w:pStyle w:val="12"/>
            </w:pPr>
            <w:r>
              <w:t>180.01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2120601</w:t>
            </w:r>
          </w:p>
        </w:tc>
        <w:tc>
          <w:tcPr>
            <w:tcW w:w="1559" w:type="dxa"/>
            <w:vAlign w:val="center"/>
          </w:tcPr>
          <w:p>
            <w:pPr>
              <w:pStyle w:val="13"/>
            </w:pPr>
            <w:r>
              <w:t>建设市场管理与监督</w:t>
            </w:r>
          </w:p>
        </w:tc>
        <w:tc>
          <w:tcPr>
            <w:tcW w:w="1134" w:type="dxa"/>
            <w:vAlign w:val="center"/>
          </w:tcPr>
          <w:p>
            <w:pPr>
              <w:pStyle w:val="12"/>
            </w:pPr>
            <w:r>
              <w:t>180.01</w:t>
            </w:r>
          </w:p>
        </w:tc>
        <w:tc>
          <w:tcPr>
            <w:tcW w:w="1134" w:type="dxa"/>
            <w:vAlign w:val="center"/>
          </w:tcPr>
          <w:p>
            <w:pPr>
              <w:pStyle w:val="12"/>
            </w:pPr>
            <w:r>
              <w:t>180.01</w:t>
            </w:r>
          </w:p>
        </w:tc>
        <w:tc>
          <w:tcPr>
            <w:tcW w:w="1134" w:type="dxa"/>
            <w:vAlign w:val="center"/>
          </w:tcPr>
          <w:p>
            <w:pPr>
              <w:pStyle w:val="12"/>
            </w:pPr>
            <w:r>
              <w:t>180.01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r>
              <w:t>17.20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261.23</w:t>
            </w:r>
          </w:p>
        </w:tc>
        <w:tc>
          <w:tcPr>
            <w:tcW w:w="1361" w:type="dxa"/>
            <w:vAlign w:val="center"/>
          </w:tcPr>
          <w:p>
            <w:pPr>
              <w:pStyle w:val="16"/>
            </w:pPr>
          </w:p>
        </w:tc>
        <w:tc>
          <w:tcPr>
            <w:tcW w:w="1361" w:type="dxa"/>
            <w:vAlign w:val="center"/>
          </w:tcPr>
          <w:p>
            <w:pPr>
              <w:pStyle w:val="16"/>
            </w:pPr>
            <w:r>
              <w:t>261.23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35.42</w:t>
            </w:r>
          </w:p>
        </w:tc>
        <w:tc>
          <w:tcPr>
            <w:tcW w:w="1361" w:type="dxa"/>
            <w:vAlign w:val="center"/>
          </w:tcPr>
          <w:p>
            <w:pPr>
              <w:pStyle w:val="12"/>
            </w:pPr>
          </w:p>
        </w:tc>
        <w:tc>
          <w:tcPr>
            <w:tcW w:w="1361" w:type="dxa"/>
            <w:vAlign w:val="center"/>
          </w:tcPr>
          <w:p>
            <w:pPr>
              <w:pStyle w:val="12"/>
            </w:pPr>
            <w:r>
              <w:t>35.42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35.42</w:t>
            </w:r>
          </w:p>
        </w:tc>
        <w:tc>
          <w:tcPr>
            <w:tcW w:w="1361" w:type="dxa"/>
            <w:vAlign w:val="center"/>
          </w:tcPr>
          <w:p>
            <w:pPr>
              <w:pStyle w:val="12"/>
            </w:pPr>
          </w:p>
        </w:tc>
        <w:tc>
          <w:tcPr>
            <w:tcW w:w="1361" w:type="dxa"/>
            <w:vAlign w:val="center"/>
          </w:tcPr>
          <w:p>
            <w:pPr>
              <w:pStyle w:val="12"/>
            </w:pPr>
            <w:r>
              <w:t>35.42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12.62</w:t>
            </w:r>
          </w:p>
        </w:tc>
        <w:tc>
          <w:tcPr>
            <w:tcW w:w="1361" w:type="dxa"/>
            <w:vAlign w:val="center"/>
          </w:tcPr>
          <w:p>
            <w:pPr>
              <w:pStyle w:val="12"/>
            </w:pPr>
          </w:p>
        </w:tc>
        <w:tc>
          <w:tcPr>
            <w:tcW w:w="1361" w:type="dxa"/>
            <w:vAlign w:val="center"/>
          </w:tcPr>
          <w:p>
            <w:pPr>
              <w:pStyle w:val="12"/>
            </w:pPr>
            <w:r>
              <w:t>12.62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28.60</w:t>
            </w:r>
          </w:p>
        </w:tc>
        <w:tc>
          <w:tcPr>
            <w:tcW w:w="1361" w:type="dxa"/>
            <w:vAlign w:val="center"/>
          </w:tcPr>
          <w:p>
            <w:pPr>
              <w:pStyle w:val="12"/>
            </w:pPr>
          </w:p>
        </w:tc>
        <w:tc>
          <w:tcPr>
            <w:tcW w:w="1361" w:type="dxa"/>
            <w:vAlign w:val="center"/>
          </w:tcPr>
          <w:p>
            <w:pPr>
              <w:pStyle w:val="12"/>
            </w:pPr>
            <w:r>
              <w:t>28.60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28.60</w:t>
            </w:r>
          </w:p>
        </w:tc>
        <w:tc>
          <w:tcPr>
            <w:tcW w:w="1361" w:type="dxa"/>
            <w:vAlign w:val="center"/>
          </w:tcPr>
          <w:p>
            <w:pPr>
              <w:pStyle w:val="12"/>
            </w:pPr>
          </w:p>
        </w:tc>
        <w:tc>
          <w:tcPr>
            <w:tcW w:w="1361" w:type="dxa"/>
            <w:vAlign w:val="center"/>
          </w:tcPr>
          <w:p>
            <w:pPr>
              <w:pStyle w:val="12"/>
            </w:pPr>
            <w:r>
              <w:t>28.60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11.20</w:t>
            </w:r>
          </w:p>
        </w:tc>
        <w:tc>
          <w:tcPr>
            <w:tcW w:w="1361" w:type="dxa"/>
            <w:vAlign w:val="center"/>
          </w:tcPr>
          <w:p>
            <w:pPr>
              <w:pStyle w:val="12"/>
            </w:pPr>
          </w:p>
        </w:tc>
        <w:tc>
          <w:tcPr>
            <w:tcW w:w="1361" w:type="dxa"/>
            <w:vAlign w:val="center"/>
          </w:tcPr>
          <w:p>
            <w:pPr>
              <w:pStyle w:val="12"/>
            </w:pPr>
            <w:r>
              <w:t>11.20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17.40</w:t>
            </w:r>
          </w:p>
        </w:tc>
        <w:tc>
          <w:tcPr>
            <w:tcW w:w="1361" w:type="dxa"/>
            <w:vAlign w:val="center"/>
          </w:tcPr>
          <w:p>
            <w:pPr>
              <w:pStyle w:val="12"/>
            </w:pPr>
          </w:p>
        </w:tc>
        <w:tc>
          <w:tcPr>
            <w:tcW w:w="1361" w:type="dxa"/>
            <w:vAlign w:val="center"/>
          </w:tcPr>
          <w:p>
            <w:pPr>
              <w:pStyle w:val="12"/>
            </w:pPr>
            <w:r>
              <w:t>17.40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180.01</w:t>
            </w:r>
          </w:p>
        </w:tc>
        <w:tc>
          <w:tcPr>
            <w:tcW w:w="1361" w:type="dxa"/>
            <w:vAlign w:val="center"/>
          </w:tcPr>
          <w:p>
            <w:pPr>
              <w:pStyle w:val="12"/>
            </w:pPr>
          </w:p>
        </w:tc>
        <w:tc>
          <w:tcPr>
            <w:tcW w:w="1361" w:type="dxa"/>
            <w:vAlign w:val="center"/>
          </w:tcPr>
          <w:p>
            <w:pPr>
              <w:pStyle w:val="12"/>
            </w:pPr>
            <w:r>
              <w:t>180.01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21206</w:t>
            </w:r>
          </w:p>
        </w:tc>
        <w:tc>
          <w:tcPr>
            <w:tcW w:w="4535" w:type="dxa"/>
            <w:vAlign w:val="center"/>
          </w:tcPr>
          <w:p>
            <w:pPr>
              <w:pStyle w:val="13"/>
            </w:pPr>
            <w:r>
              <w:t>建设市场管理与监督</w:t>
            </w:r>
          </w:p>
        </w:tc>
        <w:tc>
          <w:tcPr>
            <w:tcW w:w="1361" w:type="dxa"/>
            <w:vAlign w:val="center"/>
          </w:tcPr>
          <w:p>
            <w:pPr>
              <w:pStyle w:val="12"/>
            </w:pPr>
            <w:r>
              <w:t>180.01</w:t>
            </w:r>
          </w:p>
        </w:tc>
        <w:tc>
          <w:tcPr>
            <w:tcW w:w="1361" w:type="dxa"/>
            <w:vAlign w:val="center"/>
          </w:tcPr>
          <w:p>
            <w:pPr>
              <w:pStyle w:val="12"/>
            </w:pPr>
          </w:p>
        </w:tc>
        <w:tc>
          <w:tcPr>
            <w:tcW w:w="1361" w:type="dxa"/>
            <w:vAlign w:val="center"/>
          </w:tcPr>
          <w:p>
            <w:pPr>
              <w:pStyle w:val="12"/>
            </w:pPr>
            <w:r>
              <w:t>180.01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2120601</w:t>
            </w:r>
          </w:p>
        </w:tc>
        <w:tc>
          <w:tcPr>
            <w:tcW w:w="4535" w:type="dxa"/>
            <w:vAlign w:val="center"/>
          </w:tcPr>
          <w:p>
            <w:pPr>
              <w:pStyle w:val="13"/>
            </w:pPr>
            <w:r>
              <w:t>建设市场管理与监督</w:t>
            </w:r>
          </w:p>
        </w:tc>
        <w:tc>
          <w:tcPr>
            <w:tcW w:w="1361" w:type="dxa"/>
            <w:vAlign w:val="center"/>
          </w:tcPr>
          <w:p>
            <w:pPr>
              <w:pStyle w:val="12"/>
            </w:pPr>
            <w:r>
              <w:t>180.01</w:t>
            </w:r>
          </w:p>
        </w:tc>
        <w:tc>
          <w:tcPr>
            <w:tcW w:w="1361" w:type="dxa"/>
            <w:vAlign w:val="center"/>
          </w:tcPr>
          <w:p>
            <w:pPr>
              <w:pStyle w:val="12"/>
            </w:pPr>
          </w:p>
        </w:tc>
        <w:tc>
          <w:tcPr>
            <w:tcW w:w="1361" w:type="dxa"/>
            <w:vAlign w:val="center"/>
          </w:tcPr>
          <w:p>
            <w:pPr>
              <w:pStyle w:val="12"/>
            </w:pPr>
            <w:r>
              <w:t>180.01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r>
              <w:t>17.20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261.23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35.42</w:t>
            </w:r>
          </w:p>
        </w:tc>
        <w:tc>
          <w:tcPr>
            <w:tcW w:w="1474" w:type="dxa"/>
            <w:vAlign w:val="center"/>
          </w:tcPr>
          <w:p>
            <w:pPr>
              <w:pStyle w:val="12"/>
            </w:pPr>
            <w:r>
              <w:t>35.42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28.60</w:t>
            </w:r>
          </w:p>
        </w:tc>
        <w:tc>
          <w:tcPr>
            <w:tcW w:w="1474" w:type="dxa"/>
            <w:vAlign w:val="center"/>
          </w:tcPr>
          <w:p>
            <w:pPr>
              <w:pStyle w:val="12"/>
            </w:pPr>
            <w:r>
              <w:t>28.60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180.01</w:t>
            </w:r>
          </w:p>
        </w:tc>
        <w:tc>
          <w:tcPr>
            <w:tcW w:w="1474" w:type="dxa"/>
            <w:vAlign w:val="center"/>
          </w:tcPr>
          <w:p>
            <w:pPr>
              <w:pStyle w:val="12"/>
            </w:pPr>
            <w:r>
              <w:t>180.01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17.20</w:t>
            </w:r>
          </w:p>
        </w:tc>
        <w:tc>
          <w:tcPr>
            <w:tcW w:w="1474" w:type="dxa"/>
            <w:vAlign w:val="center"/>
          </w:tcPr>
          <w:p>
            <w:pPr>
              <w:pStyle w:val="12"/>
            </w:pPr>
            <w:r>
              <w:t>17.20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261.23</w:t>
            </w:r>
          </w:p>
        </w:tc>
        <w:tc>
          <w:tcPr>
            <w:tcW w:w="3402" w:type="dxa"/>
            <w:vAlign w:val="center"/>
          </w:tcPr>
          <w:p>
            <w:pPr>
              <w:pStyle w:val="15"/>
            </w:pPr>
            <w:r>
              <w:t>本年支出合计</w:t>
            </w:r>
          </w:p>
        </w:tc>
        <w:tc>
          <w:tcPr>
            <w:tcW w:w="1474" w:type="dxa"/>
            <w:vAlign w:val="center"/>
          </w:tcPr>
          <w:p>
            <w:pPr>
              <w:pStyle w:val="16"/>
            </w:pPr>
            <w:r>
              <w:t>261.23</w:t>
            </w:r>
          </w:p>
        </w:tc>
        <w:tc>
          <w:tcPr>
            <w:tcW w:w="1474" w:type="dxa"/>
            <w:vAlign w:val="center"/>
          </w:tcPr>
          <w:p>
            <w:pPr>
              <w:pStyle w:val="16"/>
            </w:pPr>
            <w:r>
              <w:t>261.23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261.23</w:t>
            </w:r>
          </w:p>
        </w:tc>
        <w:tc>
          <w:tcPr>
            <w:tcW w:w="3402" w:type="dxa"/>
            <w:vAlign w:val="center"/>
          </w:tcPr>
          <w:p>
            <w:pPr>
              <w:pStyle w:val="15"/>
            </w:pPr>
            <w:r>
              <w:t>支出总计</w:t>
            </w:r>
          </w:p>
        </w:tc>
        <w:tc>
          <w:tcPr>
            <w:tcW w:w="1474" w:type="dxa"/>
            <w:vAlign w:val="center"/>
          </w:tcPr>
          <w:p>
            <w:pPr>
              <w:pStyle w:val="16"/>
            </w:pPr>
            <w:r>
              <w:t>261.23</w:t>
            </w:r>
          </w:p>
        </w:tc>
        <w:tc>
          <w:tcPr>
            <w:tcW w:w="1474" w:type="dxa"/>
            <w:vAlign w:val="center"/>
          </w:tcPr>
          <w:p>
            <w:pPr>
              <w:pStyle w:val="16"/>
            </w:pPr>
            <w:r>
              <w:t>261.23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261.23</w:t>
            </w:r>
          </w:p>
        </w:tc>
        <w:tc>
          <w:tcPr>
            <w:tcW w:w="2551" w:type="dxa"/>
            <w:vAlign w:val="center"/>
          </w:tcPr>
          <w:p>
            <w:pPr>
              <w:pStyle w:val="16"/>
            </w:pPr>
          </w:p>
        </w:tc>
        <w:tc>
          <w:tcPr>
            <w:tcW w:w="2551" w:type="dxa"/>
            <w:vAlign w:val="center"/>
          </w:tcPr>
          <w:p>
            <w:pPr>
              <w:pStyle w:val="16"/>
            </w:pPr>
            <w:r>
              <w:t>261.23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35.42</w:t>
            </w:r>
          </w:p>
        </w:tc>
        <w:tc>
          <w:tcPr>
            <w:tcW w:w="2551" w:type="dxa"/>
            <w:vAlign w:val="center"/>
          </w:tcPr>
          <w:p>
            <w:pPr>
              <w:pStyle w:val="12"/>
            </w:pPr>
          </w:p>
        </w:tc>
        <w:tc>
          <w:tcPr>
            <w:tcW w:w="2551" w:type="dxa"/>
            <w:vAlign w:val="center"/>
          </w:tcPr>
          <w:p>
            <w:pPr>
              <w:pStyle w:val="12"/>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35.42</w:t>
            </w:r>
          </w:p>
        </w:tc>
        <w:tc>
          <w:tcPr>
            <w:tcW w:w="2551" w:type="dxa"/>
            <w:vAlign w:val="center"/>
          </w:tcPr>
          <w:p>
            <w:pPr>
              <w:pStyle w:val="12"/>
            </w:pPr>
          </w:p>
        </w:tc>
        <w:tc>
          <w:tcPr>
            <w:tcW w:w="2551" w:type="dxa"/>
            <w:vAlign w:val="center"/>
          </w:tcPr>
          <w:p>
            <w:pPr>
              <w:pStyle w:val="12"/>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12.62</w:t>
            </w:r>
          </w:p>
        </w:tc>
        <w:tc>
          <w:tcPr>
            <w:tcW w:w="2551" w:type="dxa"/>
            <w:vAlign w:val="center"/>
          </w:tcPr>
          <w:p>
            <w:pPr>
              <w:pStyle w:val="12"/>
            </w:pPr>
          </w:p>
        </w:tc>
        <w:tc>
          <w:tcPr>
            <w:tcW w:w="2551" w:type="dxa"/>
            <w:vAlign w:val="center"/>
          </w:tcPr>
          <w:p>
            <w:pPr>
              <w:pStyle w:val="12"/>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22.80</w:t>
            </w:r>
          </w:p>
        </w:tc>
        <w:tc>
          <w:tcPr>
            <w:tcW w:w="2551" w:type="dxa"/>
            <w:vAlign w:val="center"/>
          </w:tcPr>
          <w:p>
            <w:pPr>
              <w:pStyle w:val="12"/>
            </w:pPr>
          </w:p>
        </w:tc>
        <w:tc>
          <w:tcPr>
            <w:tcW w:w="2551" w:type="dxa"/>
            <w:vAlign w:val="center"/>
          </w:tcPr>
          <w:p>
            <w:pPr>
              <w:pStyle w:val="12"/>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28.60</w:t>
            </w:r>
          </w:p>
        </w:tc>
        <w:tc>
          <w:tcPr>
            <w:tcW w:w="2551" w:type="dxa"/>
            <w:vAlign w:val="center"/>
          </w:tcPr>
          <w:p>
            <w:pPr>
              <w:pStyle w:val="12"/>
            </w:pPr>
          </w:p>
        </w:tc>
        <w:tc>
          <w:tcPr>
            <w:tcW w:w="2551" w:type="dxa"/>
            <w:vAlign w:val="center"/>
          </w:tcPr>
          <w:p>
            <w:pPr>
              <w:pStyle w:val="12"/>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28.60</w:t>
            </w:r>
          </w:p>
        </w:tc>
        <w:tc>
          <w:tcPr>
            <w:tcW w:w="2551" w:type="dxa"/>
            <w:vAlign w:val="center"/>
          </w:tcPr>
          <w:p>
            <w:pPr>
              <w:pStyle w:val="12"/>
            </w:pPr>
          </w:p>
        </w:tc>
        <w:tc>
          <w:tcPr>
            <w:tcW w:w="2551" w:type="dxa"/>
            <w:vAlign w:val="center"/>
          </w:tcPr>
          <w:p>
            <w:pPr>
              <w:pStyle w:val="12"/>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11.20</w:t>
            </w:r>
          </w:p>
        </w:tc>
        <w:tc>
          <w:tcPr>
            <w:tcW w:w="2551" w:type="dxa"/>
            <w:vAlign w:val="center"/>
          </w:tcPr>
          <w:p>
            <w:pPr>
              <w:pStyle w:val="12"/>
            </w:pPr>
          </w:p>
        </w:tc>
        <w:tc>
          <w:tcPr>
            <w:tcW w:w="2551" w:type="dxa"/>
            <w:vAlign w:val="center"/>
          </w:tcPr>
          <w:p>
            <w:pPr>
              <w:pStyle w:val="12"/>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17.40</w:t>
            </w:r>
          </w:p>
        </w:tc>
        <w:tc>
          <w:tcPr>
            <w:tcW w:w="2551" w:type="dxa"/>
            <w:vAlign w:val="center"/>
          </w:tcPr>
          <w:p>
            <w:pPr>
              <w:pStyle w:val="12"/>
            </w:pPr>
          </w:p>
        </w:tc>
        <w:tc>
          <w:tcPr>
            <w:tcW w:w="2551" w:type="dxa"/>
            <w:vAlign w:val="center"/>
          </w:tcPr>
          <w:p>
            <w:pPr>
              <w:pStyle w:val="12"/>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180.01</w:t>
            </w:r>
          </w:p>
        </w:tc>
        <w:tc>
          <w:tcPr>
            <w:tcW w:w="2551" w:type="dxa"/>
            <w:vAlign w:val="center"/>
          </w:tcPr>
          <w:p>
            <w:pPr>
              <w:pStyle w:val="12"/>
            </w:pPr>
          </w:p>
        </w:tc>
        <w:tc>
          <w:tcPr>
            <w:tcW w:w="2551" w:type="dxa"/>
            <w:vAlign w:val="center"/>
          </w:tcPr>
          <w:p>
            <w:pPr>
              <w:pStyle w:val="12"/>
            </w:pPr>
            <w:r>
              <w:t>180.01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21206</w:t>
            </w:r>
          </w:p>
        </w:tc>
        <w:tc>
          <w:tcPr>
            <w:tcW w:w="4535" w:type="dxa"/>
            <w:vAlign w:val="center"/>
          </w:tcPr>
          <w:p>
            <w:pPr>
              <w:pStyle w:val="13"/>
            </w:pPr>
            <w:r>
              <w:t>建设市场管理与监督</w:t>
            </w:r>
          </w:p>
        </w:tc>
        <w:tc>
          <w:tcPr>
            <w:tcW w:w="2551" w:type="dxa"/>
            <w:vAlign w:val="center"/>
          </w:tcPr>
          <w:p>
            <w:pPr>
              <w:pStyle w:val="12"/>
            </w:pPr>
            <w:r>
              <w:t>180.01</w:t>
            </w:r>
          </w:p>
        </w:tc>
        <w:tc>
          <w:tcPr>
            <w:tcW w:w="2551" w:type="dxa"/>
            <w:vAlign w:val="center"/>
          </w:tcPr>
          <w:p>
            <w:pPr>
              <w:pStyle w:val="12"/>
            </w:pPr>
          </w:p>
        </w:tc>
        <w:tc>
          <w:tcPr>
            <w:tcW w:w="2551" w:type="dxa"/>
            <w:vAlign w:val="center"/>
          </w:tcPr>
          <w:p>
            <w:pPr>
              <w:pStyle w:val="12"/>
            </w:pPr>
            <w:r>
              <w:t>180.01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2120601</w:t>
            </w:r>
          </w:p>
        </w:tc>
        <w:tc>
          <w:tcPr>
            <w:tcW w:w="4535" w:type="dxa"/>
            <w:vAlign w:val="center"/>
          </w:tcPr>
          <w:p>
            <w:pPr>
              <w:pStyle w:val="13"/>
            </w:pPr>
            <w:r>
              <w:t>建设市场管理与监督</w:t>
            </w:r>
          </w:p>
        </w:tc>
        <w:tc>
          <w:tcPr>
            <w:tcW w:w="2551" w:type="dxa"/>
            <w:vAlign w:val="center"/>
          </w:tcPr>
          <w:p>
            <w:pPr>
              <w:pStyle w:val="12"/>
            </w:pPr>
            <w:r>
              <w:t>180.01</w:t>
            </w:r>
          </w:p>
        </w:tc>
        <w:tc>
          <w:tcPr>
            <w:tcW w:w="2551" w:type="dxa"/>
            <w:vAlign w:val="center"/>
          </w:tcPr>
          <w:p>
            <w:pPr>
              <w:pStyle w:val="12"/>
            </w:pPr>
          </w:p>
        </w:tc>
        <w:tc>
          <w:tcPr>
            <w:tcW w:w="2551" w:type="dxa"/>
            <w:vAlign w:val="center"/>
          </w:tcPr>
          <w:p>
            <w:pPr>
              <w:pStyle w:val="12"/>
            </w:pPr>
            <w:r>
              <w:t>180.01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17.20</w:t>
            </w:r>
          </w:p>
        </w:tc>
        <w:tc>
          <w:tcPr>
            <w:tcW w:w="2551" w:type="dxa"/>
            <w:vAlign w:val="center"/>
          </w:tcPr>
          <w:p>
            <w:pPr>
              <w:pStyle w:val="12"/>
            </w:pPr>
          </w:p>
        </w:tc>
        <w:tc>
          <w:tcPr>
            <w:tcW w:w="2551" w:type="dxa"/>
            <w:vAlign w:val="center"/>
          </w:tcPr>
          <w:p>
            <w:pPr>
              <w:pStyle w:val="12"/>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17.20</w:t>
            </w:r>
          </w:p>
        </w:tc>
        <w:tc>
          <w:tcPr>
            <w:tcW w:w="2551" w:type="dxa"/>
            <w:vAlign w:val="center"/>
          </w:tcPr>
          <w:p>
            <w:pPr>
              <w:pStyle w:val="12"/>
            </w:pPr>
          </w:p>
        </w:tc>
        <w:tc>
          <w:tcPr>
            <w:tcW w:w="2551" w:type="dxa"/>
            <w:vAlign w:val="center"/>
          </w:tcPr>
          <w:p>
            <w:pPr>
              <w:pStyle w:val="12"/>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17.20</w:t>
            </w:r>
          </w:p>
        </w:tc>
        <w:tc>
          <w:tcPr>
            <w:tcW w:w="2551" w:type="dxa"/>
            <w:vAlign w:val="center"/>
          </w:tcPr>
          <w:p>
            <w:pPr>
              <w:pStyle w:val="12"/>
            </w:pPr>
          </w:p>
        </w:tc>
        <w:tc>
          <w:tcPr>
            <w:tcW w:w="2551" w:type="dxa"/>
            <w:vAlign w:val="center"/>
          </w:tcPr>
          <w:p>
            <w:pPr>
              <w:pStyle w:val="12"/>
            </w:pPr>
            <w:r>
              <w:t>17.20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eastAsia="方正书宋_GBK"/>
                <w:lang w:val="en-US" w:eastAsia="zh-CN"/>
              </w:rPr>
            </w:pPr>
            <w:r>
              <w:rPr>
                <w:rFonts w:hint="eastAsia"/>
                <w:lang w:val="en-US" w:eastAsia="zh-CN"/>
              </w:rPr>
              <w:t>1.25</w:t>
            </w:r>
          </w:p>
        </w:tc>
        <w:tc>
          <w:tcPr>
            <w:tcW w:w="2381" w:type="dxa"/>
            <w:vAlign w:val="center"/>
          </w:tcPr>
          <w:p>
            <w:pPr>
              <w:pStyle w:val="16"/>
              <w:rPr>
                <w:rFonts w:hint="default" w:eastAsia="方正书宋_GBK"/>
                <w:lang w:val="en-US" w:eastAsia="zh-CN"/>
              </w:rPr>
            </w:pPr>
            <w:r>
              <w:rPr>
                <w:rFonts w:hint="eastAsia"/>
                <w:lang w:val="en-US" w:eastAsia="zh-CN"/>
              </w:rPr>
              <w:t>1.25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1.25</w:t>
            </w:r>
          </w:p>
        </w:tc>
        <w:tc>
          <w:tcPr>
            <w:tcW w:w="2381" w:type="dxa"/>
            <w:vAlign w:val="center"/>
          </w:tcPr>
          <w:p>
            <w:pPr>
              <w:pStyle w:val="12"/>
            </w:pPr>
            <w:r>
              <w:t>1.25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r>
              <w:t>1.25</w:t>
            </w:r>
          </w:p>
        </w:tc>
        <w:tc>
          <w:tcPr>
            <w:tcW w:w="2381" w:type="dxa"/>
            <w:vAlign w:val="center"/>
          </w:tcPr>
          <w:p>
            <w:pPr>
              <w:pStyle w:val="12"/>
            </w:pPr>
            <w:r>
              <w:t>1.25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1.25</w:t>
            </w:r>
          </w:p>
        </w:tc>
        <w:tc>
          <w:tcPr>
            <w:tcW w:w="2381" w:type="dxa"/>
            <w:vAlign w:val="center"/>
          </w:tcPr>
          <w:p>
            <w:pPr>
              <w:pStyle w:val="12"/>
            </w:pPr>
            <w:r>
              <w:t>1.25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秦皇岛市北戴河区建设工程质量服务中心2022年单位预算信息公开情况说明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按照《预算法》、《地方预决算公开操作规程》和《关于进一步推进预算公开工作的实施意见》规定，现将秦皇岛市北戴河区建设工程质量服务中心2022年单位预算公开如下：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26"/>
      </w:pPr>
      <w:r>
        <w:t>（一）单位职责</w:t>
      </w:r>
    </w:p>
    <w:p>
      <w:pPr>
        <w:pStyle w:val="26"/>
      </w:pPr>
      <w:r>
        <w:t>根据《秦皇岛市北戴河区职能配置、内设机构和人员编制规定》， 秦皇岛市北戴河区建设工程质量服务中心的主要职责是：</w:t>
      </w:r>
    </w:p>
    <w:p>
      <w:pPr>
        <w:pStyle w:val="26"/>
        <w:rPr>
          <w:rFonts w:eastAsiaTheme="minorEastAsia"/>
          <w:lang w:eastAsia="zh-CN"/>
        </w:rPr>
      </w:pPr>
      <w:r>
        <w:t>对北戴河区域内新建、扩建、改建房屋建筑和市政基础设施工程的质量实施监督管理。</w:t>
      </w:r>
    </w:p>
    <w:p>
      <w:pPr>
        <w:pStyle w:val="26"/>
      </w:pPr>
      <w:r>
        <w:t xml:space="preserve">（二）机构设置： </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秦皇岛市北戴河区建设工程质量服务中心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7"/>
      </w:pPr>
      <w:r>
        <w:t>按照预算管理有关规定，目前我区单位预算的编制实行综合预算制度，即全部收入和支出都反映在预算中。北戴河区建设工程质量服务中心的收支包含在单位预算中。</w:t>
      </w:r>
    </w:p>
    <w:p>
      <w:pPr>
        <w:pStyle w:val="27"/>
      </w:pPr>
      <w:r>
        <w:t>1、收入说明</w:t>
      </w:r>
    </w:p>
    <w:p>
      <w:pPr>
        <w:pStyle w:val="27"/>
      </w:pPr>
      <w:r>
        <w:t>2022年预算收入为261.23万元，其中：一般公共预算收入261.23万元，基金预算收入0万元，财政专户核拨收入0万元，其他来源收入0万元。</w:t>
      </w:r>
    </w:p>
    <w:p>
      <w:pPr>
        <w:pStyle w:val="27"/>
      </w:pPr>
      <w:r>
        <w:t>2、支出说明</w:t>
      </w:r>
    </w:p>
    <w:p>
      <w:pPr>
        <w:pStyle w:val="27"/>
      </w:pPr>
      <w:r>
        <w:t>收支预算总表支出表、基本支出表、项目支出表按经济分类和支出功能分类科目编制，反映北戴河区年度部门预算中支出预算的总体情况。2022年预算支出为261.23万元，其中：基本支出261.23万元，主要是人员经费237.73万元和日常公用经费23.5万元；项目支出0万元。</w:t>
      </w:r>
    </w:p>
    <w:p>
      <w:pPr>
        <w:pStyle w:val="27"/>
      </w:pPr>
      <w:r>
        <w:t>3、比上年增减情况</w:t>
      </w:r>
    </w:p>
    <w:p>
      <w:pPr>
        <w:pStyle w:val="27"/>
      </w:pPr>
      <w:r>
        <w:t>2022年预算支出安排261.23万元，较2021年预算减少11.23万元，其中：基本支出减少11.23万元，主要为人员经费减少支出；在职职工人数减少1人，压缩经费，减少行政运行费用。</w:t>
      </w:r>
    </w:p>
    <w:p>
      <w:pPr>
        <w:spacing w:before="10" w:after="10" w:line="360" w:lineRule="auto"/>
        <w:ind w:firstLine="640"/>
        <w:outlineLvl w:val="5"/>
      </w:pPr>
      <w:r>
        <w:rPr>
          <w:rFonts w:ascii="黑体" w:hAnsi="黑体" w:eastAsia="黑体" w:cs="黑体"/>
          <w:color w:val="000000"/>
          <w:sz w:val="32"/>
        </w:rPr>
        <w:t>三、机关运行经费安排情况</w:t>
      </w:r>
    </w:p>
    <w:p>
      <w:pPr>
        <w:pStyle w:val="28"/>
        <w:spacing w:line="360" w:lineRule="auto"/>
      </w:pPr>
      <w:r>
        <w:t>机关运行经费共计安排0万元，主要原因为本单位本年日常公用经费全部为项目支出。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before="10" w:after="10" w:line="360" w:lineRule="auto"/>
        <w:ind w:firstLine="640"/>
        <w:outlineLvl w:val="5"/>
      </w:pPr>
      <w:r>
        <w:t>2022年，我部门财政拨款“三公”经费预算安排</w:t>
      </w:r>
      <w:r>
        <w:rPr>
          <w:rFonts w:hint="eastAsia"/>
          <w:lang w:val="en-US" w:eastAsia="zh-CN"/>
        </w:rPr>
        <w:t>1.25</w:t>
      </w:r>
      <w:r>
        <w:t>万元，与上年相比，减少0.1万元。其中：因公出国（境）费0万元，与上年持平，无增减变化；公务用车购置及运行维护费1.25万元（其中：公务用车购置费为0万元，公务用车运行维护费1.25万元)，公务用车购置费与上年持平，无增减变化；公务用车运行维护费1.25万元，与上年相比持平，无增减变化，主要是厉行节约，压缩经费；公务接待费0万元，与上年相比持平，无增减变化，主要是无公务接待费。</w:t>
      </w:r>
    </w:p>
    <w:p>
      <w:pPr>
        <w:spacing w:before="10" w:after="10"/>
        <w:ind w:firstLine="640"/>
        <w:outlineLvl w:val="5"/>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1、非全额事业单位公用经费（建设工程质量服务中心）绩效目标表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1.1.做好经费保障工作，保障办公正常运转。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2835" w:type="dxa"/>
            <w:vAlign w:val="center"/>
          </w:tcPr>
          <w:p>
            <w:pPr>
              <w:pStyle w:val="13"/>
            </w:pPr>
            <w:r>
              <w:t>保障办公人数</w:t>
            </w:r>
          </w:p>
        </w:tc>
        <w:tc>
          <w:tcPr>
            <w:tcW w:w="2551" w:type="dxa"/>
            <w:vAlign w:val="center"/>
          </w:tcPr>
          <w:p>
            <w:pPr>
              <w:pStyle w:val="13"/>
            </w:pPr>
            <w:r>
              <w:t>≤19人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2835" w:type="dxa"/>
            <w:vAlign w:val="center"/>
          </w:tcPr>
          <w:p>
            <w:pPr>
              <w:pStyle w:val="13"/>
            </w:pPr>
            <w:r>
              <w:t>各项日常工作保障率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及时保障各项日常办公需要</w:t>
            </w:r>
          </w:p>
        </w:tc>
        <w:tc>
          <w:tcPr>
            <w:tcW w:w="2551" w:type="dxa"/>
            <w:vAlign w:val="center"/>
          </w:tcPr>
          <w:p>
            <w:pPr>
              <w:pStyle w:val="13"/>
            </w:pPr>
            <w:r>
              <w:t>及时保障</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2835" w:type="dxa"/>
            <w:vAlign w:val="center"/>
          </w:tcPr>
          <w:p>
            <w:pPr>
              <w:pStyle w:val="13"/>
            </w:pPr>
            <w:r>
              <w:t>办公费、水电费、交通费、会议费、工会经费、招待费及其他公用经费的支出</w:t>
            </w:r>
          </w:p>
        </w:tc>
        <w:tc>
          <w:tcPr>
            <w:tcW w:w="2551" w:type="dxa"/>
            <w:vAlign w:val="center"/>
          </w:tcPr>
          <w:p>
            <w:pPr>
              <w:pStyle w:val="13"/>
            </w:pPr>
            <w:r>
              <w:t>按统一规定执行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2835" w:type="dxa"/>
            <w:vAlign w:val="center"/>
          </w:tcPr>
          <w:p>
            <w:pPr>
              <w:pStyle w:val="13"/>
            </w:pPr>
            <w:r>
              <w:t>保障日常办公需要，维持单位正常运转</w:t>
            </w:r>
          </w:p>
        </w:tc>
        <w:tc>
          <w:tcPr>
            <w:tcW w:w="2551" w:type="dxa"/>
            <w:vAlign w:val="center"/>
          </w:tcPr>
          <w:p>
            <w:pPr>
              <w:pStyle w:val="13"/>
            </w:pPr>
            <w:r>
              <w:t>维持单位正常运转</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≥99%</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2、非全额事业单位人员经费（建设工程质量服务中心）绩效目标表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1.1.主要用于人员工资福利等支出，保障办公正常运转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2835" w:type="dxa"/>
            <w:vAlign w:val="center"/>
          </w:tcPr>
          <w:p>
            <w:pPr>
              <w:pStyle w:val="13"/>
            </w:pPr>
            <w:r>
              <w:t>保障人数</w:t>
            </w:r>
          </w:p>
        </w:tc>
        <w:tc>
          <w:tcPr>
            <w:tcW w:w="2551" w:type="dxa"/>
            <w:vAlign w:val="center"/>
          </w:tcPr>
          <w:p>
            <w:pPr>
              <w:pStyle w:val="13"/>
            </w:pPr>
            <w:r>
              <w:t>≤19人</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2835" w:type="dxa"/>
            <w:vAlign w:val="center"/>
          </w:tcPr>
          <w:p>
            <w:pPr>
              <w:pStyle w:val="13"/>
            </w:pPr>
            <w:r>
              <w:t>工资（福利）发放精准性</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2835" w:type="dxa"/>
            <w:vAlign w:val="center"/>
          </w:tcPr>
          <w:p>
            <w:pPr>
              <w:pStyle w:val="13"/>
            </w:pPr>
            <w:r>
              <w:t>工资（福利）发放及时性</w:t>
            </w:r>
          </w:p>
        </w:tc>
        <w:tc>
          <w:tcPr>
            <w:tcW w:w="2551" w:type="dxa"/>
            <w:vAlign w:val="center"/>
          </w:tcPr>
          <w:p>
            <w:pPr>
              <w:pStyle w:val="13"/>
            </w:pPr>
            <w:r>
              <w:t>按规定时间发放</w:t>
            </w:r>
          </w:p>
          <w:p>
            <w:pPr>
              <w:pStyle w:val="13"/>
            </w:pP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2835" w:type="dxa"/>
            <w:vAlign w:val="center"/>
          </w:tcPr>
          <w:p>
            <w:pPr>
              <w:pStyle w:val="13"/>
            </w:pPr>
            <w:r>
              <w:t>工资（福利）、社会保障（公积金）等发放（缴纳）标准</w:t>
            </w:r>
          </w:p>
        </w:tc>
        <w:tc>
          <w:tcPr>
            <w:tcW w:w="2551" w:type="dxa"/>
            <w:vAlign w:val="center"/>
          </w:tcPr>
          <w:p>
            <w:pPr>
              <w:pStyle w:val="13"/>
            </w:pPr>
            <w:r>
              <w:t>按规定执行</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2835" w:type="dxa"/>
            <w:vAlign w:val="center"/>
          </w:tcPr>
          <w:p>
            <w:pPr>
              <w:pStyle w:val="13"/>
            </w:pPr>
            <w:r>
              <w:t>通过按时按标准发放工资福利等，进一步增强干部职工得归属感，保持干部队伍相对稳定，保障办公正常运转</w:t>
            </w:r>
          </w:p>
        </w:tc>
        <w:tc>
          <w:tcPr>
            <w:tcW w:w="2551" w:type="dxa"/>
            <w:vAlign w:val="center"/>
          </w:tcPr>
          <w:p>
            <w:pPr>
              <w:pStyle w:val="13"/>
            </w:pPr>
            <w:r>
              <w:t>保持干部队伍相对稳定</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≥99%</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2022年，秦皇岛市北戴河区建设工程质量服务中心安排政府采购预算0.00万元。具体内容见下表。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秦皇岛市北戴河区建设工程质量服务中心上年末固定资产金额为97.16万元（详见下表）。本年度拟购置固定资产总额为0.00万元，已按要求列入政府采购预算，详见政府采购预算表。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333005秦皇岛市北戴河区建设工程质量服务中心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928.38</w:t>
            </w:r>
          </w:p>
        </w:tc>
        <w:tc>
          <w:tcPr>
            <w:tcW w:w="2835" w:type="dxa"/>
            <w:vAlign w:val="center"/>
          </w:tcPr>
          <w:p>
            <w:pPr>
              <w:pStyle w:val="12"/>
            </w:pPr>
            <w:r>
              <w:t>65.41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928.38</w:t>
            </w:r>
          </w:p>
        </w:tc>
        <w:tc>
          <w:tcPr>
            <w:tcW w:w="2835" w:type="dxa"/>
            <w:vAlign w:val="center"/>
          </w:tcPr>
          <w:p>
            <w:pPr>
              <w:pStyle w:val="12"/>
            </w:pPr>
            <w:r>
              <w:t>65.41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49</w:t>
            </w:r>
          </w:p>
        </w:tc>
        <w:tc>
          <w:tcPr>
            <w:tcW w:w="2835" w:type="dxa"/>
            <w:vAlign w:val="center"/>
          </w:tcPr>
          <w:p>
            <w:pPr>
              <w:pStyle w:val="12"/>
            </w:pPr>
            <w:r>
              <w:t>16.98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23"/>
      <w:r>
        <w:rPr>
          <w:rFonts w:ascii="方正小标宋_GBK" w:hAnsi="方正小标宋_GBK" w:eastAsia="方正小标宋_GBK" w:cs="方正小标宋_GBK"/>
          <w:color w:val="000000"/>
          <w:sz w:val="44"/>
        </w:rPr>
        <w:t>五、秦皇岛市北戴河区市政维修建设中心收支预算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1234.37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1234.37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1234.37</w:t>
            </w:r>
          </w:p>
        </w:tc>
        <w:tc>
          <w:tcPr>
            <w:tcW w:w="4535" w:type="dxa"/>
            <w:vAlign w:val="center"/>
          </w:tcPr>
          <w:p>
            <w:pPr>
              <w:pStyle w:val="15"/>
            </w:pPr>
            <w:r>
              <w:t>本年支出合计</w:t>
            </w:r>
          </w:p>
        </w:tc>
        <w:tc>
          <w:tcPr>
            <w:tcW w:w="2126" w:type="dxa"/>
            <w:vAlign w:val="center"/>
          </w:tcPr>
          <w:p>
            <w:pPr>
              <w:pStyle w:val="16"/>
            </w:pPr>
            <w:r>
              <w:t>1234.37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1234.37</w:t>
            </w:r>
          </w:p>
        </w:tc>
        <w:tc>
          <w:tcPr>
            <w:tcW w:w="4535" w:type="dxa"/>
            <w:vAlign w:val="center"/>
          </w:tcPr>
          <w:p>
            <w:pPr>
              <w:pStyle w:val="15"/>
            </w:pPr>
            <w:r>
              <w:t>支出总计</w:t>
            </w:r>
          </w:p>
        </w:tc>
        <w:tc>
          <w:tcPr>
            <w:tcW w:w="2126" w:type="dxa"/>
            <w:vAlign w:val="center"/>
          </w:tcPr>
          <w:p>
            <w:pPr>
              <w:pStyle w:val="16"/>
            </w:pPr>
            <w:r>
              <w:t>1234.37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1234.37</w:t>
            </w:r>
          </w:p>
        </w:tc>
        <w:tc>
          <w:tcPr>
            <w:tcW w:w="1134" w:type="dxa"/>
            <w:vAlign w:val="center"/>
          </w:tcPr>
          <w:p>
            <w:pPr>
              <w:pStyle w:val="16"/>
            </w:pPr>
            <w:r>
              <w:t>1234.37</w:t>
            </w:r>
          </w:p>
        </w:tc>
        <w:tc>
          <w:tcPr>
            <w:tcW w:w="1134" w:type="dxa"/>
            <w:vAlign w:val="center"/>
          </w:tcPr>
          <w:p>
            <w:pPr>
              <w:pStyle w:val="16"/>
            </w:pPr>
            <w:r>
              <w:t>1234.37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1234.37</w:t>
            </w:r>
          </w:p>
        </w:tc>
        <w:tc>
          <w:tcPr>
            <w:tcW w:w="1134" w:type="dxa"/>
            <w:vAlign w:val="center"/>
          </w:tcPr>
          <w:p>
            <w:pPr>
              <w:pStyle w:val="12"/>
            </w:pPr>
            <w:r>
              <w:t>1234.37</w:t>
            </w:r>
          </w:p>
        </w:tc>
        <w:tc>
          <w:tcPr>
            <w:tcW w:w="1134" w:type="dxa"/>
            <w:vAlign w:val="center"/>
          </w:tcPr>
          <w:p>
            <w:pPr>
              <w:pStyle w:val="12"/>
            </w:pPr>
            <w:r>
              <w:t>1234.37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461.60</w:t>
            </w:r>
          </w:p>
        </w:tc>
        <w:tc>
          <w:tcPr>
            <w:tcW w:w="1134" w:type="dxa"/>
            <w:vAlign w:val="center"/>
          </w:tcPr>
          <w:p>
            <w:pPr>
              <w:pStyle w:val="12"/>
            </w:pPr>
            <w:r>
              <w:t>461.60</w:t>
            </w:r>
          </w:p>
        </w:tc>
        <w:tc>
          <w:tcPr>
            <w:tcW w:w="1134" w:type="dxa"/>
            <w:vAlign w:val="center"/>
          </w:tcPr>
          <w:p>
            <w:pPr>
              <w:pStyle w:val="12"/>
            </w:pPr>
            <w:r>
              <w:t>461.60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2120107</w:t>
            </w:r>
          </w:p>
        </w:tc>
        <w:tc>
          <w:tcPr>
            <w:tcW w:w="1559" w:type="dxa"/>
            <w:vAlign w:val="center"/>
          </w:tcPr>
          <w:p>
            <w:pPr>
              <w:pStyle w:val="13"/>
            </w:pPr>
            <w:r>
              <w:t>市政公用行业市场监管</w:t>
            </w:r>
          </w:p>
        </w:tc>
        <w:tc>
          <w:tcPr>
            <w:tcW w:w="1134" w:type="dxa"/>
            <w:vAlign w:val="center"/>
          </w:tcPr>
          <w:p>
            <w:pPr>
              <w:pStyle w:val="12"/>
            </w:pPr>
            <w:r>
              <w:t>461.60</w:t>
            </w:r>
          </w:p>
        </w:tc>
        <w:tc>
          <w:tcPr>
            <w:tcW w:w="1134" w:type="dxa"/>
            <w:vAlign w:val="center"/>
          </w:tcPr>
          <w:p>
            <w:pPr>
              <w:pStyle w:val="12"/>
            </w:pPr>
            <w:r>
              <w:t>461.60</w:t>
            </w:r>
          </w:p>
        </w:tc>
        <w:tc>
          <w:tcPr>
            <w:tcW w:w="1134" w:type="dxa"/>
            <w:vAlign w:val="center"/>
          </w:tcPr>
          <w:p>
            <w:pPr>
              <w:pStyle w:val="12"/>
            </w:pPr>
            <w:r>
              <w:t>461.60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772.77</w:t>
            </w:r>
          </w:p>
        </w:tc>
        <w:tc>
          <w:tcPr>
            <w:tcW w:w="1134" w:type="dxa"/>
            <w:vAlign w:val="center"/>
          </w:tcPr>
          <w:p>
            <w:pPr>
              <w:pStyle w:val="12"/>
            </w:pPr>
            <w:r>
              <w:t>772.77</w:t>
            </w:r>
          </w:p>
        </w:tc>
        <w:tc>
          <w:tcPr>
            <w:tcW w:w="1134" w:type="dxa"/>
            <w:vAlign w:val="center"/>
          </w:tcPr>
          <w:p>
            <w:pPr>
              <w:pStyle w:val="12"/>
            </w:pPr>
            <w:r>
              <w:t>772.77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772.77</w:t>
            </w:r>
          </w:p>
        </w:tc>
        <w:tc>
          <w:tcPr>
            <w:tcW w:w="1134" w:type="dxa"/>
            <w:vAlign w:val="center"/>
          </w:tcPr>
          <w:p>
            <w:pPr>
              <w:pStyle w:val="12"/>
            </w:pPr>
            <w:r>
              <w:t>772.77</w:t>
            </w:r>
          </w:p>
        </w:tc>
        <w:tc>
          <w:tcPr>
            <w:tcW w:w="1134" w:type="dxa"/>
            <w:vAlign w:val="center"/>
          </w:tcPr>
          <w:p>
            <w:pPr>
              <w:pStyle w:val="12"/>
            </w:pPr>
            <w:r>
              <w:t>772.77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1234.37</w:t>
            </w:r>
          </w:p>
        </w:tc>
        <w:tc>
          <w:tcPr>
            <w:tcW w:w="1361" w:type="dxa"/>
            <w:vAlign w:val="center"/>
          </w:tcPr>
          <w:p>
            <w:pPr>
              <w:pStyle w:val="16"/>
            </w:pPr>
          </w:p>
        </w:tc>
        <w:tc>
          <w:tcPr>
            <w:tcW w:w="1361" w:type="dxa"/>
            <w:vAlign w:val="center"/>
          </w:tcPr>
          <w:p>
            <w:pPr>
              <w:pStyle w:val="16"/>
            </w:pPr>
            <w:r>
              <w:t>1234.37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1234.37</w:t>
            </w:r>
          </w:p>
        </w:tc>
        <w:tc>
          <w:tcPr>
            <w:tcW w:w="1361" w:type="dxa"/>
            <w:vAlign w:val="center"/>
          </w:tcPr>
          <w:p>
            <w:pPr>
              <w:pStyle w:val="12"/>
            </w:pPr>
          </w:p>
        </w:tc>
        <w:tc>
          <w:tcPr>
            <w:tcW w:w="1361" w:type="dxa"/>
            <w:vAlign w:val="center"/>
          </w:tcPr>
          <w:p>
            <w:pPr>
              <w:pStyle w:val="12"/>
            </w:pPr>
            <w:r>
              <w:t>1234.37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461.60</w:t>
            </w:r>
          </w:p>
        </w:tc>
        <w:tc>
          <w:tcPr>
            <w:tcW w:w="1361" w:type="dxa"/>
            <w:vAlign w:val="center"/>
          </w:tcPr>
          <w:p>
            <w:pPr>
              <w:pStyle w:val="12"/>
            </w:pPr>
          </w:p>
        </w:tc>
        <w:tc>
          <w:tcPr>
            <w:tcW w:w="1361" w:type="dxa"/>
            <w:vAlign w:val="center"/>
          </w:tcPr>
          <w:p>
            <w:pPr>
              <w:pStyle w:val="12"/>
            </w:pPr>
            <w:r>
              <w:t>461.60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2120107</w:t>
            </w:r>
          </w:p>
        </w:tc>
        <w:tc>
          <w:tcPr>
            <w:tcW w:w="4535" w:type="dxa"/>
            <w:vAlign w:val="center"/>
          </w:tcPr>
          <w:p>
            <w:pPr>
              <w:pStyle w:val="13"/>
            </w:pPr>
            <w:r>
              <w:t>市政公用行业市场监管</w:t>
            </w:r>
          </w:p>
        </w:tc>
        <w:tc>
          <w:tcPr>
            <w:tcW w:w="1361" w:type="dxa"/>
            <w:vAlign w:val="center"/>
          </w:tcPr>
          <w:p>
            <w:pPr>
              <w:pStyle w:val="12"/>
            </w:pPr>
            <w:r>
              <w:t>461.60</w:t>
            </w:r>
          </w:p>
        </w:tc>
        <w:tc>
          <w:tcPr>
            <w:tcW w:w="1361" w:type="dxa"/>
            <w:vAlign w:val="center"/>
          </w:tcPr>
          <w:p>
            <w:pPr>
              <w:pStyle w:val="12"/>
            </w:pPr>
          </w:p>
        </w:tc>
        <w:tc>
          <w:tcPr>
            <w:tcW w:w="1361" w:type="dxa"/>
            <w:vAlign w:val="center"/>
          </w:tcPr>
          <w:p>
            <w:pPr>
              <w:pStyle w:val="12"/>
            </w:pPr>
            <w:r>
              <w:t>461.60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772.77</w:t>
            </w:r>
          </w:p>
        </w:tc>
        <w:tc>
          <w:tcPr>
            <w:tcW w:w="1361" w:type="dxa"/>
            <w:vAlign w:val="center"/>
          </w:tcPr>
          <w:p>
            <w:pPr>
              <w:pStyle w:val="12"/>
            </w:pPr>
          </w:p>
        </w:tc>
        <w:tc>
          <w:tcPr>
            <w:tcW w:w="1361" w:type="dxa"/>
            <w:vAlign w:val="center"/>
          </w:tcPr>
          <w:p>
            <w:pPr>
              <w:pStyle w:val="12"/>
            </w:pPr>
            <w:r>
              <w:t>772.77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772.77</w:t>
            </w:r>
          </w:p>
        </w:tc>
        <w:tc>
          <w:tcPr>
            <w:tcW w:w="1361" w:type="dxa"/>
            <w:vAlign w:val="center"/>
          </w:tcPr>
          <w:p>
            <w:pPr>
              <w:pStyle w:val="12"/>
            </w:pPr>
          </w:p>
        </w:tc>
        <w:tc>
          <w:tcPr>
            <w:tcW w:w="1361" w:type="dxa"/>
            <w:vAlign w:val="center"/>
          </w:tcPr>
          <w:p>
            <w:pPr>
              <w:pStyle w:val="12"/>
            </w:pPr>
            <w:r>
              <w:t>772.77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1234.37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1234.37</w:t>
            </w:r>
          </w:p>
        </w:tc>
        <w:tc>
          <w:tcPr>
            <w:tcW w:w="1474" w:type="dxa"/>
            <w:vAlign w:val="center"/>
          </w:tcPr>
          <w:p>
            <w:pPr>
              <w:pStyle w:val="12"/>
            </w:pPr>
            <w:r>
              <w:t>1234.37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1234.37</w:t>
            </w:r>
          </w:p>
        </w:tc>
        <w:tc>
          <w:tcPr>
            <w:tcW w:w="3402" w:type="dxa"/>
            <w:vAlign w:val="center"/>
          </w:tcPr>
          <w:p>
            <w:pPr>
              <w:pStyle w:val="15"/>
            </w:pPr>
            <w:r>
              <w:t>本年支出合计</w:t>
            </w:r>
          </w:p>
        </w:tc>
        <w:tc>
          <w:tcPr>
            <w:tcW w:w="1474" w:type="dxa"/>
            <w:vAlign w:val="center"/>
          </w:tcPr>
          <w:p>
            <w:pPr>
              <w:pStyle w:val="16"/>
            </w:pPr>
            <w:r>
              <w:t>1234.37</w:t>
            </w:r>
          </w:p>
        </w:tc>
        <w:tc>
          <w:tcPr>
            <w:tcW w:w="1474" w:type="dxa"/>
            <w:vAlign w:val="center"/>
          </w:tcPr>
          <w:p>
            <w:pPr>
              <w:pStyle w:val="16"/>
            </w:pPr>
            <w:r>
              <w:t>1234.37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1234.37</w:t>
            </w:r>
          </w:p>
        </w:tc>
        <w:tc>
          <w:tcPr>
            <w:tcW w:w="3402" w:type="dxa"/>
            <w:vAlign w:val="center"/>
          </w:tcPr>
          <w:p>
            <w:pPr>
              <w:pStyle w:val="15"/>
            </w:pPr>
            <w:r>
              <w:t>支出总计</w:t>
            </w:r>
          </w:p>
        </w:tc>
        <w:tc>
          <w:tcPr>
            <w:tcW w:w="1474" w:type="dxa"/>
            <w:vAlign w:val="center"/>
          </w:tcPr>
          <w:p>
            <w:pPr>
              <w:pStyle w:val="16"/>
            </w:pPr>
            <w:r>
              <w:t>1234.37</w:t>
            </w:r>
          </w:p>
        </w:tc>
        <w:tc>
          <w:tcPr>
            <w:tcW w:w="1474" w:type="dxa"/>
            <w:vAlign w:val="center"/>
          </w:tcPr>
          <w:p>
            <w:pPr>
              <w:pStyle w:val="16"/>
            </w:pPr>
            <w:r>
              <w:t>1234.37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1234.37</w:t>
            </w:r>
          </w:p>
        </w:tc>
        <w:tc>
          <w:tcPr>
            <w:tcW w:w="2551" w:type="dxa"/>
            <w:vAlign w:val="center"/>
          </w:tcPr>
          <w:p>
            <w:pPr>
              <w:pStyle w:val="16"/>
            </w:pPr>
          </w:p>
        </w:tc>
        <w:tc>
          <w:tcPr>
            <w:tcW w:w="2551" w:type="dxa"/>
            <w:vAlign w:val="center"/>
          </w:tcPr>
          <w:p>
            <w:pPr>
              <w:pStyle w:val="16"/>
            </w:pPr>
            <w:r>
              <w:t>1234.37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1234.37</w:t>
            </w:r>
          </w:p>
        </w:tc>
        <w:tc>
          <w:tcPr>
            <w:tcW w:w="2551" w:type="dxa"/>
            <w:vAlign w:val="center"/>
          </w:tcPr>
          <w:p>
            <w:pPr>
              <w:pStyle w:val="12"/>
            </w:pPr>
          </w:p>
        </w:tc>
        <w:tc>
          <w:tcPr>
            <w:tcW w:w="2551" w:type="dxa"/>
            <w:vAlign w:val="center"/>
          </w:tcPr>
          <w:p>
            <w:pPr>
              <w:pStyle w:val="12"/>
            </w:pPr>
            <w:r>
              <w:t>1234.37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461.60</w:t>
            </w:r>
          </w:p>
        </w:tc>
        <w:tc>
          <w:tcPr>
            <w:tcW w:w="2551" w:type="dxa"/>
            <w:vAlign w:val="center"/>
          </w:tcPr>
          <w:p>
            <w:pPr>
              <w:pStyle w:val="12"/>
            </w:pPr>
          </w:p>
        </w:tc>
        <w:tc>
          <w:tcPr>
            <w:tcW w:w="2551" w:type="dxa"/>
            <w:vAlign w:val="center"/>
          </w:tcPr>
          <w:p>
            <w:pPr>
              <w:pStyle w:val="12"/>
            </w:pPr>
            <w:r>
              <w:t>461.60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2120107</w:t>
            </w:r>
          </w:p>
        </w:tc>
        <w:tc>
          <w:tcPr>
            <w:tcW w:w="4535" w:type="dxa"/>
            <w:vAlign w:val="center"/>
          </w:tcPr>
          <w:p>
            <w:pPr>
              <w:pStyle w:val="13"/>
            </w:pPr>
            <w:r>
              <w:t>市政公用行业市场监管</w:t>
            </w:r>
          </w:p>
        </w:tc>
        <w:tc>
          <w:tcPr>
            <w:tcW w:w="2551" w:type="dxa"/>
            <w:vAlign w:val="center"/>
          </w:tcPr>
          <w:p>
            <w:pPr>
              <w:pStyle w:val="12"/>
            </w:pPr>
            <w:r>
              <w:t>461.60</w:t>
            </w:r>
          </w:p>
        </w:tc>
        <w:tc>
          <w:tcPr>
            <w:tcW w:w="2551" w:type="dxa"/>
            <w:vAlign w:val="center"/>
          </w:tcPr>
          <w:p>
            <w:pPr>
              <w:pStyle w:val="12"/>
            </w:pPr>
          </w:p>
        </w:tc>
        <w:tc>
          <w:tcPr>
            <w:tcW w:w="2551" w:type="dxa"/>
            <w:vAlign w:val="center"/>
          </w:tcPr>
          <w:p>
            <w:pPr>
              <w:pStyle w:val="12"/>
            </w:pPr>
            <w:r>
              <w:t>461.60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772.77</w:t>
            </w:r>
          </w:p>
        </w:tc>
        <w:tc>
          <w:tcPr>
            <w:tcW w:w="2551" w:type="dxa"/>
            <w:vAlign w:val="center"/>
          </w:tcPr>
          <w:p>
            <w:pPr>
              <w:pStyle w:val="12"/>
            </w:pPr>
          </w:p>
        </w:tc>
        <w:tc>
          <w:tcPr>
            <w:tcW w:w="2551" w:type="dxa"/>
            <w:vAlign w:val="center"/>
          </w:tcPr>
          <w:p>
            <w:pPr>
              <w:pStyle w:val="12"/>
            </w:pPr>
            <w:r>
              <w:t>772.77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772.77</w:t>
            </w:r>
          </w:p>
        </w:tc>
        <w:tc>
          <w:tcPr>
            <w:tcW w:w="2551" w:type="dxa"/>
            <w:vAlign w:val="center"/>
          </w:tcPr>
          <w:p>
            <w:pPr>
              <w:pStyle w:val="12"/>
            </w:pPr>
          </w:p>
        </w:tc>
        <w:tc>
          <w:tcPr>
            <w:tcW w:w="2551" w:type="dxa"/>
            <w:vAlign w:val="center"/>
          </w:tcPr>
          <w:p>
            <w:pPr>
              <w:pStyle w:val="12"/>
            </w:pPr>
            <w:r>
              <w:t>772.77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eastAsia="方正书宋_GBK"/>
                <w:lang w:val="en-US" w:eastAsia="zh-CN"/>
              </w:rPr>
            </w:pPr>
            <w:r>
              <w:rPr>
                <w:rFonts w:hint="eastAsia"/>
                <w:lang w:val="en-US" w:eastAsia="zh-CN"/>
              </w:rPr>
              <w:t>2.50</w:t>
            </w:r>
          </w:p>
        </w:tc>
        <w:tc>
          <w:tcPr>
            <w:tcW w:w="2381" w:type="dxa"/>
            <w:vAlign w:val="center"/>
          </w:tcPr>
          <w:p>
            <w:pPr>
              <w:pStyle w:val="16"/>
              <w:rPr>
                <w:rFonts w:hint="default" w:eastAsia="方正书宋_GBK"/>
                <w:lang w:val="en-US" w:eastAsia="zh-CN"/>
              </w:rPr>
            </w:pPr>
            <w:r>
              <w:rPr>
                <w:rFonts w:hint="eastAsia"/>
                <w:lang w:val="en-US" w:eastAsia="zh-CN"/>
              </w:rPr>
              <w:t>2.50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秦皇岛市北戴河区市政维修建设中心2022年单位预算信息公开情况说明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按照《预算法》、《地方预决算公开操作规程》和《关于进一步推进预算公开工作的实施意见》规定，现将秦皇岛市北戴河区市政维修建设中心2022年单位预算公开如下：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根据《秦皇岛市北戴河区市政维修建设中心职能配置、内设机构和人员编制规定》， 秦皇岛市北戴河区市政维修建设中心的主要职责是：为全区城市道路、雨水排放设施、桥梁、函洞等市政设施的监管提供服务保障和业务支持；承担全区城市道路雨水排放设施、桥梁、函洞等市政设施的养护维修事务性工作；承担城市道路防汛抢险等市政保障事务性工作；承办12319城管热线电话便民服务工作。承担我区部分沿海沿河沟口日常保洁、清淤等事务性工作；承办上级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秦皇岛市北戴河区市政维修建设中心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7"/>
      </w:pPr>
      <w:r>
        <w:t>按照预算管理有关规定，目前我区单位预算的编制实行综合预算制度，即全部收入和支出都反映在预算中。北戴河区市政维修建设中心的收支包含在单位预算中。</w:t>
      </w:r>
    </w:p>
    <w:p>
      <w:pPr>
        <w:pStyle w:val="27"/>
      </w:pPr>
      <w:r>
        <w:t>1、收入说明</w:t>
      </w:r>
    </w:p>
    <w:p>
      <w:pPr>
        <w:pStyle w:val="27"/>
      </w:pPr>
      <w:r>
        <w:t>2022年预算收入为1234.37万元，其中：一般公共预算收入1234.37万元，基金预算收入0万元，财政专户核拨收入0万元，其他来源收入0万元。</w:t>
      </w:r>
    </w:p>
    <w:p>
      <w:pPr>
        <w:pStyle w:val="27"/>
      </w:pPr>
      <w:r>
        <w:t>2、支出说明</w:t>
      </w:r>
    </w:p>
    <w:p>
      <w:pPr>
        <w:pStyle w:val="27"/>
      </w:pPr>
      <w:r>
        <w:t>收支预算总表支出表、基本支出表、项目支出表按经济分类和支出功能分类科目编制，反映北戴河区年度部门预算中支出预算的总体情况。2022年预算支出为1234.37万元，其中：基本支出0万元，项目支出1234.37非全额万元，主要为非全额事业单位定额补助32.09万元、非全额事业单位专项补助429.51万元、劳务派遣专项补助139.55万元、道路维修627.22万元、沿海沿河沟（口）保洁6万元。</w:t>
      </w:r>
    </w:p>
    <w:p>
      <w:pPr>
        <w:pStyle w:val="27"/>
      </w:pPr>
      <w:r>
        <w:t>3、比上年增减情况</w:t>
      </w:r>
    </w:p>
    <w:p>
      <w:pPr>
        <w:pStyle w:val="27"/>
      </w:pPr>
      <w:r>
        <w:t>2022年预算支出安排1234.37万元，较2021年预算减少212.13万元，其中：基本支出减少471.62万元，主要是今年全部作为项目列示；项目支出增加259.49万元，主要为在职人员的工资及日常公用经费全部作为项目列示。</w:t>
      </w:r>
    </w:p>
    <w:p>
      <w:pPr>
        <w:spacing w:before="10" w:after="10"/>
        <w:ind w:firstLine="640"/>
        <w:outlineLvl w:val="5"/>
      </w:pPr>
      <w:r>
        <w:rPr>
          <w:rFonts w:ascii="黑体" w:hAnsi="黑体" w:eastAsia="黑体" w:cs="黑体"/>
          <w:color w:val="000000"/>
          <w:sz w:val="32"/>
        </w:rPr>
        <w:t>三、机关运行经费安排情况</w:t>
      </w:r>
    </w:p>
    <w:p>
      <w:pPr>
        <w:pStyle w:val="28"/>
      </w:pPr>
      <w:r>
        <w:t>我单位为非全额事业单位，无机关运行经费。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2022年，我单位财政拨款“三公”经费预算安排2.5万元，与上年持平。其中：因公出国（境）费0万元，与上年持平，无增减变化；公务用车购置及运行维护费0万元（其中：公务用车购置费为0万元，公务用车运行维护费2.5万元)，公务用车购置费与上年持平，无增减变化；公务用车运行维护费2.5万元，与上年持平；公务接待费0万元，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1、非全额事业单位定额补助绩效目标表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1.1.做好经费保障工作，保障办公正常运转。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2835" w:type="dxa"/>
            <w:vAlign w:val="center"/>
          </w:tcPr>
          <w:p>
            <w:pPr>
              <w:pStyle w:val="13"/>
            </w:pPr>
            <w:r>
              <w:t>保障办公人数</w:t>
            </w:r>
          </w:p>
        </w:tc>
        <w:tc>
          <w:tcPr>
            <w:tcW w:w="2551" w:type="dxa"/>
            <w:vAlign w:val="center"/>
          </w:tcPr>
          <w:p>
            <w:pPr>
              <w:pStyle w:val="13"/>
            </w:pPr>
            <w:r>
              <w:t>≤76在职31人，退休45人</w:t>
            </w:r>
          </w:p>
        </w:tc>
        <w:tc>
          <w:tcPr>
            <w:tcW w:w="2268" w:type="dxa"/>
            <w:vAlign w:val="center"/>
          </w:tcPr>
          <w:p>
            <w:pPr>
              <w:pStyle w:val="13"/>
            </w:pPr>
            <w:r>
              <w:t>本年计划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2835" w:type="dxa"/>
            <w:vAlign w:val="center"/>
          </w:tcPr>
          <w:p>
            <w:pPr>
              <w:pStyle w:val="13"/>
            </w:pPr>
            <w:r>
              <w:t>各项日常工作保障率</w:t>
            </w:r>
          </w:p>
        </w:tc>
        <w:tc>
          <w:tcPr>
            <w:tcW w:w="2551" w:type="dxa"/>
            <w:vAlign w:val="center"/>
          </w:tcPr>
          <w:p>
            <w:pPr>
              <w:pStyle w:val="13"/>
            </w:pPr>
            <w:r>
              <w:t>100百分比</w:t>
            </w:r>
          </w:p>
        </w:tc>
        <w:tc>
          <w:tcPr>
            <w:tcW w:w="2268" w:type="dxa"/>
            <w:vAlign w:val="center"/>
          </w:tcPr>
          <w:p>
            <w:pPr>
              <w:pStyle w:val="13"/>
            </w:pPr>
            <w:r>
              <w:t>本年计划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及时保障各项日常办公需要</w:t>
            </w:r>
          </w:p>
        </w:tc>
        <w:tc>
          <w:tcPr>
            <w:tcW w:w="2551" w:type="dxa"/>
            <w:vAlign w:val="center"/>
          </w:tcPr>
          <w:p>
            <w:pPr>
              <w:pStyle w:val="13"/>
            </w:pPr>
            <w:r>
              <w:t>及时保障</w:t>
            </w:r>
          </w:p>
        </w:tc>
        <w:tc>
          <w:tcPr>
            <w:tcW w:w="2268" w:type="dxa"/>
            <w:vAlign w:val="center"/>
          </w:tcPr>
          <w:p>
            <w:pPr>
              <w:pStyle w:val="13"/>
            </w:pPr>
            <w:r>
              <w:t>本年计划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2835" w:type="dxa"/>
            <w:vAlign w:val="center"/>
          </w:tcPr>
          <w:p>
            <w:pPr>
              <w:pStyle w:val="13"/>
            </w:pPr>
            <w:r>
              <w:t>办公费、水电费、交通费、会议费、工会经费、招待费及其他公用经费的支出</w:t>
            </w:r>
          </w:p>
        </w:tc>
        <w:tc>
          <w:tcPr>
            <w:tcW w:w="2551" w:type="dxa"/>
            <w:vAlign w:val="center"/>
          </w:tcPr>
          <w:p>
            <w:pPr>
              <w:pStyle w:val="13"/>
            </w:pPr>
            <w:r>
              <w:t>按统一规定执行</w:t>
            </w:r>
          </w:p>
        </w:tc>
        <w:tc>
          <w:tcPr>
            <w:tcW w:w="2268" w:type="dxa"/>
            <w:vAlign w:val="center"/>
          </w:tcPr>
          <w:p>
            <w:pPr>
              <w:pStyle w:val="13"/>
            </w:pPr>
            <w:r>
              <w:t>本年计划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2835" w:type="dxa"/>
            <w:vAlign w:val="center"/>
          </w:tcPr>
          <w:p>
            <w:pPr>
              <w:pStyle w:val="13"/>
            </w:pPr>
            <w:r>
              <w:t>保障日常办公需要，维持单位正常运转</w:t>
            </w:r>
          </w:p>
        </w:tc>
        <w:tc>
          <w:tcPr>
            <w:tcW w:w="2551" w:type="dxa"/>
            <w:vAlign w:val="center"/>
          </w:tcPr>
          <w:p>
            <w:pPr>
              <w:pStyle w:val="13"/>
            </w:pPr>
            <w:r>
              <w:t>维持单位正常运转</w:t>
            </w:r>
          </w:p>
        </w:tc>
        <w:tc>
          <w:tcPr>
            <w:tcW w:w="2268" w:type="dxa"/>
            <w:vAlign w:val="center"/>
          </w:tcPr>
          <w:p>
            <w:pPr>
              <w:pStyle w:val="13"/>
            </w:pPr>
            <w:r>
              <w:t>本年计划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员工满意度</w:t>
            </w:r>
          </w:p>
        </w:tc>
        <w:tc>
          <w:tcPr>
            <w:tcW w:w="2835" w:type="dxa"/>
            <w:vAlign w:val="center"/>
          </w:tcPr>
          <w:p>
            <w:pPr>
              <w:pStyle w:val="13"/>
            </w:pPr>
            <w:r>
              <w:t>员工满意度</w:t>
            </w:r>
          </w:p>
        </w:tc>
        <w:tc>
          <w:tcPr>
            <w:tcW w:w="2551" w:type="dxa"/>
            <w:vAlign w:val="center"/>
          </w:tcPr>
          <w:p>
            <w:pPr>
              <w:pStyle w:val="13"/>
            </w:pPr>
            <w:r>
              <w:t>≥95百分比</w:t>
            </w:r>
          </w:p>
        </w:tc>
        <w:tc>
          <w:tcPr>
            <w:tcW w:w="2268" w:type="dxa"/>
            <w:vAlign w:val="center"/>
          </w:tcPr>
          <w:p>
            <w:pPr>
              <w:pStyle w:val="13"/>
            </w:pPr>
            <w:r>
              <w:t>本年计划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2、非全额事业单位专项补助绩效目标表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1.主要用于人员工资福利等支出，保障办公正常运转。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2835" w:type="dxa"/>
            <w:vAlign w:val="center"/>
          </w:tcPr>
          <w:p>
            <w:pPr>
              <w:pStyle w:val="13"/>
            </w:pPr>
            <w:r>
              <w:t>保障人数</w:t>
            </w:r>
          </w:p>
        </w:tc>
        <w:tc>
          <w:tcPr>
            <w:tcW w:w="2551" w:type="dxa"/>
            <w:vAlign w:val="center"/>
          </w:tcPr>
          <w:p>
            <w:pPr>
              <w:pStyle w:val="13"/>
            </w:pPr>
            <w:r>
              <w:t>≤76在职31人，退休45人</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2835" w:type="dxa"/>
            <w:vAlign w:val="center"/>
          </w:tcPr>
          <w:p>
            <w:pPr>
              <w:pStyle w:val="13"/>
            </w:pPr>
            <w:r>
              <w:t>工资福利等发放人员范围的精准性和发放数据的准确性</w:t>
            </w:r>
          </w:p>
        </w:tc>
        <w:tc>
          <w:tcPr>
            <w:tcW w:w="2551" w:type="dxa"/>
            <w:vAlign w:val="center"/>
          </w:tcPr>
          <w:p>
            <w:pPr>
              <w:pStyle w:val="13"/>
            </w:pPr>
            <w:r>
              <w:t>100百分比</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2835" w:type="dxa"/>
            <w:vAlign w:val="center"/>
          </w:tcPr>
          <w:p>
            <w:pPr>
              <w:pStyle w:val="13"/>
            </w:pPr>
            <w:r>
              <w:t>社会保障（公积金）缴纳数据的准确性</w:t>
            </w:r>
          </w:p>
        </w:tc>
        <w:tc>
          <w:tcPr>
            <w:tcW w:w="2551" w:type="dxa"/>
            <w:vAlign w:val="center"/>
          </w:tcPr>
          <w:p>
            <w:pPr>
              <w:pStyle w:val="13"/>
            </w:pPr>
            <w:r>
              <w:t>100百分比</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2835" w:type="dxa"/>
            <w:vAlign w:val="center"/>
          </w:tcPr>
          <w:p>
            <w:pPr>
              <w:pStyle w:val="13"/>
            </w:pPr>
            <w:r>
              <w:t>工资福利等发放的时效情况</w:t>
            </w:r>
          </w:p>
        </w:tc>
        <w:tc>
          <w:tcPr>
            <w:tcW w:w="2551" w:type="dxa"/>
            <w:vAlign w:val="center"/>
          </w:tcPr>
          <w:p>
            <w:pPr>
              <w:pStyle w:val="13"/>
            </w:pPr>
            <w:r>
              <w:t>按规定时间发放</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社会保障（公积金）缴纳及时性</w:t>
            </w:r>
          </w:p>
        </w:tc>
        <w:tc>
          <w:tcPr>
            <w:tcW w:w="2835" w:type="dxa"/>
            <w:vAlign w:val="center"/>
          </w:tcPr>
          <w:p>
            <w:pPr>
              <w:pStyle w:val="13"/>
            </w:pPr>
            <w:r>
              <w:t>社会保障（公积金）缴纳的时效情况</w:t>
            </w:r>
          </w:p>
        </w:tc>
        <w:tc>
          <w:tcPr>
            <w:tcW w:w="2551" w:type="dxa"/>
            <w:vAlign w:val="center"/>
          </w:tcPr>
          <w:p>
            <w:pPr>
              <w:pStyle w:val="13"/>
            </w:pPr>
            <w:r>
              <w:t>按规定时间缴纳</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2835" w:type="dxa"/>
            <w:vAlign w:val="center"/>
          </w:tcPr>
          <w:p>
            <w:pPr>
              <w:pStyle w:val="13"/>
            </w:pPr>
            <w:r>
              <w:t>工资（福利）、社会保障（公积金）等发放（缴纳）标准</w:t>
            </w:r>
          </w:p>
        </w:tc>
        <w:tc>
          <w:tcPr>
            <w:tcW w:w="2551" w:type="dxa"/>
            <w:vAlign w:val="center"/>
          </w:tcPr>
          <w:p>
            <w:pPr>
              <w:pStyle w:val="13"/>
            </w:pPr>
            <w:r>
              <w:t>按规定执行</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2835" w:type="dxa"/>
            <w:vAlign w:val="center"/>
          </w:tcPr>
          <w:p>
            <w:pPr>
              <w:pStyle w:val="13"/>
            </w:pPr>
            <w:r>
              <w:t>通过按时按标准发放工资福利等，进一步增强干部职工得归属感，保持干部队伍相对稳定，保障办公正常运转</w:t>
            </w:r>
          </w:p>
        </w:tc>
        <w:tc>
          <w:tcPr>
            <w:tcW w:w="2551" w:type="dxa"/>
            <w:vAlign w:val="center"/>
          </w:tcPr>
          <w:p>
            <w:pPr>
              <w:pStyle w:val="13"/>
            </w:pPr>
            <w:r>
              <w:t>保持干部队伍相对稳定</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≥95百分比</w:t>
            </w:r>
          </w:p>
        </w:tc>
        <w:tc>
          <w:tcPr>
            <w:tcW w:w="2268" w:type="dxa"/>
            <w:vAlign w:val="center"/>
          </w:tcPr>
          <w:p>
            <w:pPr>
              <w:pStyle w:val="13"/>
            </w:pPr>
            <w:r>
              <w:t>本年工作计划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3、劳务派遣专项补助绩效目标表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1.做好劳务派遣经费保障工作，保障办公正常运转。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2835" w:type="dxa"/>
            <w:vAlign w:val="center"/>
          </w:tcPr>
          <w:p>
            <w:pPr>
              <w:pStyle w:val="13"/>
            </w:pPr>
            <w:r>
              <w:t>保障办公人数</w:t>
            </w:r>
          </w:p>
        </w:tc>
        <w:tc>
          <w:tcPr>
            <w:tcW w:w="2551" w:type="dxa"/>
            <w:vAlign w:val="center"/>
          </w:tcPr>
          <w:p>
            <w:pPr>
              <w:pStyle w:val="13"/>
            </w:pPr>
            <w:r>
              <w:t>≤3232人</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2835" w:type="dxa"/>
            <w:vAlign w:val="center"/>
          </w:tcPr>
          <w:p>
            <w:pPr>
              <w:pStyle w:val="13"/>
            </w:pPr>
            <w:r>
              <w:t>各项日常工作保障率</w:t>
            </w:r>
          </w:p>
        </w:tc>
        <w:tc>
          <w:tcPr>
            <w:tcW w:w="2551" w:type="dxa"/>
            <w:vAlign w:val="center"/>
          </w:tcPr>
          <w:p>
            <w:pPr>
              <w:pStyle w:val="13"/>
            </w:pPr>
            <w:r>
              <w:t>100百分比</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及时保障各项日常办公需要</w:t>
            </w:r>
          </w:p>
        </w:tc>
        <w:tc>
          <w:tcPr>
            <w:tcW w:w="2551" w:type="dxa"/>
            <w:vAlign w:val="center"/>
          </w:tcPr>
          <w:p>
            <w:pPr>
              <w:pStyle w:val="13"/>
            </w:pPr>
            <w:r>
              <w:t>及时保障</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2835" w:type="dxa"/>
            <w:vAlign w:val="center"/>
          </w:tcPr>
          <w:p>
            <w:pPr>
              <w:pStyle w:val="13"/>
            </w:pPr>
            <w:r>
              <w:t>办公费、水电费、交通费、会议费、工会经费、招待费及其他公用经费的支出</w:t>
            </w:r>
          </w:p>
        </w:tc>
        <w:tc>
          <w:tcPr>
            <w:tcW w:w="2551" w:type="dxa"/>
            <w:vAlign w:val="center"/>
          </w:tcPr>
          <w:p>
            <w:pPr>
              <w:pStyle w:val="13"/>
            </w:pPr>
            <w:r>
              <w:t>按统一规定执行</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2835" w:type="dxa"/>
            <w:vAlign w:val="center"/>
          </w:tcPr>
          <w:p>
            <w:pPr>
              <w:pStyle w:val="13"/>
            </w:pPr>
            <w:r>
              <w:t>保障日常办公需要，维持单位正常运转</w:t>
            </w:r>
          </w:p>
        </w:tc>
        <w:tc>
          <w:tcPr>
            <w:tcW w:w="2551" w:type="dxa"/>
            <w:vAlign w:val="center"/>
          </w:tcPr>
          <w:p>
            <w:pPr>
              <w:pStyle w:val="13"/>
            </w:pPr>
            <w:r>
              <w:t>维持单位正常运转</w:t>
            </w:r>
          </w:p>
        </w:tc>
        <w:tc>
          <w:tcPr>
            <w:tcW w:w="2268" w:type="dxa"/>
            <w:vAlign w:val="center"/>
          </w:tcPr>
          <w:p>
            <w:pPr>
              <w:pStyle w:val="13"/>
            </w:pPr>
            <w:r>
              <w:t>本年工作计划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2835" w:type="dxa"/>
            <w:vAlign w:val="center"/>
          </w:tcPr>
          <w:p>
            <w:pPr>
              <w:pStyle w:val="13"/>
            </w:pPr>
            <w:r>
              <w:t>单位人员对工资福利等发放工作的满意程度</w:t>
            </w:r>
          </w:p>
        </w:tc>
        <w:tc>
          <w:tcPr>
            <w:tcW w:w="2551" w:type="dxa"/>
            <w:vAlign w:val="center"/>
          </w:tcPr>
          <w:p>
            <w:pPr>
              <w:pStyle w:val="13"/>
            </w:pPr>
            <w:r>
              <w:t>≥95百分比</w:t>
            </w:r>
          </w:p>
        </w:tc>
        <w:tc>
          <w:tcPr>
            <w:tcW w:w="2268" w:type="dxa"/>
            <w:vAlign w:val="center"/>
          </w:tcPr>
          <w:p>
            <w:pPr>
              <w:pStyle w:val="13"/>
            </w:pPr>
            <w:r>
              <w:t>本年工作计划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4、道路维修绩效目标表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1.实现城市道路、雨水排放设施完好畅通，使市政设施完好</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道路修复率</w:t>
            </w:r>
          </w:p>
        </w:tc>
        <w:tc>
          <w:tcPr>
            <w:tcW w:w="2835" w:type="dxa"/>
            <w:vAlign w:val="center"/>
          </w:tcPr>
          <w:p>
            <w:pPr>
              <w:pStyle w:val="13"/>
            </w:pPr>
            <w:r>
              <w:t>城市道路、雨水排放设施修复占总设施完好比率</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2835" w:type="dxa"/>
            <w:vAlign w:val="center"/>
          </w:tcPr>
          <w:p>
            <w:pPr>
              <w:pStyle w:val="13"/>
            </w:pPr>
            <w:r>
              <w:t>道路养护、维修覆盖率</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2835" w:type="dxa"/>
            <w:vAlign w:val="center"/>
          </w:tcPr>
          <w:p>
            <w:pPr>
              <w:pStyle w:val="13"/>
            </w:pPr>
            <w:r>
              <w:t>完工及时率</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2835" w:type="dxa"/>
            <w:vAlign w:val="center"/>
          </w:tcPr>
          <w:p>
            <w:pPr>
              <w:pStyle w:val="13"/>
            </w:pPr>
            <w:r>
              <w:t>按预算资金完成率</w:t>
            </w:r>
          </w:p>
        </w:tc>
        <w:tc>
          <w:tcPr>
            <w:tcW w:w="2551" w:type="dxa"/>
            <w:vAlign w:val="center"/>
          </w:tcPr>
          <w:p>
            <w:pPr>
              <w:pStyle w:val="13"/>
            </w:pPr>
            <w:r>
              <w:t>≥100百分比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长期使用性</w:t>
            </w:r>
          </w:p>
        </w:tc>
        <w:tc>
          <w:tcPr>
            <w:tcW w:w="2835" w:type="dxa"/>
            <w:vAlign w:val="center"/>
          </w:tcPr>
          <w:p>
            <w:pPr>
              <w:pStyle w:val="13"/>
            </w:pPr>
            <w:r>
              <w:t>道路、桥梁等长期使用性</w:t>
            </w:r>
          </w:p>
        </w:tc>
        <w:tc>
          <w:tcPr>
            <w:tcW w:w="2551" w:type="dxa"/>
            <w:vAlign w:val="center"/>
          </w:tcPr>
          <w:p>
            <w:pPr>
              <w:pStyle w:val="13"/>
            </w:pPr>
            <w:r>
              <w:t>≥100百分比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资金使用效益</w:t>
            </w:r>
          </w:p>
        </w:tc>
        <w:tc>
          <w:tcPr>
            <w:tcW w:w="2835" w:type="dxa"/>
            <w:vAlign w:val="center"/>
          </w:tcPr>
          <w:p>
            <w:pPr>
              <w:pStyle w:val="13"/>
            </w:pPr>
            <w:r>
              <w:t>资金使用效益</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道路设施完好率</w:t>
            </w:r>
          </w:p>
        </w:tc>
        <w:tc>
          <w:tcPr>
            <w:tcW w:w="2835" w:type="dxa"/>
            <w:vAlign w:val="center"/>
          </w:tcPr>
          <w:p>
            <w:pPr>
              <w:pStyle w:val="13"/>
            </w:pPr>
            <w:r>
              <w:t>实现城市道路、雨水排放设施完好畅通，使市政设施完好</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污水处理率</w:t>
            </w:r>
          </w:p>
        </w:tc>
        <w:tc>
          <w:tcPr>
            <w:tcW w:w="2835" w:type="dxa"/>
            <w:vAlign w:val="center"/>
          </w:tcPr>
          <w:p>
            <w:pPr>
              <w:pStyle w:val="13"/>
            </w:pPr>
            <w:r>
              <w:t>污水处理率</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民众满意度</w:t>
            </w:r>
          </w:p>
        </w:tc>
        <w:tc>
          <w:tcPr>
            <w:tcW w:w="2835" w:type="dxa"/>
            <w:vAlign w:val="center"/>
          </w:tcPr>
          <w:p>
            <w:pPr>
              <w:pStyle w:val="13"/>
            </w:pPr>
            <w:r>
              <w:t>群众享受道路畅通的满意度</w:t>
            </w:r>
          </w:p>
        </w:tc>
        <w:tc>
          <w:tcPr>
            <w:tcW w:w="2551" w:type="dxa"/>
            <w:vAlign w:val="center"/>
          </w:tcPr>
          <w:p>
            <w:pPr>
              <w:pStyle w:val="13"/>
            </w:pPr>
            <w:r>
              <w:t>≥95百分比</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5、沿海沿河沟（口）保洁绩效目标表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1.保证沟口内水质干净，没有漂浮物；沟口地表干净，没有垃圾，沟体设施干净.</w:t>
            </w:r>
          </w:p>
          <w:p>
            <w:pPr>
              <w:pStyle w:val="13"/>
            </w:pP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沟口保洁率</w:t>
            </w:r>
          </w:p>
        </w:tc>
        <w:tc>
          <w:tcPr>
            <w:tcW w:w="2835" w:type="dxa"/>
            <w:vAlign w:val="center"/>
          </w:tcPr>
          <w:p>
            <w:pPr>
              <w:pStyle w:val="13"/>
            </w:pPr>
            <w:r>
              <w:t>已完成保洁量占沟口总量比率</w:t>
            </w:r>
          </w:p>
        </w:tc>
        <w:tc>
          <w:tcPr>
            <w:tcW w:w="2551" w:type="dxa"/>
            <w:vAlign w:val="center"/>
          </w:tcPr>
          <w:p>
            <w:pPr>
              <w:pStyle w:val="13"/>
            </w:pPr>
            <w:r>
              <w:t>≥98百分比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河道水面洁净率</w:t>
            </w:r>
          </w:p>
        </w:tc>
        <w:tc>
          <w:tcPr>
            <w:tcW w:w="2835" w:type="dxa"/>
            <w:vAlign w:val="center"/>
          </w:tcPr>
          <w:p>
            <w:pPr>
              <w:pStyle w:val="13"/>
            </w:pPr>
            <w:r>
              <w:t>河道水面洁净率</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2835" w:type="dxa"/>
            <w:vAlign w:val="center"/>
          </w:tcPr>
          <w:p>
            <w:pPr>
              <w:pStyle w:val="13"/>
            </w:pPr>
            <w:r>
              <w:t>按期完成率</w:t>
            </w:r>
          </w:p>
        </w:tc>
        <w:tc>
          <w:tcPr>
            <w:tcW w:w="2551" w:type="dxa"/>
            <w:vAlign w:val="center"/>
          </w:tcPr>
          <w:p>
            <w:pPr>
              <w:pStyle w:val="13"/>
            </w:pPr>
            <w:r>
              <w:t>≥98百分比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沟口疏通成本</w:t>
            </w:r>
          </w:p>
        </w:tc>
        <w:tc>
          <w:tcPr>
            <w:tcW w:w="2835" w:type="dxa"/>
            <w:vAlign w:val="center"/>
          </w:tcPr>
          <w:p>
            <w:pPr>
              <w:pStyle w:val="13"/>
            </w:pPr>
            <w:r>
              <w:t>沟口疏通成本</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改善水环境</w:t>
            </w:r>
          </w:p>
        </w:tc>
        <w:tc>
          <w:tcPr>
            <w:tcW w:w="2835" w:type="dxa"/>
            <w:vAlign w:val="center"/>
          </w:tcPr>
          <w:p>
            <w:pPr>
              <w:pStyle w:val="13"/>
            </w:pPr>
            <w:r>
              <w:t>改善水环境</w:t>
            </w:r>
          </w:p>
        </w:tc>
        <w:tc>
          <w:tcPr>
            <w:tcW w:w="2551" w:type="dxa"/>
            <w:vAlign w:val="center"/>
          </w:tcPr>
          <w:p>
            <w:pPr>
              <w:pStyle w:val="13"/>
            </w:pPr>
            <w:r>
              <w:t>保证沟口内水质干净</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城市道路、雨水排放设施修复完好率</w:t>
            </w:r>
          </w:p>
        </w:tc>
        <w:tc>
          <w:tcPr>
            <w:tcW w:w="2835" w:type="dxa"/>
            <w:vAlign w:val="center"/>
          </w:tcPr>
          <w:p>
            <w:pPr>
              <w:pStyle w:val="13"/>
            </w:pPr>
            <w:r>
              <w:t>城市道路、雨水排放设施修复占总设施完好比率</w:t>
            </w:r>
          </w:p>
        </w:tc>
        <w:tc>
          <w:tcPr>
            <w:tcW w:w="2551" w:type="dxa"/>
            <w:vAlign w:val="center"/>
          </w:tcPr>
          <w:p>
            <w:pPr>
              <w:pStyle w:val="13"/>
            </w:pPr>
            <w:r>
              <w:t>≥98百分比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污水处理率</w:t>
            </w:r>
          </w:p>
        </w:tc>
        <w:tc>
          <w:tcPr>
            <w:tcW w:w="2835" w:type="dxa"/>
            <w:vAlign w:val="center"/>
          </w:tcPr>
          <w:p>
            <w:pPr>
              <w:pStyle w:val="13"/>
            </w:pPr>
            <w:r>
              <w:t>污水处理率</w:t>
            </w:r>
          </w:p>
        </w:tc>
        <w:tc>
          <w:tcPr>
            <w:tcW w:w="2551" w:type="dxa"/>
            <w:vAlign w:val="center"/>
          </w:tcPr>
          <w:p>
            <w:pPr>
              <w:pStyle w:val="13"/>
            </w:pPr>
            <w:r>
              <w:t>≥95百分比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≥95百分比</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2022年，秦皇岛市北戴河区市政维修建设中心安排政府采购预算28.01万元。具体内容见下表。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333006秦皇岛市北戴河区市政维修建设中心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28.01</w:t>
            </w:r>
          </w:p>
        </w:tc>
        <w:tc>
          <w:tcPr>
            <w:tcW w:w="964" w:type="dxa"/>
            <w:vAlign w:val="center"/>
          </w:tcPr>
          <w:p>
            <w:pPr>
              <w:pStyle w:val="16"/>
            </w:pPr>
            <w:r>
              <w:t>28.01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秦皇岛市北戴河区市政维修建设中心小计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28.01</w:t>
            </w:r>
          </w:p>
        </w:tc>
        <w:tc>
          <w:tcPr>
            <w:tcW w:w="964" w:type="dxa"/>
            <w:vAlign w:val="center"/>
          </w:tcPr>
          <w:p>
            <w:pPr>
              <w:pStyle w:val="16"/>
            </w:pPr>
            <w:r>
              <w:t>28.01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非全额事业单位定额补助</w:t>
            </w:r>
          </w:p>
        </w:tc>
        <w:tc>
          <w:tcPr>
            <w:tcW w:w="964" w:type="dxa"/>
            <w:vAlign w:val="center"/>
          </w:tcPr>
          <w:p>
            <w:pPr>
              <w:pStyle w:val="12"/>
            </w:pPr>
            <w:r>
              <w:t>32.09</w:t>
            </w:r>
          </w:p>
        </w:tc>
        <w:tc>
          <w:tcPr>
            <w:tcW w:w="1134" w:type="dxa"/>
            <w:vAlign w:val="center"/>
          </w:tcPr>
          <w:p>
            <w:pPr>
              <w:pStyle w:val="13"/>
            </w:pPr>
            <w:r>
              <w:t>台式计算机</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非全额事业单位定额补助</w:t>
            </w:r>
          </w:p>
        </w:tc>
        <w:tc>
          <w:tcPr>
            <w:tcW w:w="964" w:type="dxa"/>
            <w:vAlign w:val="center"/>
          </w:tcPr>
          <w:p>
            <w:pPr>
              <w:pStyle w:val="12"/>
            </w:pPr>
            <w:r>
              <w:t>32.09</w:t>
            </w:r>
          </w:p>
        </w:tc>
        <w:tc>
          <w:tcPr>
            <w:tcW w:w="1134" w:type="dxa"/>
            <w:vAlign w:val="center"/>
          </w:tcPr>
          <w:p>
            <w:pPr>
              <w:pStyle w:val="13"/>
            </w:pPr>
            <w:r>
              <w:t>复印纸</w:t>
            </w:r>
          </w:p>
        </w:tc>
        <w:tc>
          <w:tcPr>
            <w:tcW w:w="1134" w:type="dxa"/>
            <w:vAlign w:val="center"/>
          </w:tcPr>
          <w:p>
            <w:pPr>
              <w:pStyle w:val="13"/>
            </w:pPr>
            <w:r>
              <w:t>A090101</w:t>
            </w:r>
          </w:p>
        </w:tc>
        <w:tc>
          <w:tcPr>
            <w:tcW w:w="709" w:type="dxa"/>
            <w:vAlign w:val="center"/>
          </w:tcPr>
          <w:p>
            <w:pPr>
              <w:pStyle w:val="14"/>
            </w:pPr>
            <w:r>
              <w:t>箱</w:t>
            </w:r>
          </w:p>
        </w:tc>
        <w:tc>
          <w:tcPr>
            <w:tcW w:w="850" w:type="dxa"/>
            <w:vAlign w:val="center"/>
          </w:tcPr>
          <w:p>
            <w:pPr>
              <w:pStyle w:val="12"/>
            </w:pPr>
            <w:r>
              <w:t>20</w:t>
            </w:r>
          </w:p>
        </w:tc>
        <w:tc>
          <w:tcPr>
            <w:tcW w:w="850" w:type="dxa"/>
            <w:vAlign w:val="center"/>
          </w:tcPr>
          <w:p>
            <w:pPr>
              <w:pStyle w:val="12"/>
            </w:pPr>
            <w:r>
              <w:t>0.12</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非全额事业单位定额补助</w:t>
            </w:r>
          </w:p>
        </w:tc>
        <w:tc>
          <w:tcPr>
            <w:tcW w:w="964" w:type="dxa"/>
            <w:vAlign w:val="center"/>
          </w:tcPr>
          <w:p>
            <w:pPr>
              <w:pStyle w:val="12"/>
            </w:pPr>
            <w:r>
              <w:t>32.09</w:t>
            </w:r>
          </w:p>
        </w:tc>
        <w:tc>
          <w:tcPr>
            <w:tcW w:w="1134" w:type="dxa"/>
            <w:vAlign w:val="center"/>
          </w:tcPr>
          <w:p>
            <w:pPr>
              <w:pStyle w:val="13"/>
            </w:pPr>
            <w:r>
              <w:t>车辆加油服务</w:t>
            </w:r>
          </w:p>
        </w:tc>
        <w:tc>
          <w:tcPr>
            <w:tcW w:w="1134" w:type="dxa"/>
            <w:vAlign w:val="center"/>
          </w:tcPr>
          <w:p>
            <w:pPr>
              <w:pStyle w:val="13"/>
            </w:pPr>
            <w:r>
              <w:t>C050302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1.09</w:t>
            </w:r>
          </w:p>
        </w:tc>
        <w:tc>
          <w:tcPr>
            <w:tcW w:w="964" w:type="dxa"/>
            <w:vAlign w:val="center"/>
          </w:tcPr>
          <w:p>
            <w:pPr>
              <w:pStyle w:val="12"/>
            </w:pPr>
            <w:r>
              <w:t>1.09</w:t>
            </w:r>
          </w:p>
        </w:tc>
        <w:tc>
          <w:tcPr>
            <w:tcW w:w="964" w:type="dxa"/>
            <w:vAlign w:val="center"/>
          </w:tcPr>
          <w:p>
            <w:pPr>
              <w:pStyle w:val="12"/>
            </w:pPr>
            <w:r>
              <w:t>1.09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非全额事业单位定额补助</w:t>
            </w:r>
          </w:p>
        </w:tc>
        <w:tc>
          <w:tcPr>
            <w:tcW w:w="964" w:type="dxa"/>
            <w:vAlign w:val="center"/>
          </w:tcPr>
          <w:p>
            <w:pPr>
              <w:pStyle w:val="12"/>
            </w:pPr>
            <w:r>
              <w:t>32.09</w:t>
            </w:r>
          </w:p>
        </w:tc>
        <w:tc>
          <w:tcPr>
            <w:tcW w:w="1134" w:type="dxa"/>
            <w:vAlign w:val="center"/>
          </w:tcPr>
          <w:p>
            <w:pPr>
              <w:pStyle w:val="13"/>
            </w:pPr>
            <w:r>
              <w:t>机动车保险服务</w:t>
            </w:r>
          </w:p>
        </w:tc>
        <w:tc>
          <w:tcPr>
            <w:tcW w:w="1134" w:type="dxa"/>
            <w:vAlign w:val="center"/>
          </w:tcPr>
          <w:p>
            <w:pPr>
              <w:pStyle w:val="13"/>
            </w:pPr>
            <w:r>
              <w:t>C15040201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1.41</w:t>
            </w:r>
          </w:p>
        </w:tc>
        <w:tc>
          <w:tcPr>
            <w:tcW w:w="964" w:type="dxa"/>
            <w:vAlign w:val="center"/>
          </w:tcPr>
          <w:p>
            <w:pPr>
              <w:pStyle w:val="12"/>
            </w:pPr>
            <w:r>
              <w:t>1.41</w:t>
            </w:r>
          </w:p>
        </w:tc>
        <w:tc>
          <w:tcPr>
            <w:tcW w:w="964" w:type="dxa"/>
            <w:vAlign w:val="center"/>
          </w:tcPr>
          <w:p>
            <w:pPr>
              <w:pStyle w:val="12"/>
            </w:pPr>
            <w:r>
              <w:t>1.41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道路维修</w:t>
            </w:r>
          </w:p>
        </w:tc>
        <w:tc>
          <w:tcPr>
            <w:tcW w:w="964" w:type="dxa"/>
            <w:vAlign w:val="center"/>
          </w:tcPr>
          <w:p>
            <w:pPr>
              <w:pStyle w:val="12"/>
            </w:pPr>
            <w:r>
              <w:t>627.22</w:t>
            </w:r>
          </w:p>
        </w:tc>
        <w:tc>
          <w:tcPr>
            <w:tcW w:w="1134" w:type="dxa"/>
            <w:vAlign w:val="center"/>
          </w:tcPr>
          <w:p>
            <w:pPr>
              <w:pStyle w:val="13"/>
            </w:pPr>
            <w:r>
              <w:t>载货汽车（含自卸汽车）</w:t>
            </w:r>
          </w:p>
        </w:tc>
        <w:tc>
          <w:tcPr>
            <w:tcW w:w="1134" w:type="dxa"/>
            <w:vAlign w:val="center"/>
          </w:tcPr>
          <w:p>
            <w:pPr>
              <w:pStyle w:val="13"/>
            </w:pPr>
            <w:r>
              <w:t>A020301</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12.00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道路维修</w:t>
            </w:r>
          </w:p>
        </w:tc>
        <w:tc>
          <w:tcPr>
            <w:tcW w:w="964" w:type="dxa"/>
            <w:vAlign w:val="center"/>
          </w:tcPr>
          <w:p>
            <w:pPr>
              <w:pStyle w:val="12"/>
            </w:pPr>
            <w:r>
              <w:t>627.22</w:t>
            </w:r>
          </w:p>
        </w:tc>
        <w:tc>
          <w:tcPr>
            <w:tcW w:w="1134" w:type="dxa"/>
            <w:vAlign w:val="center"/>
          </w:tcPr>
          <w:p>
            <w:pPr>
              <w:pStyle w:val="13"/>
            </w:pPr>
            <w:r>
              <w:t>车辆维修和保养服务</w:t>
            </w:r>
          </w:p>
        </w:tc>
        <w:tc>
          <w:tcPr>
            <w:tcW w:w="1134" w:type="dxa"/>
            <w:vAlign w:val="center"/>
          </w:tcPr>
          <w:p>
            <w:pPr>
              <w:pStyle w:val="13"/>
            </w:pPr>
            <w:r>
              <w:t>C050301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6.20</w:t>
            </w:r>
          </w:p>
        </w:tc>
        <w:tc>
          <w:tcPr>
            <w:tcW w:w="964" w:type="dxa"/>
            <w:vAlign w:val="center"/>
          </w:tcPr>
          <w:p>
            <w:pPr>
              <w:pStyle w:val="12"/>
            </w:pPr>
            <w:r>
              <w:t>6.20</w:t>
            </w:r>
          </w:p>
        </w:tc>
        <w:tc>
          <w:tcPr>
            <w:tcW w:w="964" w:type="dxa"/>
            <w:vAlign w:val="center"/>
          </w:tcPr>
          <w:p>
            <w:pPr>
              <w:pStyle w:val="12"/>
            </w:pPr>
            <w:r>
              <w:t>6.20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道路维修</w:t>
            </w:r>
          </w:p>
        </w:tc>
        <w:tc>
          <w:tcPr>
            <w:tcW w:w="964" w:type="dxa"/>
            <w:vAlign w:val="center"/>
          </w:tcPr>
          <w:p>
            <w:pPr>
              <w:pStyle w:val="12"/>
            </w:pPr>
            <w:r>
              <w:t>627.22</w:t>
            </w:r>
          </w:p>
        </w:tc>
        <w:tc>
          <w:tcPr>
            <w:tcW w:w="1134" w:type="dxa"/>
            <w:vAlign w:val="center"/>
          </w:tcPr>
          <w:p>
            <w:pPr>
              <w:pStyle w:val="13"/>
            </w:pPr>
            <w:r>
              <w:t>车辆加油服务</w:t>
            </w:r>
          </w:p>
        </w:tc>
        <w:tc>
          <w:tcPr>
            <w:tcW w:w="1134" w:type="dxa"/>
            <w:vAlign w:val="center"/>
          </w:tcPr>
          <w:p>
            <w:pPr>
              <w:pStyle w:val="13"/>
            </w:pPr>
            <w:r>
              <w:t>C050302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3.91</w:t>
            </w:r>
          </w:p>
        </w:tc>
        <w:tc>
          <w:tcPr>
            <w:tcW w:w="964" w:type="dxa"/>
            <w:vAlign w:val="center"/>
          </w:tcPr>
          <w:p>
            <w:pPr>
              <w:pStyle w:val="12"/>
            </w:pPr>
            <w:r>
              <w:t>3.91</w:t>
            </w:r>
          </w:p>
        </w:tc>
        <w:tc>
          <w:tcPr>
            <w:tcW w:w="964" w:type="dxa"/>
            <w:vAlign w:val="center"/>
          </w:tcPr>
          <w:p>
            <w:pPr>
              <w:pStyle w:val="12"/>
            </w:pPr>
            <w:r>
              <w:t>3.91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秦皇岛市北戴河区市政维修建设中心上年末固定资产金额为345</w:t>
      </w:r>
      <w:r>
        <w:rPr>
          <w:rFonts w:hint="eastAsia" w:eastAsiaTheme="minorEastAsia"/>
          <w:color w:val="000000"/>
          <w:sz w:val="28"/>
          <w:lang w:eastAsia="zh-CN"/>
        </w:rPr>
        <w:t>.</w:t>
      </w:r>
      <w:r>
        <w:rPr>
          <w:rFonts w:eastAsia="方正仿宋_GBK"/>
          <w:color w:val="000000"/>
          <w:sz w:val="28"/>
        </w:rPr>
        <w:t>58</w:t>
      </w:r>
      <w:r>
        <w:rPr>
          <w:rFonts w:hint="eastAsia" w:eastAsiaTheme="minorEastAsia"/>
          <w:color w:val="000000"/>
          <w:sz w:val="28"/>
          <w:lang w:eastAsia="zh-CN"/>
        </w:rPr>
        <w:t>万</w:t>
      </w:r>
      <w:r>
        <w:rPr>
          <w:rFonts w:eastAsia="方正仿宋_GBK"/>
          <w:color w:val="000000"/>
          <w:sz w:val="28"/>
        </w:rPr>
        <w:t>元（详见下表）。本年度拟购置固定资产总额为13.00万元，已按要求列入政府采购预算，详见政府采购预算表。</w:t>
      </w: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highlight w:val="none"/>
              </w:rPr>
            </w:pPr>
            <w:r>
              <w:rPr>
                <w:highlight w:val="none"/>
              </w:rPr>
              <w:t>333006秦皇岛市北戴河区市政维修建设中心</w:t>
            </w:r>
          </w:p>
        </w:tc>
        <w:tc>
          <w:tcPr>
            <w:tcW w:w="5669"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highlight w:val="none"/>
              </w:rPr>
            </w:pPr>
            <w:r>
              <w:rPr>
                <w:highlight w:val="none"/>
              </w:rPr>
              <w:t>项   目</w:t>
            </w:r>
          </w:p>
        </w:tc>
        <w:tc>
          <w:tcPr>
            <w:tcW w:w="2835" w:type="dxa"/>
            <w:vAlign w:val="center"/>
          </w:tcPr>
          <w:p>
            <w:pPr>
              <w:pStyle w:val="11"/>
              <w:rPr>
                <w:highlight w:val="none"/>
              </w:rPr>
            </w:pPr>
            <w:r>
              <w:rPr>
                <w:highlight w:val="none"/>
              </w:rPr>
              <w:t>数量</w:t>
            </w:r>
          </w:p>
        </w:tc>
        <w:tc>
          <w:tcPr>
            <w:tcW w:w="2835" w:type="dxa"/>
            <w:vAlign w:val="center"/>
          </w:tcPr>
          <w:p>
            <w:pPr>
              <w:pStyle w:val="11"/>
              <w:rPr>
                <w:highlight w:val="none"/>
              </w:rPr>
            </w:pPr>
            <w:r>
              <w:rPr>
                <w:highlight w:val="none"/>
              </w:rPr>
              <w:t>价值（金额单位：</w:t>
            </w:r>
            <w:r>
              <w:rPr>
                <w:rFonts w:hint="eastAsia" w:eastAsiaTheme="minorEastAsia"/>
                <w:highlight w:val="none"/>
                <w:lang w:eastAsia="zh-CN"/>
              </w:rPr>
              <w:t>万</w:t>
            </w:r>
            <w:r>
              <w:rPr>
                <w:highlight w:val="none"/>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资产总额</w:t>
            </w:r>
          </w:p>
        </w:tc>
        <w:tc>
          <w:tcPr>
            <w:tcW w:w="2835" w:type="dxa"/>
            <w:vAlign w:val="center"/>
          </w:tcPr>
          <w:p>
            <w:pPr>
              <w:pStyle w:val="14"/>
              <w:rPr>
                <w:highlight w:val="none"/>
              </w:rPr>
            </w:pPr>
          </w:p>
        </w:tc>
        <w:tc>
          <w:tcPr>
            <w:tcW w:w="2835" w:type="dxa"/>
            <w:vAlign w:val="center"/>
          </w:tcPr>
          <w:p>
            <w:pPr>
              <w:pStyle w:val="12"/>
              <w:rPr>
                <w:rFonts w:hint="eastAsia" w:eastAsiaTheme="minorEastAsia"/>
                <w:highlight w:val="none"/>
                <w:lang w:eastAsia="zh-CN"/>
              </w:rPr>
            </w:pPr>
            <w:r>
              <w:rPr>
                <w:highlight w:val="none"/>
              </w:rPr>
              <w:t>345</w:t>
            </w:r>
            <w:r>
              <w:rPr>
                <w:rFonts w:hint="eastAsia" w:eastAsiaTheme="minorEastAsia"/>
                <w:highlight w:val="none"/>
                <w:lang w:eastAsia="zh-CN"/>
              </w:rPr>
              <w:t>.</w:t>
            </w:r>
            <w:r>
              <w:rPr>
                <w:highlight w:val="none"/>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1、房屋（平方米）</w:t>
            </w:r>
          </w:p>
        </w:tc>
        <w:tc>
          <w:tcPr>
            <w:tcW w:w="2835" w:type="dxa"/>
            <w:vAlign w:val="center"/>
          </w:tcPr>
          <w:p>
            <w:pPr>
              <w:pStyle w:val="14"/>
              <w:rPr>
                <w:highlight w:val="none"/>
              </w:rPr>
            </w:pPr>
            <w:r>
              <w:rPr>
                <w:highlight w:val="none"/>
              </w:rPr>
              <w:t>335</w:t>
            </w:r>
          </w:p>
        </w:tc>
        <w:tc>
          <w:tcPr>
            <w:tcW w:w="2835" w:type="dxa"/>
            <w:vAlign w:val="center"/>
          </w:tcPr>
          <w:p>
            <w:pPr>
              <w:pStyle w:val="12"/>
              <w:rPr>
                <w:rFonts w:hint="eastAsia" w:eastAsiaTheme="minorEastAsia"/>
                <w:highlight w:val="none"/>
                <w:lang w:eastAsia="zh-CN"/>
              </w:rPr>
            </w:pPr>
            <w:r>
              <w:rPr>
                <w:highlight w:val="none"/>
              </w:rPr>
              <w:t>3</w:t>
            </w:r>
            <w:r>
              <w:rPr>
                <w:rFonts w:hint="eastAsia" w:eastAsiaTheme="minorEastAsia"/>
                <w:highlight w:val="none"/>
                <w:lang w:eastAsia="zh-CN"/>
              </w:rPr>
              <w:t>.</w:t>
            </w:r>
            <w:r>
              <w:rPr>
                <w:highlight w:val="none"/>
              </w:rP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　　其中：办公用房（平方米）</w:t>
            </w:r>
          </w:p>
        </w:tc>
        <w:tc>
          <w:tcPr>
            <w:tcW w:w="2835" w:type="dxa"/>
            <w:vAlign w:val="center"/>
          </w:tcPr>
          <w:p>
            <w:pPr>
              <w:pStyle w:val="14"/>
              <w:rPr>
                <w:highlight w:val="none"/>
              </w:rPr>
            </w:pPr>
          </w:p>
        </w:tc>
        <w:tc>
          <w:tcPr>
            <w:tcW w:w="2835"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2、车辆（台、辆）</w:t>
            </w:r>
          </w:p>
        </w:tc>
        <w:tc>
          <w:tcPr>
            <w:tcW w:w="2835" w:type="dxa"/>
            <w:vAlign w:val="center"/>
          </w:tcPr>
          <w:p>
            <w:pPr>
              <w:pStyle w:val="14"/>
              <w:rPr>
                <w:highlight w:val="none"/>
              </w:rPr>
            </w:pPr>
            <w:r>
              <w:rPr>
                <w:highlight w:val="none"/>
              </w:rPr>
              <w:t>4</w:t>
            </w:r>
          </w:p>
        </w:tc>
        <w:tc>
          <w:tcPr>
            <w:tcW w:w="2835" w:type="dxa"/>
            <w:vAlign w:val="center"/>
          </w:tcPr>
          <w:p>
            <w:pPr>
              <w:pStyle w:val="12"/>
              <w:rPr>
                <w:rFonts w:hint="eastAsia" w:eastAsiaTheme="minorEastAsia"/>
                <w:highlight w:val="none"/>
                <w:lang w:eastAsia="zh-CN"/>
              </w:rPr>
            </w:pPr>
            <w:r>
              <w:rPr>
                <w:highlight w:val="none"/>
              </w:rPr>
              <w:t>93</w:t>
            </w:r>
            <w:r>
              <w:rPr>
                <w:rFonts w:hint="eastAsia" w:eastAsiaTheme="minorEastAsia"/>
                <w:highlight w:val="none"/>
                <w:lang w:eastAsia="zh-CN"/>
              </w:rPr>
              <w:t>.</w:t>
            </w:r>
            <w:r>
              <w:rPr>
                <w:highlight w:val="none"/>
              </w:rPr>
              <w:t>4</w:t>
            </w:r>
            <w:r>
              <w:rPr>
                <w:rFonts w:hint="eastAsia" w:eastAsiaTheme="minorEastAsia"/>
                <w:highlight w:val="none"/>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3、单价在20万元以上的设备</w:t>
            </w:r>
          </w:p>
        </w:tc>
        <w:tc>
          <w:tcPr>
            <w:tcW w:w="2835" w:type="dxa"/>
            <w:vAlign w:val="center"/>
          </w:tcPr>
          <w:p>
            <w:pPr>
              <w:pStyle w:val="14"/>
              <w:rPr>
                <w:highlight w:val="none"/>
              </w:rPr>
            </w:pPr>
          </w:p>
        </w:tc>
        <w:tc>
          <w:tcPr>
            <w:tcW w:w="2835"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highlight w:val="none"/>
              </w:rPr>
              <w:t>4、其他固定资产</w:t>
            </w:r>
          </w:p>
        </w:tc>
        <w:tc>
          <w:tcPr>
            <w:tcW w:w="2835" w:type="dxa"/>
            <w:vAlign w:val="center"/>
          </w:tcPr>
          <w:p>
            <w:pPr>
              <w:pStyle w:val="14"/>
              <w:rPr>
                <w:highlight w:val="none"/>
              </w:rPr>
            </w:pPr>
            <w:r>
              <w:rPr>
                <w:highlight w:val="none"/>
              </w:rPr>
              <w:t>184</w:t>
            </w:r>
          </w:p>
        </w:tc>
        <w:tc>
          <w:tcPr>
            <w:tcW w:w="2835" w:type="dxa"/>
            <w:vAlign w:val="center"/>
          </w:tcPr>
          <w:p>
            <w:pPr>
              <w:pStyle w:val="12"/>
              <w:rPr>
                <w:rFonts w:hint="eastAsia" w:eastAsiaTheme="minorEastAsia"/>
                <w:highlight w:val="none"/>
                <w:lang w:eastAsia="zh-CN"/>
              </w:rPr>
            </w:pPr>
            <w:r>
              <w:rPr>
                <w:highlight w:val="none"/>
              </w:rPr>
              <w:t>248</w:t>
            </w:r>
            <w:r>
              <w:rPr>
                <w:rFonts w:hint="eastAsia" w:eastAsiaTheme="minorEastAsia"/>
                <w:highlight w:val="none"/>
                <w:lang w:eastAsia="zh-CN"/>
              </w:rPr>
              <w:t>.</w:t>
            </w:r>
            <w:r>
              <w:rPr>
                <w:highlight w:val="none"/>
              </w:rPr>
              <w:t>30</w:t>
            </w:r>
          </w:p>
        </w:tc>
      </w:tr>
    </w:tbl>
    <w:p>
      <w:pPr>
        <w:ind w:firstLine="640"/>
        <w:rPr>
          <w:highlight w:val="none"/>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24"/>
      <w:r>
        <w:rPr>
          <w:rFonts w:ascii="方正小标宋_GBK" w:hAnsi="方正小标宋_GBK" w:eastAsia="方正小标宋_GBK" w:cs="方正小标宋_GBK"/>
          <w:color w:val="000000"/>
          <w:sz w:val="44"/>
        </w:rPr>
        <w:t>六、北戴河区房屋征收服务中心收支预算</w:t>
      </w:r>
      <w:bookmarkEnd w:id="5"/>
    </w:p>
    <w:p>
      <w:pPr>
        <w:jc w:val="center"/>
        <w:outlineLvl w:val="4"/>
      </w:pPr>
      <w:r>
        <w:rPr>
          <w:rFonts w:ascii="方正小标宋_GBK" w:hAnsi="方正小标宋_GBK" w:eastAsia="方正小标宋_GBK" w:cs="方正小标宋_GBK"/>
          <w:color w:val="000000"/>
          <w:sz w:val="36"/>
        </w:rPr>
        <w:t>单位预算收支总表</w:t>
      </w:r>
    </w:p>
    <w:p>
      <w:pPr>
        <w:jc w:val="center"/>
        <w:outlineLvl w:val="4"/>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2126"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预算年度：2022</w:t>
            </w:r>
          </w:p>
        </w:tc>
        <w:tc>
          <w:tcPr>
            <w:tcW w:w="6661" w:type="dxa"/>
            <w:gridSpan w:val="2"/>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40.97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r>
    </w:tbl>
    <w:p>
      <w:pPr>
        <w:rPr>
          <w:rFonts w:hint="eastAsia" w:ascii="方正小标宋_GBK" w:hAnsi="方正小标宋_GBK" w:cs="宋体"/>
          <w:color w:val="000000"/>
          <w:sz w:val="36"/>
          <w:szCs w:val="36"/>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color w:val="000000"/>
          <w:sz w:val="36"/>
          <w:szCs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3402" w:type="dxa"/>
            <w:gridSpan w:val="3"/>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预算年度：2022</w:t>
            </w:r>
          </w:p>
        </w:tc>
        <w:tc>
          <w:tcPr>
            <w:tcW w:w="5670" w:type="dxa"/>
            <w:gridSpan w:val="5"/>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功能分类科目</w:t>
            </w:r>
          </w:p>
        </w:tc>
        <w:tc>
          <w:tcPr>
            <w:tcW w:w="1134"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合计</w:t>
            </w:r>
          </w:p>
        </w:tc>
        <w:tc>
          <w:tcPr>
            <w:tcW w:w="9072" w:type="dxa"/>
            <w:gridSpan w:val="8"/>
            <w:tcBorders>
              <w:top w:val="single" w:color="000000" w:sz="6" w:space="0"/>
              <w:left w:val="single" w:color="000000" w:sz="6" w:space="0"/>
              <w:bottom w:val="nil"/>
              <w:right w:val="single" w:color="000000" w:sz="6" w:space="0"/>
            </w:tcBorders>
            <w:vAlign w:val="center"/>
          </w:tcPr>
          <w:p>
            <w:pPr>
              <w:pStyle w:val="11"/>
              <w:rPr>
                <w:rFonts w:cs="Times New Roman"/>
              </w:rPr>
            </w:pPr>
            <w:r>
              <w:rPr>
                <w:rFonts w:cs="Times New Roman"/>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科目名称</w:t>
            </w:r>
          </w:p>
        </w:tc>
        <w:tc>
          <w:tcPr>
            <w:tcW w:w="300"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1.94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1.94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1.94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1.88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1.88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1.88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城乡社区支出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城乡社区管理事务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2120103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机关服务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bl>
    <w:p>
      <w:pPr>
        <w:rPr>
          <w:rFonts w:hint="eastAsia" w:ascii="方正小标宋_GBK" w:hAnsi="方正小标宋_GBK" w:cs="宋体"/>
          <w:color w:val="000000"/>
          <w:sz w:val="36"/>
          <w:szCs w:val="36"/>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color w:val="000000"/>
          <w:sz w:val="36"/>
          <w:szCs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2722" w:type="dxa"/>
            <w:gridSpan w:val="2"/>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预算年度：2022</w:t>
            </w:r>
          </w:p>
        </w:tc>
        <w:tc>
          <w:tcPr>
            <w:tcW w:w="5444" w:type="dxa"/>
            <w:gridSpan w:val="4"/>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功能分类科目</w:t>
            </w:r>
          </w:p>
        </w:tc>
        <w:tc>
          <w:tcPr>
            <w:tcW w:w="1361"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8"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科目名称</w:t>
            </w:r>
          </w:p>
        </w:tc>
        <w:tc>
          <w:tcPr>
            <w:tcW w:w="2722"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544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1.94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1.94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1.88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1.88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城乡社区支出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城乡社区管理事务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2120103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机关服务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bl>
    <w:p>
      <w:pPr>
        <w:rPr>
          <w:rFonts w:hint="eastAsia" w:ascii="方正小标宋_GBK" w:hAnsi="方正小标宋_GBK" w:cs="宋体"/>
          <w:color w:val="000000"/>
          <w:sz w:val="36"/>
          <w:szCs w:val="36"/>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color w:val="000000"/>
          <w:sz w:val="36"/>
          <w:szCs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3402"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预算年度：2022</w:t>
            </w:r>
          </w:p>
        </w:tc>
        <w:tc>
          <w:tcPr>
            <w:tcW w:w="5896" w:type="dxa"/>
            <w:gridSpan w:val="4"/>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40.97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bl>
    <w:p>
      <w:pPr>
        <w:rPr>
          <w:rFonts w:hint="eastAsia" w:ascii="方正小标宋_GBK" w:hAnsi="方正小标宋_GBK" w:cs="宋体"/>
          <w:color w:val="000000"/>
          <w:sz w:val="36"/>
          <w:szCs w:val="36"/>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color w:val="000000"/>
          <w:sz w:val="36"/>
          <w:szCs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2551"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预算年度：2022</w:t>
            </w:r>
          </w:p>
        </w:tc>
        <w:tc>
          <w:tcPr>
            <w:tcW w:w="5102" w:type="dxa"/>
            <w:gridSpan w:val="2"/>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功能分类科目</w:t>
            </w:r>
          </w:p>
        </w:tc>
        <w:tc>
          <w:tcPr>
            <w:tcW w:w="2551"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科目名称</w:t>
            </w:r>
          </w:p>
        </w:tc>
        <w:tc>
          <w:tcPr>
            <w:tcW w:w="2551"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1.94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1.94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1.88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1.88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城乡社区支出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城乡社区管理事务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机关服务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bl>
    <w:p>
      <w:pPr>
        <w:rPr>
          <w:rFonts w:hint="eastAsia" w:ascii="方正小标宋_GBK" w:hAnsi="方正小标宋_GBK" w:cs="宋体"/>
          <w:color w:val="000000"/>
          <w:sz w:val="36"/>
          <w:szCs w:val="36"/>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color w:val="000000"/>
          <w:sz w:val="36"/>
          <w:szCs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2551"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预算年度：2022</w:t>
            </w:r>
          </w:p>
        </w:tc>
        <w:tc>
          <w:tcPr>
            <w:tcW w:w="5103" w:type="dxa"/>
            <w:gridSpan w:val="2"/>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38.88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38.88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38.88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11.26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11.26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2.80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2.80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13.85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13.85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4.01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1.94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1.94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1.88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1.88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0.13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3.01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2.09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30215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会议费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0.29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0.29</w:t>
            </w:r>
          </w:p>
        </w:tc>
      </w:tr>
    </w:tbl>
    <w:p>
      <w:pPr>
        <w:rPr>
          <w:rFonts w:hint="eastAsia" w:ascii="方正小标宋_GBK" w:hAnsi="方正小标宋_GBK" w:cs="宋体"/>
          <w:color w:val="000000"/>
          <w:sz w:val="36"/>
          <w:szCs w:val="36"/>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color w:val="000000"/>
          <w:sz w:val="36"/>
          <w:szCs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2551"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预算年度：2022</w:t>
            </w:r>
          </w:p>
        </w:tc>
        <w:tc>
          <w:tcPr>
            <w:tcW w:w="5102" w:type="dxa"/>
            <w:gridSpan w:val="2"/>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功能分类科目</w:t>
            </w:r>
          </w:p>
        </w:tc>
        <w:tc>
          <w:tcPr>
            <w:tcW w:w="2551"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科目名称</w:t>
            </w:r>
          </w:p>
        </w:tc>
        <w:tc>
          <w:tcPr>
            <w:tcW w:w="2551"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bl>
    <w:p>
      <w:pPr>
        <w:ind w:firstLine="420"/>
      </w:pPr>
      <w:r>
        <w:rPr>
          <w:rFonts w:ascii="方正书宋_GBK" w:hAnsi="方正书宋_GBK"/>
          <w:color w:val="000000"/>
          <w:sz w:val="21"/>
          <w:szCs w:val="21"/>
        </w:rPr>
        <w:t>注：无政府基金预算财政拨款预算，空表列示。</w:t>
      </w:r>
    </w:p>
    <w:p>
      <w:pPr>
        <w:rPr>
          <w:rFonts w:hint="eastAsia" w:ascii="方正小标宋_GBK" w:hAnsi="方正小标宋_GBK" w:cs="宋体"/>
          <w:color w:val="000000"/>
          <w:sz w:val="36"/>
          <w:szCs w:val="36"/>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color w:val="000000"/>
          <w:sz w:val="36"/>
          <w:szCs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2551"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预算年度：2022</w:t>
            </w:r>
          </w:p>
        </w:tc>
        <w:tc>
          <w:tcPr>
            <w:tcW w:w="5102" w:type="dxa"/>
            <w:gridSpan w:val="2"/>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功能分类科目</w:t>
            </w:r>
          </w:p>
        </w:tc>
        <w:tc>
          <w:tcPr>
            <w:tcW w:w="2551"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科目名称</w:t>
            </w:r>
          </w:p>
        </w:tc>
        <w:tc>
          <w:tcPr>
            <w:tcW w:w="2551"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bl>
    <w:p>
      <w:pPr>
        <w:ind w:firstLine="420"/>
      </w:pPr>
      <w:r>
        <w:rPr>
          <w:rFonts w:ascii="方正书宋_GBK" w:hAnsi="方正书宋_GBK"/>
          <w:color w:val="000000"/>
          <w:sz w:val="21"/>
          <w:szCs w:val="21"/>
        </w:rPr>
        <w:t>注：无国有资本经营预算财政拨款预算，空表列示。</w:t>
      </w:r>
    </w:p>
    <w:p>
      <w:pPr>
        <w:rPr>
          <w:rFonts w:hint="eastAsia" w:ascii="方正小标宋_GBK" w:hAnsi="方正小标宋_GBK" w:cs="宋体"/>
          <w:color w:val="000000"/>
          <w:sz w:val="36"/>
          <w:szCs w:val="36"/>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color w:val="000000"/>
          <w:sz w:val="36"/>
          <w:szCs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2381"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预算年度：2022</w:t>
            </w:r>
          </w:p>
        </w:tc>
        <w:tc>
          <w:tcPr>
            <w:tcW w:w="4762" w:type="dxa"/>
            <w:gridSpan w:val="2"/>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序号</w:t>
            </w:r>
          </w:p>
        </w:tc>
        <w:tc>
          <w:tcPr>
            <w:tcW w:w="3798"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3798"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 xml:space="preserve">    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 xml:space="preserve">    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bl>
    <w:p>
      <w:pPr>
        <w:ind w:firstLine="630" w:firstLineChars="300"/>
        <w:rPr>
          <w:rFonts w:hint="eastAsia" w:ascii="方正小标宋_GBK" w:hAnsi="方正小标宋_GBK" w:cs="宋体"/>
          <w:color w:val="000000"/>
          <w:sz w:val="44"/>
          <w:szCs w:val="44"/>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ascii="方正书宋_GBK" w:hAnsi="方正书宋_GBK"/>
          <w:color w:val="000000"/>
          <w:sz w:val="21"/>
          <w:szCs w:val="21"/>
        </w:rPr>
        <w:t>。</w:t>
      </w:r>
    </w:p>
    <w:p>
      <w:pPr>
        <w:jc w:val="center"/>
        <w:outlineLvl w:val="4"/>
      </w:pPr>
      <w:r>
        <w:rPr>
          <w:rFonts w:ascii="方正小标宋_GBK" w:hAnsi="方正小标宋_GBK"/>
          <w:color w:val="000000"/>
          <w:sz w:val="44"/>
          <w:szCs w:val="44"/>
        </w:rPr>
        <w:t>北戴河区房屋征收服务中心2022年单位预算信息公开情况说明</w:t>
      </w:r>
    </w:p>
    <w:p>
      <w:pPr>
        <w:spacing w:line="500" w:lineRule="exact"/>
        <w:ind w:firstLine="560"/>
      </w:pPr>
      <w:r>
        <w:rPr>
          <w:rFonts w:hint="eastAsia" w:ascii="宋体" w:hAnsi="宋体" w:cs="宋体"/>
          <w:color w:val="000000"/>
          <w:sz w:val="28"/>
          <w:szCs w:val="28"/>
        </w:rPr>
        <w:t>按照《预算法》、《地方预决算公开操作规程》和《关于进一步推进预算公开工作的实施意见》规定，现将北戴河区房屋征收服务中心</w:t>
      </w:r>
      <w:r>
        <w:rPr>
          <w:rFonts w:eastAsia="方正仿宋_GBK"/>
          <w:color w:val="000000"/>
          <w:sz w:val="28"/>
          <w:szCs w:val="28"/>
        </w:rPr>
        <w:t>2022</w:t>
      </w:r>
      <w:r>
        <w:rPr>
          <w:rFonts w:hint="eastAsia" w:ascii="宋体" w:hAnsi="宋体" w:cs="宋体"/>
          <w:color w:val="000000"/>
          <w:sz w:val="28"/>
          <w:szCs w:val="28"/>
        </w:rPr>
        <w:t>年单位预算公开如下：</w:t>
      </w:r>
    </w:p>
    <w:p>
      <w:pPr>
        <w:spacing w:before="10" w:after="10"/>
        <w:ind w:firstLine="640"/>
        <w:outlineLvl w:val="5"/>
      </w:pPr>
      <w:r>
        <w:rPr>
          <w:rFonts w:hint="eastAsia" w:ascii="黑体" w:hAnsi="黑体" w:eastAsia="黑体"/>
          <w:color w:val="000000"/>
          <w:sz w:val="32"/>
          <w:szCs w:val="32"/>
        </w:rPr>
        <w:t>一、单位职责及机构设置情况</w:t>
      </w:r>
    </w:p>
    <w:p>
      <w:pPr>
        <w:ind w:firstLine="640"/>
      </w:pPr>
      <w:r>
        <w:rPr>
          <w:rFonts w:ascii="方正楷体_GBK" w:hAnsi="方正楷体_GBK"/>
          <w:b/>
          <w:color w:val="000000"/>
          <w:sz w:val="32"/>
          <w:szCs w:val="32"/>
        </w:rPr>
        <w:t>单位职责：</w:t>
      </w:r>
    </w:p>
    <w:p>
      <w:pPr>
        <w:pStyle w:val="26"/>
      </w:pPr>
      <w:r>
        <w:rPr>
          <w:rFonts w:hint="eastAsia" w:ascii="宋体" w:hAnsi="宋体" w:eastAsia="宋体" w:cs="宋体"/>
        </w:rPr>
        <w:t>为我区国有土地上房屋征收与补偿工作提供政策法规咨询和服务保障。</w:t>
      </w:r>
    </w:p>
    <w:p>
      <w:pPr>
        <w:ind w:firstLine="640"/>
      </w:pPr>
      <w:r>
        <w:rPr>
          <w:rFonts w:ascii="方正楷体_GBK" w:hAnsi="方正楷体_GBK"/>
          <w:b/>
          <w:color w:val="000000"/>
          <w:sz w:val="32"/>
          <w:szCs w:val="32"/>
        </w:rPr>
        <w:t>机构设置：</w:t>
      </w:r>
    </w:p>
    <w:p>
      <w:pPr>
        <w:jc w:val="center"/>
      </w:pPr>
      <w:r>
        <w:rPr>
          <w:rFonts w:ascii="方正小标宋_GBK" w:hAnsi="方正小标宋_GBK"/>
          <w:color w:val="000000"/>
          <w:sz w:val="32"/>
          <w:szCs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北戴河区房屋征收服务中心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副科级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财政性资金基本保证</w:t>
            </w:r>
          </w:p>
        </w:tc>
      </w:tr>
    </w:tbl>
    <w:p>
      <w:pPr>
        <w:spacing w:before="10" w:after="10"/>
        <w:ind w:firstLine="640"/>
        <w:outlineLvl w:val="5"/>
      </w:pPr>
      <w:r>
        <w:rPr>
          <w:rFonts w:hint="eastAsia" w:ascii="黑体" w:hAnsi="黑体" w:eastAsia="黑体"/>
          <w:color w:val="000000"/>
          <w:sz w:val="32"/>
          <w:szCs w:val="32"/>
        </w:rPr>
        <w:t>二、单位预算安排的总体情况</w:t>
      </w:r>
    </w:p>
    <w:p>
      <w:pPr>
        <w:pStyle w:val="27"/>
      </w:pPr>
      <w:r>
        <w:rPr>
          <w:rFonts w:hint="eastAsia" w:ascii="宋体" w:hAnsi="宋体" w:eastAsia="宋体" w:cs="宋体"/>
        </w:rPr>
        <w:t>按照预算管理有关规定，目前我区房屋征收服务中心预算的编制实行综合预算制度，即全部收入和支出都反映在预算中。北戴河区房屋征收服务中心机关的收支包含在北戴河区房屋征收服务中心预算中。</w:t>
      </w:r>
    </w:p>
    <w:p>
      <w:pPr>
        <w:pStyle w:val="27"/>
      </w:pPr>
      <w:r>
        <w:t>1</w:t>
      </w:r>
      <w:r>
        <w:rPr>
          <w:rFonts w:hint="eastAsia" w:ascii="宋体" w:hAnsi="宋体" w:eastAsia="宋体" w:cs="宋体"/>
        </w:rPr>
        <w:t>、收入说明</w:t>
      </w:r>
    </w:p>
    <w:p>
      <w:pPr>
        <w:pStyle w:val="27"/>
      </w:pPr>
      <w:r>
        <w:t>2022</w:t>
      </w:r>
      <w:r>
        <w:rPr>
          <w:rFonts w:hint="eastAsia" w:ascii="宋体" w:hAnsi="宋体" w:eastAsia="宋体" w:cs="宋体"/>
        </w:rPr>
        <w:t>年预算收入为</w:t>
      </w:r>
      <w:r>
        <w:t>40.97</w:t>
      </w:r>
      <w:r>
        <w:rPr>
          <w:rFonts w:hint="eastAsia" w:ascii="宋体" w:hAnsi="宋体" w:eastAsia="宋体" w:cs="宋体"/>
        </w:rPr>
        <w:t>万元，其中：一般公共预算收入</w:t>
      </w:r>
      <w:r>
        <w:t>40.97</w:t>
      </w:r>
      <w:r>
        <w:rPr>
          <w:rFonts w:hint="eastAsia" w:ascii="宋体" w:hAnsi="宋体" w:eastAsia="宋体" w:cs="宋体"/>
        </w:rPr>
        <w:t>万元，基金预算收入</w:t>
      </w:r>
      <w:r>
        <w:t>0</w:t>
      </w:r>
      <w:r>
        <w:rPr>
          <w:rFonts w:hint="eastAsia" w:ascii="宋体" w:hAnsi="宋体" w:eastAsia="宋体" w:cs="宋体"/>
        </w:rPr>
        <w:t>万元，财政专户核拨收入</w:t>
      </w:r>
      <w:r>
        <w:t>0</w:t>
      </w:r>
      <w:r>
        <w:rPr>
          <w:rFonts w:hint="eastAsia" w:ascii="宋体" w:hAnsi="宋体" w:eastAsia="宋体" w:cs="宋体"/>
        </w:rPr>
        <w:t>万元，其他来源收入</w:t>
      </w:r>
      <w:r>
        <w:t>0</w:t>
      </w:r>
      <w:r>
        <w:rPr>
          <w:rFonts w:hint="eastAsia" w:ascii="宋体" w:hAnsi="宋体" w:eastAsia="宋体" w:cs="宋体"/>
        </w:rPr>
        <w:t>万元。</w:t>
      </w:r>
    </w:p>
    <w:p>
      <w:pPr>
        <w:pStyle w:val="27"/>
      </w:pPr>
      <w:r>
        <w:t>2</w:t>
      </w:r>
      <w:r>
        <w:rPr>
          <w:rFonts w:hint="eastAsia" w:ascii="宋体" w:hAnsi="宋体" w:eastAsia="宋体" w:cs="宋体"/>
        </w:rPr>
        <w:t>、支出说明</w:t>
      </w:r>
    </w:p>
    <w:p>
      <w:pPr>
        <w:pStyle w:val="27"/>
      </w:pPr>
      <w:r>
        <w:rPr>
          <w:rFonts w:hint="eastAsia" w:ascii="宋体" w:hAnsi="宋体" w:eastAsia="宋体" w:cs="宋体"/>
        </w:rPr>
        <w:t>收支预算总表支出表、基本支出表、项目支出表按经济分类和支出功能分类科目编制，反映北戴河区年度部门预算中支出预算的总体情况。</w:t>
      </w:r>
      <w:r>
        <w:t>2022</w:t>
      </w:r>
      <w:r>
        <w:rPr>
          <w:rFonts w:hint="eastAsia" w:ascii="宋体" w:hAnsi="宋体" w:eastAsia="宋体" w:cs="宋体"/>
        </w:rPr>
        <w:t>年预算支出为</w:t>
      </w:r>
      <w:r>
        <w:t>40.97</w:t>
      </w:r>
      <w:r>
        <w:rPr>
          <w:rFonts w:hint="eastAsia" w:ascii="宋体" w:hAnsi="宋体" w:eastAsia="宋体" w:cs="宋体"/>
        </w:rPr>
        <w:t>万元，其中：基本支出</w:t>
      </w:r>
      <w:r>
        <w:t>40.97</w:t>
      </w:r>
      <w:r>
        <w:rPr>
          <w:rFonts w:hint="eastAsia" w:ascii="宋体" w:hAnsi="宋体" w:eastAsia="宋体" w:cs="宋体"/>
        </w:rPr>
        <w:t>万元，主要是人员经费</w:t>
      </w:r>
      <w:r>
        <w:t>38.88</w:t>
      </w:r>
      <w:r>
        <w:rPr>
          <w:rFonts w:hint="eastAsia" w:ascii="宋体" w:hAnsi="宋体" w:eastAsia="宋体" w:cs="宋体"/>
        </w:rPr>
        <w:t>万元和日常公用经费</w:t>
      </w:r>
      <w:r>
        <w:t>2.09</w:t>
      </w:r>
      <w:r>
        <w:rPr>
          <w:rFonts w:hint="eastAsia" w:ascii="宋体" w:hAnsi="宋体" w:eastAsia="宋体" w:cs="宋体"/>
        </w:rPr>
        <w:t>万元；项目支出</w:t>
      </w:r>
      <w:r>
        <w:t>0</w:t>
      </w:r>
      <w:r>
        <w:rPr>
          <w:rFonts w:hint="eastAsia" w:ascii="宋体" w:hAnsi="宋体" w:eastAsia="宋体" w:cs="宋体"/>
        </w:rPr>
        <w:t>万元。</w:t>
      </w:r>
    </w:p>
    <w:p>
      <w:pPr>
        <w:pStyle w:val="27"/>
      </w:pPr>
      <w:r>
        <w:t>3</w:t>
      </w:r>
      <w:r>
        <w:rPr>
          <w:rFonts w:hint="eastAsia" w:ascii="宋体" w:hAnsi="宋体" w:eastAsia="宋体" w:cs="宋体"/>
        </w:rPr>
        <w:t>、比上年增减情况</w:t>
      </w:r>
    </w:p>
    <w:p>
      <w:pPr>
        <w:pStyle w:val="27"/>
      </w:pPr>
      <w:r>
        <w:t>2022</w:t>
      </w:r>
      <w:r>
        <w:rPr>
          <w:rFonts w:hint="eastAsia" w:ascii="宋体" w:hAnsi="宋体" w:eastAsia="宋体" w:cs="宋体"/>
        </w:rPr>
        <w:t>年预算支出安排</w:t>
      </w:r>
      <w:r>
        <w:t>40.97</w:t>
      </w:r>
      <w:r>
        <w:rPr>
          <w:rFonts w:hint="eastAsia" w:ascii="宋体" w:hAnsi="宋体" w:eastAsia="宋体" w:cs="宋体"/>
        </w:rPr>
        <w:t>万元，较</w:t>
      </w:r>
      <w:r>
        <w:t>2021</w:t>
      </w:r>
      <w:r>
        <w:rPr>
          <w:rFonts w:hint="eastAsia" w:ascii="宋体" w:hAnsi="宋体" w:eastAsia="宋体" w:cs="宋体"/>
        </w:rPr>
        <w:t>年预算增加</w:t>
      </w:r>
      <w:r>
        <w:t>8.41</w:t>
      </w:r>
      <w:r>
        <w:rPr>
          <w:rFonts w:hint="eastAsia" w:ascii="宋体" w:hAnsi="宋体" w:eastAsia="宋体" w:cs="宋体"/>
        </w:rPr>
        <w:t>万元，其中：基本支出增加</w:t>
      </w:r>
      <w:r>
        <w:t>8.41</w:t>
      </w:r>
      <w:r>
        <w:rPr>
          <w:rFonts w:hint="eastAsia" w:ascii="宋体" w:hAnsi="宋体" w:eastAsia="宋体" w:cs="宋体"/>
        </w:rPr>
        <w:t>万元，主要为日常公用经费增加支出；项目支出增加</w:t>
      </w:r>
      <w:r>
        <w:t>/</w:t>
      </w:r>
      <w:r>
        <w:rPr>
          <w:rFonts w:hint="eastAsia" w:ascii="宋体" w:hAnsi="宋体" w:eastAsia="宋体" w:cs="宋体"/>
        </w:rPr>
        <w:t>减少</w:t>
      </w:r>
      <w:r>
        <w:t>0</w:t>
      </w:r>
      <w:r>
        <w:rPr>
          <w:rFonts w:hint="eastAsia" w:ascii="宋体" w:hAnsi="宋体" w:eastAsia="宋体" w:cs="宋体"/>
        </w:rPr>
        <w:t>万元。</w:t>
      </w:r>
    </w:p>
    <w:p>
      <w:pPr>
        <w:spacing w:before="10" w:after="10"/>
        <w:ind w:firstLine="640"/>
        <w:outlineLvl w:val="5"/>
      </w:pPr>
      <w:r>
        <w:rPr>
          <w:rFonts w:hint="eastAsia" w:ascii="黑体" w:hAnsi="黑体" w:eastAsia="黑体"/>
          <w:color w:val="000000"/>
          <w:sz w:val="32"/>
          <w:szCs w:val="32"/>
        </w:rPr>
        <w:t>三、机关运行经费安排情况</w:t>
      </w:r>
    </w:p>
    <w:p>
      <w:pPr>
        <w:pStyle w:val="28"/>
      </w:pPr>
      <w:r>
        <w:rPr>
          <w:rFonts w:hint="eastAsia" w:ascii="宋体" w:hAnsi="宋体" w:eastAsia="宋体" w:cs="宋体"/>
        </w:rPr>
        <w:t>机关运行经费共计安排</w:t>
      </w:r>
      <w:r>
        <w:t>2.09</w:t>
      </w:r>
      <w:r>
        <w:rPr>
          <w:rFonts w:hint="eastAsia" w:ascii="宋体" w:hAnsi="宋体" w:eastAsia="宋体" w:cs="宋体"/>
        </w:rPr>
        <w:t>万元，主要用于机关办公区的办公及印刷费、邮电费、公务用车运行维护费等日常运行支出。其中：办公及印刷费</w:t>
      </w:r>
      <w:r>
        <w:t>0.78</w:t>
      </w:r>
      <w:r>
        <w:rPr>
          <w:rFonts w:hint="eastAsia" w:ascii="宋体" w:hAnsi="宋体" w:eastAsia="宋体" w:cs="宋体"/>
        </w:rPr>
        <w:t>万元、邮电费</w:t>
      </w:r>
      <w:r>
        <w:t>0</w:t>
      </w:r>
      <w:r>
        <w:rPr>
          <w:rFonts w:hint="eastAsia" w:ascii="宋体" w:hAnsi="宋体" w:eastAsia="宋体" w:cs="宋体"/>
        </w:rPr>
        <w:t>万元、会议费</w:t>
      </w:r>
      <w:r>
        <w:t>0.12</w:t>
      </w:r>
      <w:r>
        <w:rPr>
          <w:rFonts w:hint="eastAsia" w:ascii="宋体" w:hAnsi="宋体" w:eastAsia="宋体" w:cs="宋体"/>
        </w:rPr>
        <w:t>万元、福利费</w:t>
      </w:r>
      <w:r>
        <w:t>0.29</w:t>
      </w:r>
      <w:r>
        <w:rPr>
          <w:rFonts w:hint="eastAsia" w:ascii="宋体" w:hAnsi="宋体" w:eastAsia="宋体" w:cs="宋体"/>
        </w:rPr>
        <w:t>万元、公务交通补贴</w:t>
      </w:r>
      <w:r>
        <w:t>0</w:t>
      </w:r>
      <w:r>
        <w:rPr>
          <w:rFonts w:hint="eastAsia" w:ascii="宋体" w:hAnsi="宋体" w:eastAsia="宋体" w:cs="宋体"/>
        </w:rPr>
        <w:t>万元，培训费</w:t>
      </w:r>
      <w:r>
        <w:t>0.38</w:t>
      </w:r>
      <w:r>
        <w:rPr>
          <w:rFonts w:hint="eastAsia" w:ascii="宋体" w:hAnsi="宋体" w:eastAsia="宋体" w:cs="宋体"/>
        </w:rPr>
        <w:t>万元，离退休干部经费</w:t>
      </w:r>
      <w:r>
        <w:t>0</w:t>
      </w:r>
      <w:r>
        <w:rPr>
          <w:rFonts w:hint="eastAsia" w:ascii="宋体" w:hAnsi="宋体" w:eastAsia="宋体" w:cs="宋体"/>
        </w:rPr>
        <w:t>万元，工会经费</w:t>
      </w:r>
      <w:r>
        <w:t>0.52</w:t>
      </w:r>
      <w:r>
        <w:rPr>
          <w:rFonts w:hint="eastAsia" w:ascii="宋体" w:hAnsi="宋体" w:eastAsia="宋体" w:cs="宋体"/>
        </w:rPr>
        <w:t>万元，公务用车运行维护费以及其他费用</w:t>
      </w:r>
      <w:r>
        <w:t>0</w:t>
      </w:r>
      <w:r>
        <w:rPr>
          <w:rFonts w:hint="eastAsia" w:ascii="宋体" w:hAnsi="宋体" w:eastAsia="宋体" w:cs="宋体"/>
        </w:rPr>
        <w:t>万元。</w:t>
      </w:r>
    </w:p>
    <w:p>
      <w:pPr>
        <w:spacing w:before="10" w:after="10"/>
        <w:ind w:firstLine="640"/>
        <w:outlineLvl w:val="5"/>
      </w:pPr>
      <w:r>
        <w:rPr>
          <w:rFonts w:hint="eastAsia" w:ascii="黑体" w:hAnsi="黑体" w:eastAsia="黑体"/>
          <w:color w:val="000000"/>
          <w:sz w:val="32"/>
          <w:szCs w:val="32"/>
        </w:rPr>
        <w:t>四、财政拨款“三公”经费预算情况及增减变化原因</w:t>
      </w:r>
    </w:p>
    <w:p>
      <w:pPr>
        <w:pStyle w:val="29"/>
        <w:rPr>
          <w:rFonts w:hint="eastAsia" w:eastAsia="宋体"/>
          <w:lang w:val="en-US" w:eastAsia="zh-CN"/>
        </w:rPr>
      </w:pPr>
      <w:r>
        <w:t>2022</w:t>
      </w:r>
      <w:r>
        <w:rPr>
          <w:rFonts w:hint="eastAsia" w:ascii="宋体" w:hAnsi="宋体" w:eastAsia="宋体" w:cs="宋体"/>
        </w:rPr>
        <w:t>年，我单位财政拨款</w:t>
      </w:r>
      <w:r>
        <w:t>“</w:t>
      </w:r>
      <w:r>
        <w:rPr>
          <w:rFonts w:hint="eastAsia" w:ascii="宋体" w:hAnsi="宋体" w:eastAsia="宋体" w:cs="宋体"/>
        </w:rPr>
        <w:t>三公</w:t>
      </w:r>
      <w:r>
        <w:t>”</w:t>
      </w:r>
      <w:r>
        <w:rPr>
          <w:rFonts w:hint="eastAsia" w:ascii="宋体" w:hAnsi="宋体" w:eastAsia="宋体" w:cs="宋体"/>
        </w:rPr>
        <w:t>经费预算安排</w:t>
      </w:r>
      <w:r>
        <w:t>0</w:t>
      </w:r>
      <w:r>
        <w:rPr>
          <w:rFonts w:hint="eastAsia" w:ascii="宋体" w:hAnsi="宋体" w:eastAsia="宋体" w:cs="宋体"/>
        </w:rPr>
        <w:t>万元，与上年相比，减少</w:t>
      </w:r>
      <w:r>
        <w:t>0</w:t>
      </w:r>
      <w:r>
        <w:rPr>
          <w:rFonts w:hint="eastAsia" w:ascii="宋体" w:hAnsi="宋体" w:eastAsia="宋体" w:cs="宋体"/>
        </w:rPr>
        <w:t>万元。其中：因公出国（境）费</w:t>
      </w:r>
      <w:r>
        <w:t>0</w:t>
      </w:r>
      <w:r>
        <w:rPr>
          <w:rFonts w:hint="eastAsia" w:ascii="宋体" w:hAnsi="宋体" w:eastAsia="宋体" w:cs="宋体"/>
        </w:rPr>
        <w:t>万元，与上年持平，无增减变化；公务用车购置及运行维护费</w:t>
      </w:r>
      <w:r>
        <w:t>0</w:t>
      </w:r>
      <w:r>
        <w:rPr>
          <w:rFonts w:hint="eastAsia" w:ascii="宋体" w:hAnsi="宋体" w:eastAsia="宋体" w:cs="宋体"/>
        </w:rPr>
        <w:t>万元（其中：公务用车购置费为</w:t>
      </w:r>
      <w:r>
        <w:t>0</w:t>
      </w:r>
      <w:r>
        <w:rPr>
          <w:rFonts w:hint="eastAsia" w:ascii="宋体" w:hAnsi="宋体" w:eastAsia="宋体" w:cs="宋体"/>
        </w:rPr>
        <w:t>万元，公务用车运行维护费</w:t>
      </w:r>
      <w:r>
        <w:t>0</w:t>
      </w:r>
      <w:r>
        <w:rPr>
          <w:rFonts w:hint="eastAsia" w:ascii="宋体" w:hAnsi="宋体" w:eastAsia="宋体" w:cs="宋体"/>
        </w:rPr>
        <w:t>万元</w:t>
      </w:r>
      <w:r>
        <w:t>)</w:t>
      </w:r>
      <w:r>
        <w:rPr>
          <w:rFonts w:hint="eastAsia" w:ascii="宋体" w:hAnsi="宋体" w:eastAsia="宋体" w:cs="宋体"/>
        </w:rPr>
        <w:t>，公务用车购置费与上年持平，无增减变化；公务用车运行维护费</w:t>
      </w:r>
      <w:r>
        <w:t>0</w:t>
      </w:r>
      <w:r>
        <w:rPr>
          <w:rFonts w:hint="eastAsia" w:ascii="宋体" w:hAnsi="宋体" w:eastAsia="宋体" w:cs="宋体"/>
        </w:rPr>
        <w:t>万元，与上年相比，增加</w:t>
      </w:r>
      <w:r>
        <w:t>/</w:t>
      </w:r>
      <w:r>
        <w:rPr>
          <w:rFonts w:hint="eastAsia" w:ascii="宋体" w:hAnsi="宋体" w:eastAsia="宋体" w:cs="宋体"/>
        </w:rPr>
        <w:t>减少</w:t>
      </w:r>
      <w:r>
        <w:t>0</w:t>
      </w:r>
      <w:r>
        <w:rPr>
          <w:rFonts w:hint="eastAsia" w:ascii="宋体" w:hAnsi="宋体" w:eastAsia="宋体" w:cs="宋体"/>
        </w:rPr>
        <w:t>万元；公务接待费</w:t>
      </w:r>
      <w:r>
        <w:t>0</w:t>
      </w:r>
      <w:r>
        <w:rPr>
          <w:rFonts w:hint="eastAsia" w:ascii="宋体" w:hAnsi="宋体" w:eastAsia="宋体" w:cs="宋体"/>
        </w:rPr>
        <w:t>万元，与上年相比，增加</w:t>
      </w:r>
      <w:r>
        <w:t>/</w:t>
      </w:r>
      <w:r>
        <w:rPr>
          <w:rFonts w:hint="eastAsia" w:ascii="宋体" w:hAnsi="宋体" w:eastAsia="宋体" w:cs="宋体"/>
        </w:rPr>
        <w:t>减少</w:t>
      </w:r>
      <w:r>
        <w:t>0</w:t>
      </w:r>
      <w:r>
        <w:rPr>
          <w:rFonts w:hint="eastAsia" w:ascii="宋体" w:hAnsi="宋体" w:eastAsia="宋体" w:cs="宋体"/>
        </w:rPr>
        <w:t>万元</w:t>
      </w:r>
      <w:r>
        <w:rPr>
          <w:rFonts w:hint="eastAsia" w:ascii="宋体" w:hAnsi="宋体" w:eastAsia="宋体" w:cs="宋体"/>
          <w:lang w:eastAsia="zh-CN"/>
        </w:rPr>
        <w:t>。</w:t>
      </w:r>
    </w:p>
    <w:p>
      <w:pPr>
        <w:spacing w:before="10" w:after="10"/>
        <w:ind w:firstLine="640"/>
        <w:outlineLvl w:val="5"/>
        <w:rPr>
          <w:rFonts w:hint="eastAsia" w:ascii="黑体" w:hAnsi="黑体" w:eastAsia="黑体"/>
          <w:color w:val="000000"/>
          <w:sz w:val="32"/>
          <w:szCs w:val="32"/>
        </w:rPr>
      </w:pPr>
      <w:r>
        <w:rPr>
          <w:rFonts w:hint="eastAsia" w:ascii="黑体" w:hAnsi="黑体" w:eastAsia="黑体"/>
          <w:color w:val="000000"/>
          <w:sz w:val="32"/>
          <w:szCs w:val="32"/>
        </w:rPr>
        <w:t>五、预算绩效信息</w:t>
      </w:r>
    </w:p>
    <w:p>
      <w:pPr>
        <w:spacing w:before="10" w:after="10"/>
        <w:ind w:firstLine="640"/>
        <w:outlineLvl w:val="5"/>
        <w:rPr>
          <w:rFonts w:hint="eastAsia" w:ascii="宋体" w:hAnsi="宋体" w:eastAsia="宋体" w:cs="宋体"/>
          <w:color w:val="000000"/>
          <w:sz w:val="32"/>
          <w:szCs w:val="32"/>
        </w:rPr>
      </w:pPr>
    </w:p>
    <w:p>
      <w:pPr>
        <w:spacing w:before="10" w:after="10"/>
        <w:ind w:firstLine="640"/>
        <w:outlineLvl w:val="5"/>
        <w:rPr>
          <w:rFonts w:hint="default" w:ascii="宋体" w:hAnsi="宋体" w:eastAsia="宋体" w:cs="宋体"/>
          <w:color w:val="000000"/>
          <w:sz w:val="28"/>
          <w:szCs w:val="28"/>
          <w:lang w:val="en-US" w:eastAsia="zh-CN"/>
        </w:rPr>
        <w:sectPr>
          <w:pgSz w:w="16840" w:h="11900" w:orient="landscape"/>
          <w:pgMar w:top="1361" w:right="1020" w:bottom="1361" w:left="1020" w:header="720" w:footer="720" w:gutter="0"/>
          <w:cols w:space="720" w:num="1"/>
        </w:sectPr>
      </w:pPr>
      <w:r>
        <w:rPr>
          <w:rFonts w:hint="eastAsia" w:ascii="宋体" w:hAnsi="宋体" w:cs="宋体"/>
          <w:color w:val="000000"/>
          <w:sz w:val="28"/>
          <w:szCs w:val="28"/>
          <w:lang w:val="en-US" w:eastAsia="zh-CN"/>
        </w:rPr>
        <w:t>2022年我单位无预算绩效项目。</w:t>
      </w:r>
    </w:p>
    <w:p>
      <w:pPr>
        <w:spacing w:before="10" w:after="10"/>
        <w:ind w:firstLine="640"/>
        <w:outlineLvl w:val="5"/>
      </w:pPr>
      <w:r>
        <w:rPr>
          <w:rFonts w:hint="eastAsia" w:ascii="黑体" w:hAnsi="黑体" w:eastAsia="黑体"/>
          <w:color w:val="000000"/>
          <w:sz w:val="32"/>
          <w:szCs w:val="32"/>
        </w:rPr>
        <w:t>六、政府采购预算情况</w:t>
      </w:r>
    </w:p>
    <w:p>
      <w:pPr>
        <w:spacing w:line="500" w:lineRule="exact"/>
        <w:ind w:firstLine="560"/>
      </w:pPr>
      <w:r>
        <w:rPr>
          <w:rFonts w:eastAsia="方正仿宋_GBK"/>
          <w:color w:val="000000"/>
          <w:sz w:val="28"/>
          <w:szCs w:val="28"/>
        </w:rPr>
        <w:t>2022</w:t>
      </w:r>
      <w:r>
        <w:rPr>
          <w:rFonts w:hint="eastAsia" w:ascii="宋体" w:hAnsi="宋体" w:cs="宋体"/>
          <w:color w:val="000000"/>
          <w:sz w:val="28"/>
          <w:szCs w:val="28"/>
        </w:rPr>
        <w:t>年，北戴河区房屋征收服务中心安排政府采购预算</w:t>
      </w:r>
      <w:r>
        <w:rPr>
          <w:rFonts w:eastAsia="方正仿宋_GBK"/>
          <w:color w:val="000000"/>
          <w:sz w:val="28"/>
          <w:szCs w:val="28"/>
        </w:rPr>
        <w:t>0.00</w:t>
      </w:r>
      <w:r>
        <w:rPr>
          <w:rFonts w:hint="eastAsia" w:ascii="宋体" w:hAnsi="宋体" w:cs="宋体"/>
          <w:color w:val="000000"/>
          <w:sz w:val="28"/>
          <w:szCs w:val="28"/>
        </w:rPr>
        <w:t>万元。具体内容见下表。</w:t>
      </w:r>
    </w:p>
    <w:p>
      <w:pPr>
        <w:jc w:val="center"/>
      </w:pPr>
      <w:r>
        <w:rPr>
          <w:rFonts w:ascii="方正小标宋_GBK" w:hAnsi="方正小标宋_GBK"/>
          <w:color w:val="000000"/>
          <w:sz w:val="36"/>
          <w:szCs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8676" w:type="dxa"/>
            <w:gridSpan w:val="9"/>
            <w:tcBorders>
              <w:top w:val="single" w:color="FFFFFF" w:sz="6" w:space="0"/>
              <w:left w:val="nil"/>
              <w:bottom w:val="single" w:color="000000" w:sz="6" w:space="0"/>
              <w:right w:val="single" w:color="FFFFFF" w:sz="6" w:space="0"/>
            </w:tcBorders>
            <w:vAlign w:val="center"/>
          </w:tcPr>
          <w:p>
            <w:pPr>
              <w:pStyle w:val="25"/>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政府采购项目来源</w:t>
            </w:r>
          </w:p>
        </w:tc>
        <w:tc>
          <w:tcPr>
            <w:tcW w:w="1134"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单价</w:t>
            </w:r>
          </w:p>
        </w:tc>
        <w:tc>
          <w:tcPr>
            <w:tcW w:w="7712" w:type="dxa"/>
            <w:gridSpan w:val="8"/>
            <w:tcBorders>
              <w:top w:val="single" w:color="000000" w:sz="6" w:space="0"/>
              <w:left w:val="single" w:color="000000" w:sz="6" w:space="0"/>
              <w:bottom w:val="nil"/>
              <w:right w:val="single" w:color="000000" w:sz="6" w:space="0"/>
            </w:tcBorders>
            <w:vAlign w:val="center"/>
          </w:tcPr>
          <w:p>
            <w:pPr>
              <w:pStyle w:val="11"/>
              <w:rPr>
                <w:rFonts w:cs="Times New Roman"/>
              </w:rPr>
            </w:pPr>
            <w:r>
              <w:rPr>
                <w:rFonts w:cs="Times New Roman"/>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预算    资金</w:t>
            </w:r>
          </w:p>
        </w:tc>
        <w:tc>
          <w:tcPr>
            <w:tcW w:w="1134"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单位    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财政拨    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bl>
    <w:p>
      <w:pPr>
        <w:spacing w:line="500" w:lineRule="exact"/>
        <w:ind w:firstLine="420"/>
      </w:pPr>
      <w:r>
        <w:rPr>
          <w:rFonts w:ascii="方正书宋_GBK" w:hAnsi="方正书宋_GBK"/>
          <w:color w:val="000000"/>
          <w:sz w:val="21"/>
          <w:szCs w:val="21"/>
        </w:rPr>
        <w:t>注：同一采购目录序号的物品，其单价会因配置规格不同而变动，均符合资产配置标准。涉密采购事项按照相关规定执行。</w:t>
      </w:r>
    </w:p>
    <w:p>
      <w:pPr>
        <w:ind w:firstLine="420"/>
      </w:pPr>
      <w:r>
        <w:rPr>
          <w:rFonts w:ascii="方正书宋_GBK" w:hAnsi="方正书宋_GBK"/>
          <w:color w:val="000000"/>
          <w:sz w:val="21"/>
          <w:szCs w:val="21"/>
        </w:rPr>
        <w:t>注：无政府采购预算，空表列示。</w:t>
      </w:r>
    </w:p>
    <w:p>
      <w:pPr>
        <w:ind w:firstLine="640"/>
      </w:pPr>
      <w:r>
        <w:t xml:space="preserve"> </w:t>
      </w:r>
    </w:p>
    <w:p>
      <w:pPr>
        <w:spacing w:before="10" w:after="10"/>
        <w:ind w:firstLine="640"/>
        <w:outlineLvl w:val="5"/>
      </w:pPr>
      <w:r>
        <w:rPr>
          <w:rFonts w:hint="eastAsia" w:ascii="黑体" w:hAnsi="黑体" w:eastAsia="黑体"/>
          <w:color w:val="000000"/>
          <w:sz w:val="32"/>
          <w:szCs w:val="32"/>
        </w:rPr>
        <w:t>七、国有资产信息</w:t>
      </w:r>
    </w:p>
    <w:p>
      <w:pPr>
        <w:spacing w:line="500" w:lineRule="exact"/>
        <w:ind w:firstLine="560"/>
      </w:pPr>
      <w:r>
        <w:rPr>
          <w:rFonts w:hint="eastAsia" w:ascii="宋体" w:hAnsi="宋体" w:cs="宋体"/>
          <w:color w:val="000000"/>
          <w:sz w:val="28"/>
          <w:szCs w:val="28"/>
        </w:rPr>
        <w:t>北戴河区房屋征收服务中心上年末固定资产金额为</w:t>
      </w:r>
      <w:r>
        <w:rPr>
          <w:rFonts w:eastAsia="方正仿宋_GBK"/>
          <w:color w:val="000000"/>
          <w:sz w:val="28"/>
          <w:szCs w:val="28"/>
        </w:rPr>
        <w:t>0.00</w:t>
      </w:r>
      <w:r>
        <w:rPr>
          <w:rFonts w:hint="eastAsia" w:ascii="宋体" w:hAnsi="宋体" w:cs="宋体"/>
          <w:color w:val="000000"/>
          <w:sz w:val="28"/>
          <w:szCs w:val="28"/>
        </w:rPr>
        <w:t>万元（详见下表）。本年度拟购置固定资产总额为</w:t>
      </w:r>
      <w:r>
        <w:rPr>
          <w:rFonts w:eastAsia="方正仿宋_GBK"/>
          <w:color w:val="000000"/>
          <w:sz w:val="28"/>
          <w:szCs w:val="28"/>
        </w:rPr>
        <w:t>0.00</w:t>
      </w:r>
      <w:r>
        <w:rPr>
          <w:rFonts w:hint="eastAsia" w:ascii="宋体" w:hAnsi="宋体" w:cs="宋体"/>
          <w:color w:val="000000"/>
          <w:sz w:val="28"/>
          <w:szCs w:val="28"/>
        </w:rPr>
        <w:t>万元，已按要求列入政府采购预算，详见政府采购预算表。</w:t>
      </w:r>
    </w:p>
    <w:p>
      <w:pPr>
        <w:jc w:val="center"/>
      </w:pPr>
      <w:r>
        <w:rPr>
          <w:rFonts w:ascii="方正小标宋_GBK" w:hAnsi="方正小标宋_GBK"/>
          <w:color w:val="000000"/>
          <w:sz w:val="36"/>
          <w:szCs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333007北戴河区房屋征收服务中心</w:t>
            </w:r>
          </w:p>
        </w:tc>
        <w:tc>
          <w:tcPr>
            <w:tcW w:w="5670" w:type="dxa"/>
            <w:gridSpan w:val="2"/>
            <w:tcBorders>
              <w:top w:val="single" w:color="FFFFFF" w:sz="6" w:space="0"/>
              <w:left w:val="nil"/>
              <w:bottom w:val="single" w:color="000000" w:sz="6" w:space="0"/>
              <w:right w:val="single" w:color="FFFFFF" w:sz="6" w:space="0"/>
            </w:tcBorders>
            <w:vAlign w:val="center"/>
          </w:tcPr>
          <w:p>
            <w:pPr>
              <w:pStyle w:val="8"/>
              <w:rPr>
                <w:rFonts w:cs="Times New Roman"/>
              </w:rPr>
            </w:pPr>
            <w:r>
              <w:rPr>
                <w:rFonts w:cs="Times New Roman"/>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p>
        </w:tc>
      </w:tr>
    </w:tbl>
    <w:p>
      <w:pPr>
        <w:ind w:firstLine="420"/>
      </w:pPr>
      <w:r>
        <w:rPr>
          <w:rFonts w:ascii="方正书宋_GBK" w:hAnsi="方正书宋_GBK"/>
          <w:color w:val="000000"/>
          <w:sz w:val="21"/>
          <w:szCs w:val="21"/>
        </w:rPr>
        <w:t>注：无固定资产占用情况，空表列示。</w:t>
      </w:r>
    </w:p>
    <w:p>
      <w:pPr>
        <w:ind w:firstLine="640"/>
      </w:pPr>
      <w:r>
        <w:t xml:space="preserve"> </w:t>
      </w:r>
    </w:p>
    <w:p>
      <w:pPr>
        <w:spacing w:before="10" w:after="10"/>
        <w:ind w:firstLine="640"/>
        <w:outlineLvl w:val="5"/>
      </w:pPr>
      <w:r>
        <w:rPr>
          <w:rFonts w:hint="eastAsia" w:ascii="黑体" w:hAnsi="黑体" w:eastAsia="黑体"/>
          <w:color w:val="000000"/>
          <w:sz w:val="32"/>
          <w:szCs w:val="32"/>
        </w:rPr>
        <w:t>八、名词解释</w:t>
      </w:r>
    </w:p>
    <w:p>
      <w:pPr>
        <w:spacing w:line="500" w:lineRule="exact"/>
        <w:ind w:firstLine="560"/>
      </w:pPr>
      <w:r>
        <w:rPr>
          <w:rFonts w:eastAsia="方正仿宋_GBK"/>
          <w:color w:val="000000"/>
          <w:sz w:val="28"/>
          <w:szCs w:val="28"/>
        </w:rPr>
        <w:t>1</w:t>
      </w:r>
      <w:r>
        <w:rPr>
          <w:rFonts w:hint="eastAsia" w:ascii="宋体" w:hAnsi="宋体" w:cs="宋体"/>
          <w:color w:val="000000"/>
          <w:sz w:val="28"/>
          <w:szCs w:val="28"/>
        </w:rPr>
        <w:t>、</w:t>
      </w:r>
      <w:r>
        <w:rPr>
          <w:rFonts w:hint="eastAsia" w:ascii="宋体" w:hAnsi="宋体" w:cs="宋体"/>
          <w:b/>
          <w:color w:val="000000"/>
          <w:sz w:val="28"/>
          <w:szCs w:val="28"/>
        </w:rPr>
        <w:t>一般公共预算拨款收入：</w:t>
      </w:r>
      <w:r>
        <w:rPr>
          <w:rFonts w:hint="eastAsia" w:ascii="宋体" w:hAnsi="宋体" w:cs="宋体"/>
          <w:color w:val="000000"/>
          <w:sz w:val="28"/>
          <w:szCs w:val="28"/>
        </w:rPr>
        <w:t>指</w:t>
      </w:r>
      <w:r>
        <w:rPr>
          <w:rFonts w:hint="eastAsia" w:ascii="宋体" w:hAnsi="宋体" w:cs="宋体"/>
          <w:color w:val="000000"/>
          <w:sz w:val="28"/>
          <w:szCs w:val="28"/>
          <w:lang w:val="en-US" w:eastAsia="zh-CN"/>
        </w:rPr>
        <w:t>区</w:t>
      </w:r>
      <w:r>
        <w:rPr>
          <w:rFonts w:hint="eastAsia" w:ascii="宋体" w:hAnsi="宋体" w:cs="宋体"/>
          <w:color w:val="000000"/>
          <w:sz w:val="28"/>
          <w:szCs w:val="28"/>
        </w:rPr>
        <w:t>级财政当年拨付的资金。</w:t>
      </w:r>
    </w:p>
    <w:p>
      <w:pPr>
        <w:spacing w:line="500" w:lineRule="exact"/>
        <w:ind w:firstLine="560"/>
      </w:pPr>
      <w:r>
        <w:rPr>
          <w:rFonts w:eastAsia="方正仿宋_GBK"/>
          <w:color w:val="000000"/>
          <w:sz w:val="28"/>
          <w:szCs w:val="28"/>
        </w:rPr>
        <w:t>2</w:t>
      </w:r>
      <w:r>
        <w:rPr>
          <w:rFonts w:hint="eastAsia" w:ascii="宋体" w:hAnsi="宋体" w:cs="宋体"/>
          <w:color w:val="000000"/>
          <w:sz w:val="28"/>
          <w:szCs w:val="28"/>
        </w:rPr>
        <w:t>、</w:t>
      </w:r>
      <w:r>
        <w:rPr>
          <w:rFonts w:hint="eastAsia" w:ascii="宋体" w:hAnsi="宋体" w:cs="宋体"/>
          <w:b/>
          <w:color w:val="000000"/>
          <w:sz w:val="28"/>
          <w:szCs w:val="28"/>
        </w:rPr>
        <w:t>事业收入：</w:t>
      </w:r>
      <w:r>
        <w:rPr>
          <w:rFonts w:hint="eastAsia" w:ascii="宋体" w:hAnsi="宋体" w:cs="宋体"/>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ascii="宋体" w:hAnsi="宋体" w:cs="宋体"/>
          <w:color w:val="000000"/>
          <w:sz w:val="28"/>
          <w:szCs w:val="28"/>
        </w:rPr>
        <w:t>、</w:t>
      </w:r>
      <w:r>
        <w:rPr>
          <w:rFonts w:hint="eastAsia" w:ascii="宋体" w:hAnsi="宋体" w:cs="宋体"/>
          <w:b/>
          <w:color w:val="000000"/>
          <w:sz w:val="28"/>
          <w:szCs w:val="28"/>
        </w:rPr>
        <w:t>其他收入：</w:t>
      </w:r>
      <w:r>
        <w:rPr>
          <w:rFonts w:hint="eastAsia" w:ascii="宋体" w:hAnsi="宋体" w:cs="宋体"/>
          <w:color w:val="000000"/>
          <w:sz w:val="28"/>
          <w:szCs w:val="28"/>
        </w:rPr>
        <w:t>指除</w:t>
      </w:r>
      <w:r>
        <w:rPr>
          <w:rFonts w:eastAsia="方正仿宋_GBK"/>
          <w:color w:val="000000"/>
          <w:sz w:val="28"/>
          <w:szCs w:val="28"/>
        </w:rPr>
        <w:t>“</w:t>
      </w:r>
      <w:r>
        <w:rPr>
          <w:rFonts w:hint="eastAsia" w:ascii="宋体" w:hAnsi="宋体" w:cs="宋体"/>
          <w:color w:val="000000"/>
          <w:sz w:val="28"/>
          <w:szCs w:val="28"/>
        </w:rPr>
        <w:t>一般公共预算拨款收入</w:t>
      </w:r>
      <w:r>
        <w:rPr>
          <w:rFonts w:eastAsia="方正仿宋_GBK"/>
          <w:color w:val="000000"/>
          <w:sz w:val="28"/>
          <w:szCs w:val="28"/>
        </w:rPr>
        <w:t>”</w:t>
      </w:r>
      <w:r>
        <w:rPr>
          <w:rFonts w:hint="eastAsia" w:ascii="宋体" w:hAnsi="宋体" w:cs="宋体"/>
          <w:color w:val="000000"/>
          <w:sz w:val="28"/>
          <w:szCs w:val="28"/>
        </w:rPr>
        <w:t>、</w:t>
      </w:r>
      <w:r>
        <w:rPr>
          <w:rFonts w:eastAsia="方正仿宋_GBK"/>
          <w:color w:val="000000"/>
          <w:sz w:val="28"/>
          <w:szCs w:val="28"/>
        </w:rPr>
        <w:t>“</w:t>
      </w:r>
      <w:r>
        <w:rPr>
          <w:rFonts w:hint="eastAsia" w:ascii="宋体" w:hAnsi="宋体" w:cs="宋体"/>
          <w:color w:val="000000"/>
          <w:sz w:val="28"/>
          <w:szCs w:val="28"/>
        </w:rPr>
        <w:t>事业收入</w:t>
      </w:r>
      <w:r>
        <w:rPr>
          <w:rFonts w:eastAsia="方正仿宋_GBK"/>
          <w:color w:val="000000"/>
          <w:sz w:val="28"/>
          <w:szCs w:val="28"/>
        </w:rPr>
        <w:t>”</w:t>
      </w:r>
      <w:r>
        <w:rPr>
          <w:rFonts w:hint="eastAsia" w:ascii="宋体" w:hAnsi="宋体" w:cs="宋体"/>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ascii="宋体" w:hAnsi="宋体" w:cs="宋体"/>
          <w:color w:val="000000"/>
          <w:sz w:val="28"/>
          <w:szCs w:val="28"/>
        </w:rPr>
        <w:t>、</w:t>
      </w:r>
      <w:r>
        <w:rPr>
          <w:rFonts w:hint="eastAsia" w:ascii="宋体" w:hAnsi="宋体" w:cs="宋体"/>
          <w:b/>
          <w:color w:val="000000"/>
          <w:sz w:val="28"/>
          <w:szCs w:val="28"/>
        </w:rPr>
        <w:t>基本支出：</w:t>
      </w:r>
      <w:r>
        <w:rPr>
          <w:rFonts w:hint="eastAsia" w:ascii="宋体" w:hAnsi="宋体" w:cs="宋体"/>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ascii="宋体" w:hAnsi="宋体" w:cs="宋体"/>
          <w:color w:val="000000"/>
          <w:sz w:val="28"/>
          <w:szCs w:val="28"/>
        </w:rPr>
        <w:t>、</w:t>
      </w:r>
      <w:r>
        <w:rPr>
          <w:rFonts w:hint="eastAsia" w:ascii="宋体" w:hAnsi="宋体" w:cs="宋体"/>
          <w:b/>
          <w:color w:val="000000"/>
          <w:sz w:val="28"/>
          <w:szCs w:val="28"/>
        </w:rPr>
        <w:t>项目支出：</w:t>
      </w:r>
      <w:r>
        <w:rPr>
          <w:rFonts w:hint="eastAsia" w:ascii="宋体" w:hAnsi="宋体" w:cs="宋体"/>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ascii="宋体" w:hAnsi="宋体" w:cs="宋体"/>
          <w:color w:val="000000"/>
          <w:sz w:val="28"/>
          <w:szCs w:val="28"/>
        </w:rPr>
        <w:t>、</w:t>
      </w:r>
      <w:r>
        <w:rPr>
          <w:rFonts w:hint="eastAsia" w:ascii="宋体" w:hAnsi="宋体" w:cs="宋体"/>
          <w:b/>
          <w:color w:val="000000"/>
          <w:sz w:val="28"/>
          <w:szCs w:val="28"/>
        </w:rPr>
        <w:t>上缴上级支出：</w:t>
      </w:r>
      <w:r>
        <w:rPr>
          <w:rFonts w:hint="eastAsia" w:ascii="宋体" w:hAnsi="宋体" w:cs="宋体"/>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ascii="宋体" w:hAnsi="宋体" w:cs="宋体"/>
          <w:color w:val="000000"/>
          <w:sz w:val="28"/>
          <w:szCs w:val="28"/>
        </w:rPr>
        <w:t>、</w:t>
      </w:r>
      <w:r>
        <w:rPr>
          <w:rFonts w:eastAsia="方正仿宋_GBK"/>
          <w:b/>
          <w:color w:val="000000"/>
          <w:sz w:val="28"/>
          <w:szCs w:val="28"/>
        </w:rPr>
        <w:t>“</w:t>
      </w:r>
      <w:r>
        <w:rPr>
          <w:rFonts w:hint="eastAsia" w:ascii="宋体" w:hAnsi="宋体" w:cs="宋体"/>
          <w:b/>
          <w:color w:val="000000"/>
          <w:sz w:val="28"/>
          <w:szCs w:val="28"/>
        </w:rPr>
        <w:t>三公</w:t>
      </w:r>
      <w:r>
        <w:rPr>
          <w:rFonts w:eastAsia="方正仿宋_GBK"/>
          <w:b/>
          <w:color w:val="000000"/>
          <w:sz w:val="28"/>
          <w:szCs w:val="28"/>
        </w:rPr>
        <w:t>”</w:t>
      </w:r>
      <w:r>
        <w:rPr>
          <w:rFonts w:hint="eastAsia" w:ascii="宋体" w:hAnsi="宋体" w:cs="宋体"/>
          <w:b/>
          <w:color w:val="000000"/>
          <w:sz w:val="28"/>
          <w:szCs w:val="28"/>
        </w:rPr>
        <w:t>经费：</w:t>
      </w:r>
      <w:r>
        <w:rPr>
          <w:rFonts w:hint="eastAsia" w:ascii="宋体" w:hAnsi="宋体" w:cs="宋体"/>
          <w:color w:val="000000"/>
          <w:sz w:val="28"/>
          <w:szCs w:val="28"/>
        </w:rPr>
        <w:t>纳入</w:t>
      </w:r>
      <w:r>
        <w:rPr>
          <w:rFonts w:hint="eastAsia" w:ascii="宋体" w:hAnsi="宋体" w:cs="宋体"/>
          <w:color w:val="000000"/>
          <w:sz w:val="28"/>
          <w:szCs w:val="28"/>
          <w:lang w:val="en-US" w:eastAsia="zh-CN"/>
        </w:rPr>
        <w:t>区</w:t>
      </w:r>
      <w:r>
        <w:rPr>
          <w:rFonts w:hint="eastAsia" w:ascii="宋体" w:hAnsi="宋体" w:cs="宋体"/>
          <w:color w:val="000000"/>
          <w:sz w:val="28"/>
          <w:szCs w:val="28"/>
        </w:rPr>
        <w:t>级财政预算管理的</w:t>
      </w:r>
      <w:r>
        <w:rPr>
          <w:rFonts w:eastAsia="方正仿宋_GBK"/>
          <w:color w:val="000000"/>
          <w:sz w:val="28"/>
          <w:szCs w:val="28"/>
        </w:rPr>
        <w:t>“</w:t>
      </w:r>
      <w:r>
        <w:rPr>
          <w:rFonts w:hint="eastAsia" w:ascii="宋体" w:hAnsi="宋体" w:cs="宋体"/>
          <w:color w:val="000000"/>
          <w:sz w:val="28"/>
          <w:szCs w:val="28"/>
        </w:rPr>
        <w:t>三公</w:t>
      </w:r>
      <w:r>
        <w:rPr>
          <w:rFonts w:eastAsia="方正仿宋_GBK"/>
          <w:color w:val="000000"/>
          <w:sz w:val="28"/>
          <w:szCs w:val="28"/>
        </w:rPr>
        <w:t>”</w:t>
      </w:r>
      <w:r>
        <w:rPr>
          <w:rFonts w:hint="eastAsia" w:ascii="宋体" w:hAnsi="宋体" w:cs="宋体"/>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ascii="宋体" w:hAnsi="宋体" w:cs="宋体"/>
          <w:color w:val="000000"/>
          <w:sz w:val="28"/>
          <w:szCs w:val="28"/>
        </w:rPr>
        <w:t>、</w:t>
      </w:r>
      <w:r>
        <w:rPr>
          <w:rFonts w:hint="eastAsia" w:ascii="宋体" w:hAnsi="宋体" w:cs="宋体"/>
          <w:b/>
          <w:color w:val="000000"/>
          <w:sz w:val="28"/>
          <w:szCs w:val="28"/>
        </w:rPr>
        <w:t>机关运行费：</w:t>
      </w:r>
      <w:r>
        <w:rPr>
          <w:rFonts w:hint="eastAsia" w:ascii="宋体" w:hAnsi="宋体" w:cs="宋体"/>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ascii="宋体" w:hAnsi="宋体" w:cs="宋体"/>
          <w:color w:val="000000"/>
          <w:sz w:val="28"/>
          <w:szCs w:val="28"/>
        </w:rPr>
        <w:t>、</w:t>
      </w:r>
      <w:r>
        <w:rPr>
          <w:rFonts w:hint="eastAsia" w:ascii="宋体" w:hAnsi="宋体" w:cs="宋体"/>
          <w:b/>
          <w:color w:val="000000"/>
          <w:sz w:val="28"/>
          <w:szCs w:val="28"/>
        </w:rPr>
        <w:t>上年结转：</w:t>
      </w:r>
      <w:r>
        <w:rPr>
          <w:rFonts w:hint="eastAsia" w:ascii="宋体" w:hAnsi="宋体" w:cs="宋体"/>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ascii="宋体" w:hAnsi="宋体" w:cs="宋体"/>
          <w:color w:val="000000"/>
          <w:sz w:val="28"/>
          <w:szCs w:val="28"/>
        </w:rPr>
        <w:t>、</w:t>
      </w:r>
      <w:r>
        <w:rPr>
          <w:rFonts w:hint="eastAsia" w:ascii="宋体" w:hAnsi="宋体" w:cs="宋体"/>
          <w:b/>
          <w:color w:val="000000"/>
          <w:sz w:val="28"/>
          <w:szCs w:val="28"/>
        </w:rPr>
        <w:t>事业单位经营支出：</w:t>
      </w:r>
      <w:r>
        <w:rPr>
          <w:rFonts w:hint="eastAsia" w:ascii="宋体" w:hAnsi="宋体" w:cs="宋体"/>
          <w:color w:val="000000"/>
          <w:sz w:val="28"/>
          <w:szCs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olor w:val="000000"/>
          <w:sz w:val="32"/>
          <w:szCs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ascii="宋体" w:hAnsi="宋体" w:cs="宋体"/>
          <w:color w:val="000000"/>
          <w:sz w:val="28"/>
          <w:szCs w:val="28"/>
        </w:rPr>
        <w:t>我单位无其他需要说明的事项。</w:t>
      </w:r>
      <w:r>
        <w:br w:type="page"/>
      </w:r>
    </w:p>
    <w:p>
      <w:pPr>
        <w:jc w:val="center"/>
        <w:outlineLvl w:val="3"/>
        <w:rPr>
          <w:rFonts w:eastAsia="方正仿宋_GBK"/>
          <w:color w:val="000000"/>
          <w:sz w:val="28"/>
          <w:highlight w:val="yellow"/>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134193"/>
    </w:sdtPr>
    <w:sdtContent>
      <w:p>
        <w:pPr>
          <w:pStyle w:val="3"/>
          <w:jc w:val="center"/>
        </w:pPr>
        <w:r>
          <w:fldChar w:fldCharType="begin"/>
        </w:r>
        <w:r>
          <w:instrText xml:space="preserve"> PAGE   \* MERGEFORMAT </w:instrText>
        </w:r>
        <w:r>
          <w:fldChar w:fldCharType="separate"/>
        </w:r>
        <w:r>
          <w:rPr>
            <w:lang w:val="zh-CN"/>
          </w:rPr>
          <w:t>56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Grammatical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2OWM3OGQzN2NmMTFlZjYxNzVlODU1ZjQ0Y2YzNTYifQ=="/>
  </w:docVars>
  <w:rsids>
    <w:rsidRoot w:val="005A244C"/>
    <w:rsid w:val="00016484"/>
    <w:rsid w:val="000261DC"/>
    <w:rsid w:val="000C4661"/>
    <w:rsid w:val="00127FBE"/>
    <w:rsid w:val="00133EF1"/>
    <w:rsid w:val="00153C2D"/>
    <w:rsid w:val="00170ECE"/>
    <w:rsid w:val="001726F7"/>
    <w:rsid w:val="001D2A4C"/>
    <w:rsid w:val="001F2841"/>
    <w:rsid w:val="00253475"/>
    <w:rsid w:val="0028492A"/>
    <w:rsid w:val="00294F38"/>
    <w:rsid w:val="002F32BD"/>
    <w:rsid w:val="00396A15"/>
    <w:rsid w:val="003B5980"/>
    <w:rsid w:val="00427895"/>
    <w:rsid w:val="00440D71"/>
    <w:rsid w:val="004517DB"/>
    <w:rsid w:val="004520FA"/>
    <w:rsid w:val="004C4AEB"/>
    <w:rsid w:val="004F57EF"/>
    <w:rsid w:val="004F7D60"/>
    <w:rsid w:val="00504326"/>
    <w:rsid w:val="005A244C"/>
    <w:rsid w:val="005B3E55"/>
    <w:rsid w:val="005C30D0"/>
    <w:rsid w:val="006218F5"/>
    <w:rsid w:val="00726E90"/>
    <w:rsid w:val="00733BF9"/>
    <w:rsid w:val="0077078F"/>
    <w:rsid w:val="007A2388"/>
    <w:rsid w:val="007C2228"/>
    <w:rsid w:val="00814A96"/>
    <w:rsid w:val="0083476E"/>
    <w:rsid w:val="008435F1"/>
    <w:rsid w:val="0088503B"/>
    <w:rsid w:val="008B7003"/>
    <w:rsid w:val="00940202"/>
    <w:rsid w:val="00A62A8D"/>
    <w:rsid w:val="00A9267D"/>
    <w:rsid w:val="00AB77CA"/>
    <w:rsid w:val="00AE4B3B"/>
    <w:rsid w:val="00B01654"/>
    <w:rsid w:val="00B324B2"/>
    <w:rsid w:val="00BF636D"/>
    <w:rsid w:val="00C40621"/>
    <w:rsid w:val="00CC2FCD"/>
    <w:rsid w:val="00CF2182"/>
    <w:rsid w:val="00D10C5C"/>
    <w:rsid w:val="00D71003"/>
    <w:rsid w:val="00D72D1A"/>
    <w:rsid w:val="00DA4467"/>
    <w:rsid w:val="00DA7A9B"/>
    <w:rsid w:val="00DB4C44"/>
    <w:rsid w:val="00DE3A8A"/>
    <w:rsid w:val="00E37E3A"/>
    <w:rsid w:val="00E44D2E"/>
    <w:rsid w:val="00EA702F"/>
    <w:rsid w:val="00EC07AE"/>
    <w:rsid w:val="00EC4BC4"/>
    <w:rsid w:val="00ED1C95"/>
    <w:rsid w:val="00F111AE"/>
    <w:rsid w:val="00F52B6C"/>
    <w:rsid w:val="00FB7000"/>
    <w:rsid w:val="00FC3CC2"/>
    <w:rsid w:val="00FD040E"/>
    <w:rsid w:val="0BD555C8"/>
    <w:rsid w:val="0DAE0864"/>
    <w:rsid w:val="0EEE271E"/>
    <w:rsid w:val="12311611"/>
    <w:rsid w:val="146E667F"/>
    <w:rsid w:val="15645911"/>
    <w:rsid w:val="16841A57"/>
    <w:rsid w:val="170557A2"/>
    <w:rsid w:val="186169D0"/>
    <w:rsid w:val="1D0F0145"/>
    <w:rsid w:val="200F0BF8"/>
    <w:rsid w:val="20EA6717"/>
    <w:rsid w:val="21765D52"/>
    <w:rsid w:val="2A101534"/>
    <w:rsid w:val="3A0F10E6"/>
    <w:rsid w:val="3B4A3E38"/>
    <w:rsid w:val="3C2E4E6B"/>
    <w:rsid w:val="3CE578FF"/>
    <w:rsid w:val="41CD6084"/>
    <w:rsid w:val="448457C3"/>
    <w:rsid w:val="46FE1E7E"/>
    <w:rsid w:val="47523D62"/>
    <w:rsid w:val="4967327A"/>
    <w:rsid w:val="4F5130F4"/>
    <w:rsid w:val="569A18C4"/>
    <w:rsid w:val="59F647E4"/>
    <w:rsid w:val="5DD43517"/>
    <w:rsid w:val="63E85B20"/>
    <w:rsid w:val="67B800C2"/>
    <w:rsid w:val="6A4D5A65"/>
    <w:rsid w:val="6D6C4766"/>
    <w:rsid w:val="6E031043"/>
    <w:rsid w:val="70A945F1"/>
    <w:rsid w:val="71A23531"/>
    <w:rsid w:val="75DD025A"/>
    <w:rsid w:val="7922486D"/>
    <w:rsid w:val="7AF73FE2"/>
    <w:rsid w:val="7C032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6"/>
    <w:semiHidden/>
    <w:unhideWhenUsed/>
    <w:qFormat/>
    <w:uiPriority w:val="99"/>
    <w:rPr>
      <w:sz w:val="18"/>
      <w:szCs w:val="18"/>
    </w:r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ascii="Times New Roman" w:hAnsi="Times New Roman" w:eastAsia="Times New Roman" w:cs="Times New Roman"/>
      <w:kern w:val="0"/>
      <w:sz w:val="18"/>
      <w:szCs w:val="18"/>
      <w:lang w:eastAsia="uk-UA"/>
    </w:rPr>
  </w:style>
  <w:style w:type="character" w:customStyle="1" w:styleId="35">
    <w:name w:val="页脚 Char"/>
    <w:basedOn w:val="7"/>
    <w:link w:val="3"/>
    <w:qFormat/>
    <w:uiPriority w:val="99"/>
    <w:rPr>
      <w:rFonts w:ascii="Times New Roman" w:hAnsi="Times New Roman" w:eastAsia="Times New Roman" w:cs="Times New Roman"/>
      <w:kern w:val="0"/>
      <w:sz w:val="18"/>
      <w:szCs w:val="18"/>
      <w:lang w:eastAsia="uk-UA"/>
    </w:rPr>
  </w:style>
  <w:style w:type="character" w:customStyle="1" w:styleId="36">
    <w:name w:val="批注框文本 Char"/>
    <w:basedOn w:val="7"/>
    <w:link w:val="2"/>
    <w:semiHidden/>
    <w:qFormat/>
    <w:uiPriority w:val="99"/>
    <w:rPr>
      <w:rFonts w:ascii="Times New Roman" w:hAnsi="Times New Roman" w:eastAsia="Times New Roman" w:cs="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939A2-FEA5-4DB9-A359-019FEED5C4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131</Pages>
  <Words>37264</Words>
  <Characters>43424</Characters>
  <Lines>386</Lines>
  <Paragraphs>108</Paragraphs>
  <TotalTime>2</TotalTime>
  <ScaleCrop>false</ScaleCrop>
  <LinksUpToDate>false</LinksUpToDate>
  <CharactersWithSpaces>44285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2022-03-14T08:12:00Z</dcterms:created>
  <dc:creator>Administrator</dc:creator>
  <cp:lastModifiedBy>Administrator</cp:lastModifiedBy>
  <dcterms:modified xsi:type="dcterms:W3CDTF">2023-08-09T08:33:57Z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D779A518ABDD4ECFB60B57CD9241D9B8</vt:lpwstr>
  </property>
</Properties>
</file>