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部门</w:t>
      </w:r>
      <w:r>
        <w:rPr>
          <w:rFonts w:hint="eastAsia" w:ascii="黑体" w:hAnsi="黑体" w:eastAsia="黑体" w:cs="黑体"/>
          <w:b/>
          <w:color w:val="000000"/>
          <w:sz w:val="44"/>
          <w:lang w:eastAsia="zh-CN"/>
        </w:rPr>
        <w:t>所属单位</w:t>
      </w:r>
      <w:r>
        <w:rPr>
          <w:rFonts w:ascii="黑体" w:hAnsi="黑体" w:eastAsia="黑体" w:cs="黑体"/>
          <w:b/>
          <w:color w:val="000000"/>
          <w:sz w:val="44"/>
        </w:rPr>
        <w:t>2023年单位预算信息公开目录</w:t>
      </w:r>
    </w:p>
    <w:p>
      <w:pPr>
        <w:jc w:val="center"/>
      </w:pPr>
    </w:p>
    <w:p>
      <w:pPr>
        <w:pStyle w:val="23"/>
      </w:pPr>
      <w:r>
        <w:t xml:space="preserve">  </w:t>
      </w:r>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秦皇岛市北戴河区机关事务运行中心</w:t>
      </w:r>
      <w:r>
        <w:t>(本级）收支预算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一、秦皇岛市北戴河区机关事务运行中心（本级）收支预算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843.53</w:t>
            </w:r>
          </w:p>
        </w:tc>
        <w:tc>
          <w:tcPr>
            <w:tcW w:w="4535" w:type="dxa"/>
            <w:vAlign w:val="center"/>
          </w:tcPr>
          <w:p>
            <w:pPr>
              <w:pStyle w:val="12"/>
            </w:pPr>
            <w:r>
              <w:t>一、一般公共服务支出</w:t>
            </w:r>
          </w:p>
        </w:tc>
        <w:tc>
          <w:tcPr>
            <w:tcW w:w="2126" w:type="dxa"/>
            <w:vAlign w:val="center"/>
          </w:tcPr>
          <w:p>
            <w:pPr>
              <w:pStyle w:val="11"/>
            </w:pPr>
            <w:r>
              <w:t>784.45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843.53</w:t>
            </w:r>
          </w:p>
        </w:tc>
        <w:tc>
          <w:tcPr>
            <w:tcW w:w="4535" w:type="dxa"/>
            <w:vAlign w:val="center"/>
          </w:tcPr>
          <w:p>
            <w:pPr>
              <w:pStyle w:val="14"/>
            </w:pPr>
            <w:r>
              <w:t>本年支出合计</w:t>
            </w:r>
          </w:p>
        </w:tc>
        <w:tc>
          <w:tcPr>
            <w:tcW w:w="2126" w:type="dxa"/>
            <w:vAlign w:val="center"/>
          </w:tcPr>
          <w:p>
            <w:pPr>
              <w:pStyle w:val="15"/>
            </w:pPr>
            <w:r>
              <w:t>843.53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843.53</w:t>
            </w:r>
          </w:p>
        </w:tc>
        <w:tc>
          <w:tcPr>
            <w:tcW w:w="4535" w:type="dxa"/>
            <w:vAlign w:val="center"/>
          </w:tcPr>
          <w:p>
            <w:pPr>
              <w:pStyle w:val="14"/>
            </w:pPr>
            <w:r>
              <w:t>支出总计</w:t>
            </w:r>
          </w:p>
        </w:tc>
        <w:tc>
          <w:tcPr>
            <w:tcW w:w="2126" w:type="dxa"/>
            <w:vAlign w:val="center"/>
          </w:tcPr>
          <w:p>
            <w:pPr>
              <w:pStyle w:val="15"/>
            </w:pPr>
            <w:r>
              <w:t>843.53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843.53</w:t>
            </w:r>
          </w:p>
        </w:tc>
        <w:tc>
          <w:tcPr>
            <w:tcW w:w="1134" w:type="dxa"/>
            <w:vAlign w:val="center"/>
          </w:tcPr>
          <w:p>
            <w:pPr>
              <w:pStyle w:val="15"/>
            </w:pPr>
            <w:r>
              <w:t>843.53</w:t>
            </w:r>
          </w:p>
        </w:tc>
        <w:tc>
          <w:tcPr>
            <w:tcW w:w="1134" w:type="dxa"/>
            <w:vAlign w:val="center"/>
          </w:tcPr>
          <w:p>
            <w:pPr>
              <w:pStyle w:val="15"/>
            </w:pPr>
            <w:r>
              <w:t>843.53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784.45</w:t>
            </w:r>
          </w:p>
        </w:tc>
        <w:tc>
          <w:tcPr>
            <w:tcW w:w="1134" w:type="dxa"/>
            <w:vAlign w:val="center"/>
          </w:tcPr>
          <w:p>
            <w:pPr>
              <w:pStyle w:val="11"/>
            </w:pPr>
            <w:r>
              <w:t>784.45</w:t>
            </w:r>
          </w:p>
        </w:tc>
        <w:tc>
          <w:tcPr>
            <w:tcW w:w="1134" w:type="dxa"/>
            <w:vAlign w:val="center"/>
          </w:tcPr>
          <w:p>
            <w:pPr>
              <w:pStyle w:val="11"/>
            </w:pPr>
            <w:r>
              <w:t>784.45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784.45</w:t>
            </w:r>
          </w:p>
        </w:tc>
        <w:tc>
          <w:tcPr>
            <w:tcW w:w="1134" w:type="dxa"/>
            <w:vAlign w:val="center"/>
          </w:tcPr>
          <w:p>
            <w:pPr>
              <w:pStyle w:val="11"/>
            </w:pPr>
            <w:r>
              <w:t>784.45</w:t>
            </w:r>
          </w:p>
        </w:tc>
        <w:tc>
          <w:tcPr>
            <w:tcW w:w="1134" w:type="dxa"/>
            <w:vAlign w:val="center"/>
          </w:tcPr>
          <w:p>
            <w:pPr>
              <w:pStyle w:val="11"/>
            </w:pPr>
            <w:r>
              <w:t>784.45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784.45</w:t>
            </w:r>
          </w:p>
        </w:tc>
        <w:tc>
          <w:tcPr>
            <w:tcW w:w="1134" w:type="dxa"/>
            <w:vAlign w:val="center"/>
          </w:tcPr>
          <w:p>
            <w:pPr>
              <w:pStyle w:val="11"/>
            </w:pPr>
            <w:r>
              <w:t>784.45</w:t>
            </w:r>
          </w:p>
        </w:tc>
        <w:tc>
          <w:tcPr>
            <w:tcW w:w="1134" w:type="dxa"/>
            <w:vAlign w:val="center"/>
          </w:tcPr>
          <w:p>
            <w:pPr>
              <w:pStyle w:val="11"/>
            </w:pPr>
            <w:r>
              <w:t>784.45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25.89</w:t>
            </w:r>
          </w:p>
        </w:tc>
        <w:tc>
          <w:tcPr>
            <w:tcW w:w="1134" w:type="dxa"/>
            <w:vAlign w:val="center"/>
          </w:tcPr>
          <w:p>
            <w:pPr>
              <w:pStyle w:val="11"/>
            </w:pPr>
            <w:r>
              <w:t>25.89</w:t>
            </w:r>
          </w:p>
        </w:tc>
        <w:tc>
          <w:tcPr>
            <w:tcW w:w="1134" w:type="dxa"/>
            <w:vAlign w:val="center"/>
          </w:tcPr>
          <w:p>
            <w:pPr>
              <w:pStyle w:val="11"/>
            </w:pPr>
            <w:r>
              <w:t>25.89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25.89</w:t>
            </w:r>
          </w:p>
        </w:tc>
        <w:tc>
          <w:tcPr>
            <w:tcW w:w="1134" w:type="dxa"/>
            <w:vAlign w:val="center"/>
          </w:tcPr>
          <w:p>
            <w:pPr>
              <w:pStyle w:val="11"/>
            </w:pPr>
            <w:r>
              <w:t>25.89</w:t>
            </w:r>
          </w:p>
        </w:tc>
        <w:tc>
          <w:tcPr>
            <w:tcW w:w="1134" w:type="dxa"/>
            <w:vAlign w:val="center"/>
          </w:tcPr>
          <w:p>
            <w:pPr>
              <w:pStyle w:val="11"/>
            </w:pPr>
            <w:r>
              <w:t>25.89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5.25</w:t>
            </w:r>
          </w:p>
        </w:tc>
        <w:tc>
          <w:tcPr>
            <w:tcW w:w="1134" w:type="dxa"/>
            <w:vAlign w:val="center"/>
          </w:tcPr>
          <w:p>
            <w:pPr>
              <w:pStyle w:val="11"/>
            </w:pPr>
            <w:r>
              <w:t>5.25</w:t>
            </w:r>
          </w:p>
        </w:tc>
        <w:tc>
          <w:tcPr>
            <w:tcW w:w="1134" w:type="dxa"/>
            <w:vAlign w:val="center"/>
          </w:tcPr>
          <w:p>
            <w:pPr>
              <w:pStyle w:val="11"/>
            </w:pPr>
            <w:r>
              <w:t>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20.64</w:t>
            </w:r>
          </w:p>
        </w:tc>
        <w:tc>
          <w:tcPr>
            <w:tcW w:w="1134" w:type="dxa"/>
            <w:vAlign w:val="center"/>
          </w:tcPr>
          <w:p>
            <w:pPr>
              <w:pStyle w:val="11"/>
            </w:pPr>
            <w:r>
              <w:t>20.64</w:t>
            </w:r>
          </w:p>
        </w:tc>
        <w:tc>
          <w:tcPr>
            <w:tcW w:w="1134" w:type="dxa"/>
            <w:vAlign w:val="center"/>
          </w:tcPr>
          <w:p>
            <w:pPr>
              <w:pStyle w:val="11"/>
            </w:pPr>
            <w:r>
              <w:t>20.64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9.15</w:t>
            </w:r>
          </w:p>
        </w:tc>
        <w:tc>
          <w:tcPr>
            <w:tcW w:w="1134" w:type="dxa"/>
            <w:vAlign w:val="center"/>
          </w:tcPr>
          <w:p>
            <w:pPr>
              <w:pStyle w:val="11"/>
            </w:pPr>
            <w:r>
              <w:t>9.15</w:t>
            </w:r>
          </w:p>
        </w:tc>
        <w:tc>
          <w:tcPr>
            <w:tcW w:w="1134" w:type="dxa"/>
            <w:vAlign w:val="center"/>
          </w:tcPr>
          <w:p>
            <w:pPr>
              <w:pStyle w:val="11"/>
            </w:pPr>
            <w:r>
              <w:t>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r>
              <w:t>16.59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843.53</w:t>
            </w:r>
          </w:p>
        </w:tc>
        <w:tc>
          <w:tcPr>
            <w:tcW w:w="1361" w:type="dxa"/>
            <w:vAlign w:val="center"/>
          </w:tcPr>
          <w:p>
            <w:pPr>
              <w:pStyle w:val="15"/>
            </w:pPr>
            <w:r>
              <w:t>240.97</w:t>
            </w:r>
          </w:p>
        </w:tc>
        <w:tc>
          <w:tcPr>
            <w:tcW w:w="1361" w:type="dxa"/>
            <w:vAlign w:val="center"/>
          </w:tcPr>
          <w:p>
            <w:pPr>
              <w:pStyle w:val="15"/>
            </w:pPr>
            <w:r>
              <w:t>602.56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784.45</w:t>
            </w:r>
          </w:p>
        </w:tc>
        <w:tc>
          <w:tcPr>
            <w:tcW w:w="1361" w:type="dxa"/>
            <w:vAlign w:val="center"/>
          </w:tcPr>
          <w:p>
            <w:pPr>
              <w:pStyle w:val="11"/>
            </w:pPr>
            <w:r>
              <w:t>181.89</w:t>
            </w:r>
          </w:p>
        </w:tc>
        <w:tc>
          <w:tcPr>
            <w:tcW w:w="1361" w:type="dxa"/>
            <w:vAlign w:val="center"/>
          </w:tcPr>
          <w:p>
            <w:pPr>
              <w:pStyle w:val="11"/>
            </w:pPr>
            <w:r>
              <w:t>602.56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784.45</w:t>
            </w:r>
          </w:p>
        </w:tc>
        <w:tc>
          <w:tcPr>
            <w:tcW w:w="1361" w:type="dxa"/>
            <w:vAlign w:val="center"/>
          </w:tcPr>
          <w:p>
            <w:pPr>
              <w:pStyle w:val="11"/>
            </w:pPr>
            <w:r>
              <w:t>181.89</w:t>
            </w:r>
          </w:p>
        </w:tc>
        <w:tc>
          <w:tcPr>
            <w:tcW w:w="1361" w:type="dxa"/>
            <w:vAlign w:val="center"/>
          </w:tcPr>
          <w:p>
            <w:pPr>
              <w:pStyle w:val="11"/>
            </w:pPr>
            <w:r>
              <w:t>602.56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784.45</w:t>
            </w:r>
          </w:p>
        </w:tc>
        <w:tc>
          <w:tcPr>
            <w:tcW w:w="1361" w:type="dxa"/>
            <w:vAlign w:val="center"/>
          </w:tcPr>
          <w:p>
            <w:pPr>
              <w:pStyle w:val="11"/>
            </w:pPr>
            <w:r>
              <w:t>181.89</w:t>
            </w:r>
          </w:p>
        </w:tc>
        <w:tc>
          <w:tcPr>
            <w:tcW w:w="1361" w:type="dxa"/>
            <w:vAlign w:val="center"/>
          </w:tcPr>
          <w:p>
            <w:pPr>
              <w:pStyle w:val="11"/>
            </w:pPr>
            <w:r>
              <w:t>602.56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25.89</w:t>
            </w:r>
          </w:p>
        </w:tc>
        <w:tc>
          <w:tcPr>
            <w:tcW w:w="1361" w:type="dxa"/>
            <w:vAlign w:val="center"/>
          </w:tcPr>
          <w:p>
            <w:pPr>
              <w:pStyle w:val="11"/>
            </w:pPr>
            <w:r>
              <w:t>25.89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25.89</w:t>
            </w:r>
          </w:p>
        </w:tc>
        <w:tc>
          <w:tcPr>
            <w:tcW w:w="1361" w:type="dxa"/>
            <w:vAlign w:val="center"/>
          </w:tcPr>
          <w:p>
            <w:pPr>
              <w:pStyle w:val="11"/>
            </w:pPr>
            <w:r>
              <w:t>25.89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5.25</w:t>
            </w:r>
          </w:p>
        </w:tc>
        <w:tc>
          <w:tcPr>
            <w:tcW w:w="1361" w:type="dxa"/>
            <w:vAlign w:val="center"/>
          </w:tcPr>
          <w:p>
            <w:pPr>
              <w:pStyle w:val="11"/>
            </w:pPr>
            <w:r>
              <w:t>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20.64</w:t>
            </w:r>
          </w:p>
        </w:tc>
        <w:tc>
          <w:tcPr>
            <w:tcW w:w="1361" w:type="dxa"/>
            <w:vAlign w:val="center"/>
          </w:tcPr>
          <w:p>
            <w:pPr>
              <w:pStyle w:val="11"/>
            </w:pPr>
            <w:r>
              <w:t>20.64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7.45</w:t>
            </w:r>
          </w:p>
        </w:tc>
        <w:tc>
          <w:tcPr>
            <w:tcW w:w="1361" w:type="dxa"/>
            <w:vAlign w:val="center"/>
          </w:tcPr>
          <w:p>
            <w:pPr>
              <w:pStyle w:val="11"/>
            </w:pPr>
            <w:r>
              <w:t>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9.15</w:t>
            </w:r>
          </w:p>
        </w:tc>
        <w:tc>
          <w:tcPr>
            <w:tcW w:w="1361" w:type="dxa"/>
            <w:vAlign w:val="center"/>
          </w:tcPr>
          <w:p>
            <w:pPr>
              <w:pStyle w:val="11"/>
            </w:pPr>
            <w:r>
              <w:t>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16.59</w:t>
            </w:r>
          </w:p>
        </w:tc>
        <w:tc>
          <w:tcPr>
            <w:tcW w:w="1361" w:type="dxa"/>
            <w:vAlign w:val="center"/>
          </w:tcPr>
          <w:p>
            <w:pPr>
              <w:pStyle w:val="11"/>
            </w:pPr>
            <w:r>
              <w:t>16.59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16.59</w:t>
            </w:r>
          </w:p>
        </w:tc>
        <w:tc>
          <w:tcPr>
            <w:tcW w:w="1361" w:type="dxa"/>
            <w:vAlign w:val="center"/>
          </w:tcPr>
          <w:p>
            <w:pPr>
              <w:pStyle w:val="11"/>
            </w:pPr>
            <w:r>
              <w:t>16.59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16.59</w:t>
            </w:r>
          </w:p>
        </w:tc>
        <w:tc>
          <w:tcPr>
            <w:tcW w:w="1361" w:type="dxa"/>
            <w:vAlign w:val="center"/>
          </w:tcPr>
          <w:p>
            <w:pPr>
              <w:pStyle w:val="11"/>
            </w:pPr>
            <w:r>
              <w:t>16.59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843.53</w:t>
            </w:r>
          </w:p>
        </w:tc>
        <w:tc>
          <w:tcPr>
            <w:tcW w:w="3402" w:type="dxa"/>
            <w:vAlign w:val="center"/>
          </w:tcPr>
          <w:p>
            <w:pPr>
              <w:pStyle w:val="12"/>
            </w:pPr>
            <w:r>
              <w:t>一、一般公共服务支出</w:t>
            </w:r>
          </w:p>
        </w:tc>
        <w:tc>
          <w:tcPr>
            <w:tcW w:w="1474" w:type="dxa"/>
            <w:vAlign w:val="center"/>
          </w:tcPr>
          <w:p>
            <w:pPr>
              <w:pStyle w:val="11"/>
            </w:pPr>
            <w:r>
              <w:t>784.45</w:t>
            </w:r>
          </w:p>
        </w:tc>
        <w:tc>
          <w:tcPr>
            <w:tcW w:w="1474" w:type="dxa"/>
            <w:vAlign w:val="center"/>
          </w:tcPr>
          <w:p>
            <w:pPr>
              <w:pStyle w:val="11"/>
            </w:pPr>
            <w:r>
              <w:t>784.45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25.89</w:t>
            </w:r>
          </w:p>
        </w:tc>
        <w:tc>
          <w:tcPr>
            <w:tcW w:w="1474" w:type="dxa"/>
            <w:vAlign w:val="center"/>
          </w:tcPr>
          <w:p>
            <w:pPr>
              <w:pStyle w:val="11"/>
            </w:pPr>
            <w:r>
              <w:t>25.89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16.60</w:t>
            </w:r>
          </w:p>
        </w:tc>
        <w:tc>
          <w:tcPr>
            <w:tcW w:w="1474" w:type="dxa"/>
            <w:vAlign w:val="center"/>
          </w:tcPr>
          <w:p>
            <w:pPr>
              <w:pStyle w:val="11"/>
            </w:pPr>
            <w:r>
              <w:t>16.60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16.59</w:t>
            </w:r>
          </w:p>
        </w:tc>
        <w:tc>
          <w:tcPr>
            <w:tcW w:w="1474" w:type="dxa"/>
            <w:vAlign w:val="center"/>
          </w:tcPr>
          <w:p>
            <w:pPr>
              <w:pStyle w:val="11"/>
            </w:pPr>
            <w:r>
              <w:t>16.59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843.53</w:t>
            </w:r>
          </w:p>
        </w:tc>
        <w:tc>
          <w:tcPr>
            <w:tcW w:w="3402" w:type="dxa"/>
            <w:vAlign w:val="center"/>
          </w:tcPr>
          <w:p>
            <w:pPr>
              <w:pStyle w:val="14"/>
            </w:pPr>
            <w:r>
              <w:t>本年支出合计</w:t>
            </w:r>
          </w:p>
        </w:tc>
        <w:tc>
          <w:tcPr>
            <w:tcW w:w="1474" w:type="dxa"/>
            <w:vAlign w:val="center"/>
          </w:tcPr>
          <w:p>
            <w:pPr>
              <w:pStyle w:val="15"/>
            </w:pPr>
            <w:r>
              <w:t>843.53</w:t>
            </w:r>
          </w:p>
        </w:tc>
        <w:tc>
          <w:tcPr>
            <w:tcW w:w="1474" w:type="dxa"/>
            <w:vAlign w:val="center"/>
          </w:tcPr>
          <w:p>
            <w:pPr>
              <w:pStyle w:val="15"/>
            </w:pPr>
            <w:r>
              <w:t>843.53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843.53</w:t>
            </w:r>
          </w:p>
        </w:tc>
        <w:tc>
          <w:tcPr>
            <w:tcW w:w="3402" w:type="dxa"/>
            <w:vAlign w:val="center"/>
          </w:tcPr>
          <w:p>
            <w:pPr>
              <w:pStyle w:val="14"/>
            </w:pPr>
            <w:r>
              <w:t>支出总计</w:t>
            </w:r>
          </w:p>
        </w:tc>
        <w:tc>
          <w:tcPr>
            <w:tcW w:w="1474" w:type="dxa"/>
            <w:vAlign w:val="center"/>
          </w:tcPr>
          <w:p>
            <w:pPr>
              <w:pStyle w:val="15"/>
            </w:pPr>
            <w:r>
              <w:t>843.53</w:t>
            </w:r>
          </w:p>
        </w:tc>
        <w:tc>
          <w:tcPr>
            <w:tcW w:w="1474" w:type="dxa"/>
            <w:vAlign w:val="center"/>
          </w:tcPr>
          <w:p>
            <w:pPr>
              <w:pStyle w:val="15"/>
            </w:pPr>
            <w:r>
              <w:t>843.53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843.53</w:t>
            </w:r>
          </w:p>
        </w:tc>
        <w:tc>
          <w:tcPr>
            <w:tcW w:w="2551" w:type="dxa"/>
            <w:vAlign w:val="center"/>
          </w:tcPr>
          <w:p>
            <w:pPr>
              <w:pStyle w:val="15"/>
            </w:pPr>
            <w:r>
              <w:t>240.97</w:t>
            </w:r>
          </w:p>
        </w:tc>
        <w:tc>
          <w:tcPr>
            <w:tcW w:w="2551" w:type="dxa"/>
            <w:vAlign w:val="center"/>
          </w:tcPr>
          <w:p>
            <w:pPr>
              <w:pStyle w:val="15"/>
            </w:pPr>
            <w:r>
              <w:t>602.56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784.45</w:t>
            </w:r>
          </w:p>
        </w:tc>
        <w:tc>
          <w:tcPr>
            <w:tcW w:w="2551" w:type="dxa"/>
            <w:vAlign w:val="center"/>
          </w:tcPr>
          <w:p>
            <w:pPr>
              <w:pStyle w:val="11"/>
            </w:pPr>
            <w:r>
              <w:t>181.89</w:t>
            </w:r>
          </w:p>
        </w:tc>
        <w:tc>
          <w:tcPr>
            <w:tcW w:w="2551" w:type="dxa"/>
            <w:vAlign w:val="center"/>
          </w:tcPr>
          <w:p>
            <w:pPr>
              <w:pStyle w:val="11"/>
            </w:pPr>
            <w:r>
              <w:t>602.56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784.45</w:t>
            </w:r>
          </w:p>
        </w:tc>
        <w:tc>
          <w:tcPr>
            <w:tcW w:w="2551" w:type="dxa"/>
            <w:vAlign w:val="center"/>
          </w:tcPr>
          <w:p>
            <w:pPr>
              <w:pStyle w:val="11"/>
            </w:pPr>
            <w:r>
              <w:t>181.89</w:t>
            </w:r>
          </w:p>
        </w:tc>
        <w:tc>
          <w:tcPr>
            <w:tcW w:w="2551" w:type="dxa"/>
            <w:vAlign w:val="center"/>
          </w:tcPr>
          <w:p>
            <w:pPr>
              <w:pStyle w:val="11"/>
            </w:pPr>
            <w:r>
              <w:t>602.56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784.45</w:t>
            </w:r>
          </w:p>
        </w:tc>
        <w:tc>
          <w:tcPr>
            <w:tcW w:w="2551" w:type="dxa"/>
            <w:vAlign w:val="center"/>
          </w:tcPr>
          <w:p>
            <w:pPr>
              <w:pStyle w:val="11"/>
            </w:pPr>
            <w:r>
              <w:t>181.89</w:t>
            </w:r>
          </w:p>
        </w:tc>
        <w:tc>
          <w:tcPr>
            <w:tcW w:w="2551" w:type="dxa"/>
            <w:vAlign w:val="center"/>
          </w:tcPr>
          <w:p>
            <w:pPr>
              <w:pStyle w:val="11"/>
            </w:pPr>
            <w:r>
              <w:t>602.56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25.89</w:t>
            </w:r>
          </w:p>
        </w:tc>
        <w:tc>
          <w:tcPr>
            <w:tcW w:w="2551" w:type="dxa"/>
            <w:vAlign w:val="center"/>
          </w:tcPr>
          <w:p>
            <w:pPr>
              <w:pStyle w:val="11"/>
            </w:pPr>
            <w:r>
              <w:t>25.89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25.89</w:t>
            </w:r>
          </w:p>
        </w:tc>
        <w:tc>
          <w:tcPr>
            <w:tcW w:w="2551" w:type="dxa"/>
            <w:vAlign w:val="center"/>
          </w:tcPr>
          <w:p>
            <w:pPr>
              <w:pStyle w:val="11"/>
            </w:pPr>
            <w:r>
              <w:t>25.89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5.25</w:t>
            </w:r>
          </w:p>
        </w:tc>
        <w:tc>
          <w:tcPr>
            <w:tcW w:w="2551" w:type="dxa"/>
            <w:vAlign w:val="center"/>
          </w:tcPr>
          <w:p>
            <w:pPr>
              <w:pStyle w:val="11"/>
            </w:pPr>
            <w:r>
              <w:t>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20.64</w:t>
            </w:r>
          </w:p>
        </w:tc>
        <w:tc>
          <w:tcPr>
            <w:tcW w:w="2551" w:type="dxa"/>
            <w:vAlign w:val="center"/>
          </w:tcPr>
          <w:p>
            <w:pPr>
              <w:pStyle w:val="11"/>
            </w:pPr>
            <w:r>
              <w:t>20.64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9.15</w:t>
            </w:r>
          </w:p>
        </w:tc>
        <w:tc>
          <w:tcPr>
            <w:tcW w:w="2551" w:type="dxa"/>
            <w:vAlign w:val="center"/>
          </w:tcPr>
          <w:p>
            <w:pPr>
              <w:pStyle w:val="11"/>
            </w:pPr>
            <w:r>
              <w:t>9.15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240.97</w:t>
            </w:r>
          </w:p>
        </w:tc>
        <w:tc>
          <w:tcPr>
            <w:tcW w:w="2551" w:type="dxa"/>
            <w:vAlign w:val="center"/>
          </w:tcPr>
          <w:p>
            <w:pPr>
              <w:pStyle w:val="15"/>
            </w:pPr>
            <w:r>
              <w:t>209.84</w:t>
            </w:r>
          </w:p>
        </w:tc>
        <w:tc>
          <w:tcPr>
            <w:tcW w:w="2551" w:type="dxa"/>
            <w:vAlign w:val="center"/>
          </w:tcPr>
          <w:p>
            <w:pPr>
              <w:pStyle w:val="15"/>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204.49</w:t>
            </w:r>
          </w:p>
        </w:tc>
        <w:tc>
          <w:tcPr>
            <w:tcW w:w="2551" w:type="dxa"/>
            <w:vAlign w:val="center"/>
          </w:tcPr>
          <w:p>
            <w:pPr>
              <w:pStyle w:val="11"/>
            </w:pPr>
            <w:r>
              <w:t>204.49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57.84</w:t>
            </w:r>
          </w:p>
        </w:tc>
        <w:tc>
          <w:tcPr>
            <w:tcW w:w="2551" w:type="dxa"/>
            <w:vAlign w:val="center"/>
          </w:tcPr>
          <w:p>
            <w:pPr>
              <w:pStyle w:val="11"/>
            </w:pPr>
            <w:r>
              <w:t>57.84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27.93</w:t>
            </w:r>
          </w:p>
        </w:tc>
        <w:tc>
          <w:tcPr>
            <w:tcW w:w="2551" w:type="dxa"/>
            <w:vAlign w:val="center"/>
          </w:tcPr>
          <w:p>
            <w:pPr>
              <w:pStyle w:val="11"/>
            </w:pPr>
            <w:r>
              <w:t>27.93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52.45</w:t>
            </w:r>
          </w:p>
        </w:tc>
        <w:tc>
          <w:tcPr>
            <w:tcW w:w="2551" w:type="dxa"/>
            <w:vAlign w:val="center"/>
          </w:tcPr>
          <w:p>
            <w:pPr>
              <w:pStyle w:val="11"/>
            </w:pPr>
            <w:r>
              <w:t>52.45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20.64</w:t>
            </w:r>
          </w:p>
        </w:tc>
        <w:tc>
          <w:tcPr>
            <w:tcW w:w="2551" w:type="dxa"/>
            <w:vAlign w:val="center"/>
          </w:tcPr>
          <w:p>
            <w:pPr>
              <w:pStyle w:val="11"/>
            </w:pPr>
            <w:r>
              <w:t>20.64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9.15</w:t>
            </w:r>
          </w:p>
        </w:tc>
        <w:tc>
          <w:tcPr>
            <w:tcW w:w="2551" w:type="dxa"/>
            <w:vAlign w:val="center"/>
          </w:tcPr>
          <w:p>
            <w:pPr>
              <w:pStyle w:val="11"/>
            </w:pPr>
            <w:r>
              <w:t>9.15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16.59</w:t>
            </w:r>
          </w:p>
        </w:tc>
        <w:tc>
          <w:tcPr>
            <w:tcW w:w="2551" w:type="dxa"/>
            <w:vAlign w:val="center"/>
          </w:tcPr>
          <w:p>
            <w:pPr>
              <w:pStyle w:val="11"/>
            </w:pPr>
            <w:r>
              <w:t>16.59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31.13</w:t>
            </w:r>
          </w:p>
        </w:tc>
        <w:tc>
          <w:tcPr>
            <w:tcW w:w="2551" w:type="dxa"/>
            <w:vAlign w:val="center"/>
          </w:tcPr>
          <w:p>
            <w:pPr>
              <w:pStyle w:val="11"/>
            </w:pPr>
          </w:p>
        </w:tc>
        <w:tc>
          <w:tcPr>
            <w:tcW w:w="2551" w:type="dxa"/>
            <w:vAlign w:val="center"/>
          </w:tcPr>
          <w:p>
            <w:pPr>
              <w:pStyle w:val="11"/>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3.38</w:t>
            </w:r>
          </w:p>
        </w:tc>
        <w:tc>
          <w:tcPr>
            <w:tcW w:w="2551" w:type="dxa"/>
            <w:vAlign w:val="center"/>
          </w:tcPr>
          <w:p>
            <w:pPr>
              <w:pStyle w:val="11"/>
            </w:pPr>
          </w:p>
        </w:tc>
        <w:tc>
          <w:tcPr>
            <w:tcW w:w="2551" w:type="dxa"/>
            <w:vAlign w:val="center"/>
          </w:tcPr>
          <w:p>
            <w:pPr>
              <w:pStyle w:val="11"/>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1.45</w:t>
            </w:r>
          </w:p>
        </w:tc>
        <w:tc>
          <w:tcPr>
            <w:tcW w:w="2551" w:type="dxa"/>
            <w:vAlign w:val="center"/>
          </w:tcPr>
          <w:p>
            <w:pPr>
              <w:pStyle w:val="11"/>
            </w:pPr>
          </w:p>
        </w:tc>
        <w:tc>
          <w:tcPr>
            <w:tcW w:w="2551" w:type="dxa"/>
            <w:vAlign w:val="center"/>
          </w:tcPr>
          <w:p>
            <w:pPr>
              <w:pStyle w:val="11"/>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5.35</w:t>
            </w:r>
          </w:p>
        </w:tc>
        <w:tc>
          <w:tcPr>
            <w:tcW w:w="2551" w:type="dxa"/>
            <w:vAlign w:val="center"/>
          </w:tcPr>
          <w:p>
            <w:pPr>
              <w:pStyle w:val="11"/>
            </w:pPr>
            <w:r>
              <w:t>5.35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4.96</w:t>
            </w:r>
          </w:p>
        </w:tc>
        <w:tc>
          <w:tcPr>
            <w:tcW w:w="2551" w:type="dxa"/>
            <w:vAlign w:val="center"/>
          </w:tcPr>
          <w:p>
            <w:pPr>
              <w:pStyle w:val="11"/>
            </w:pPr>
            <w:r>
              <w:t>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2790"/>
        <w:gridCol w:w="1132"/>
        <w:gridCol w:w="518"/>
        <w:gridCol w:w="1125"/>
        <w:gridCol w:w="705"/>
        <w:gridCol w:w="1815"/>
        <w:gridCol w:w="2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1643"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605" w:type="dxa"/>
            <w:gridSpan w:val="3"/>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restart"/>
            <w:vAlign w:val="center"/>
          </w:tcPr>
          <w:p>
            <w:pPr>
              <w:pStyle w:val="10"/>
            </w:pPr>
            <w:r>
              <w:t>序号</w:t>
            </w:r>
          </w:p>
        </w:tc>
        <w:tc>
          <w:tcPr>
            <w:tcW w:w="2790" w:type="dxa"/>
            <w:vMerge w:val="restart"/>
            <w:vAlign w:val="center"/>
          </w:tcPr>
          <w:p>
            <w:pPr>
              <w:pStyle w:val="10"/>
            </w:pPr>
            <w:r>
              <w:t>项  目</w:t>
            </w:r>
          </w:p>
        </w:tc>
        <w:tc>
          <w:tcPr>
            <w:tcW w:w="7380" w:type="dxa"/>
            <w:gridSpan w:val="6"/>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7" w:type="dxa"/>
            <w:vMerge w:val="continue"/>
            <w:vAlign w:val="top"/>
          </w:tcPr>
          <w:p/>
        </w:tc>
        <w:tc>
          <w:tcPr>
            <w:tcW w:w="2790" w:type="dxa"/>
            <w:vMerge w:val="continue"/>
            <w:vAlign w:val="top"/>
          </w:tcPr>
          <w:p/>
        </w:tc>
        <w:tc>
          <w:tcPr>
            <w:tcW w:w="1650" w:type="dxa"/>
            <w:gridSpan w:val="2"/>
            <w:vAlign w:val="center"/>
          </w:tcPr>
          <w:p>
            <w:pPr>
              <w:pStyle w:val="10"/>
            </w:pPr>
            <w:r>
              <w:t>合计</w:t>
            </w:r>
          </w:p>
        </w:tc>
        <w:tc>
          <w:tcPr>
            <w:tcW w:w="1830" w:type="dxa"/>
            <w:gridSpan w:val="2"/>
            <w:vAlign w:val="center"/>
          </w:tcPr>
          <w:p>
            <w:pPr>
              <w:pStyle w:val="10"/>
            </w:pPr>
            <w:r>
              <w:t>一般公共预算              财政拨款</w:t>
            </w:r>
          </w:p>
        </w:tc>
        <w:tc>
          <w:tcPr>
            <w:tcW w:w="1815" w:type="dxa"/>
            <w:vAlign w:val="center"/>
          </w:tcPr>
          <w:p>
            <w:pPr>
              <w:pStyle w:val="10"/>
            </w:pPr>
            <w:r>
              <w:t>政府性基金                  预算拨款</w:t>
            </w:r>
          </w:p>
        </w:tc>
        <w:tc>
          <w:tcPr>
            <w:tcW w:w="208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007" w:type="dxa"/>
            <w:vAlign w:val="center"/>
          </w:tcPr>
          <w:p>
            <w:pPr>
              <w:pStyle w:val="10"/>
            </w:pPr>
            <w:r>
              <w:t>栏次</w:t>
            </w:r>
          </w:p>
        </w:tc>
        <w:tc>
          <w:tcPr>
            <w:tcW w:w="2790" w:type="dxa"/>
            <w:vAlign w:val="center"/>
          </w:tcPr>
          <w:p>
            <w:pPr>
              <w:pStyle w:val="10"/>
            </w:pPr>
            <w:r>
              <w:t>1</w:t>
            </w:r>
          </w:p>
        </w:tc>
        <w:tc>
          <w:tcPr>
            <w:tcW w:w="1650" w:type="dxa"/>
            <w:gridSpan w:val="2"/>
            <w:vAlign w:val="center"/>
          </w:tcPr>
          <w:p>
            <w:pPr>
              <w:pStyle w:val="10"/>
            </w:pPr>
            <w:r>
              <w:t>2</w:t>
            </w:r>
          </w:p>
        </w:tc>
        <w:tc>
          <w:tcPr>
            <w:tcW w:w="1830" w:type="dxa"/>
            <w:gridSpan w:val="2"/>
            <w:vAlign w:val="center"/>
          </w:tcPr>
          <w:p>
            <w:pPr>
              <w:pStyle w:val="10"/>
            </w:pPr>
            <w:r>
              <w:t>3</w:t>
            </w:r>
          </w:p>
        </w:tc>
        <w:tc>
          <w:tcPr>
            <w:tcW w:w="1815" w:type="dxa"/>
            <w:vAlign w:val="center"/>
          </w:tcPr>
          <w:p>
            <w:pPr>
              <w:pStyle w:val="10"/>
            </w:pPr>
            <w:r>
              <w:t>4</w:t>
            </w:r>
          </w:p>
        </w:tc>
        <w:tc>
          <w:tcPr>
            <w:tcW w:w="208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007" w:type="dxa"/>
            <w:vAlign w:val="center"/>
          </w:tcPr>
          <w:p>
            <w:pPr>
              <w:pStyle w:val="13"/>
            </w:pPr>
            <w:r>
              <w:rPr>
                <w:rFonts w:hint="eastAsia"/>
                <w:lang w:val="en-US" w:eastAsia="zh-CN"/>
              </w:rPr>
              <w:t>1</w:t>
            </w:r>
          </w:p>
        </w:tc>
        <w:tc>
          <w:tcPr>
            <w:tcW w:w="2790" w:type="dxa"/>
            <w:vAlign w:val="center"/>
          </w:tcPr>
          <w:p>
            <w:pPr>
              <w:pStyle w:val="14"/>
            </w:pPr>
            <w:r>
              <w:rPr>
                <w:rFonts w:hint="eastAsia"/>
                <w:lang w:val="en-US" w:eastAsia="zh-CN"/>
              </w:rPr>
              <w:t>合计</w:t>
            </w:r>
          </w:p>
        </w:tc>
        <w:tc>
          <w:tcPr>
            <w:tcW w:w="1650" w:type="dxa"/>
            <w:gridSpan w:val="2"/>
            <w:vAlign w:val="center"/>
          </w:tcPr>
          <w:p>
            <w:pPr>
              <w:pStyle w:val="15"/>
            </w:pPr>
            <w:r>
              <w:t>22.00</w:t>
            </w:r>
          </w:p>
        </w:tc>
        <w:tc>
          <w:tcPr>
            <w:tcW w:w="1830" w:type="dxa"/>
            <w:gridSpan w:val="2"/>
            <w:vAlign w:val="center"/>
          </w:tcPr>
          <w:p>
            <w:pPr>
              <w:pStyle w:val="15"/>
            </w:pPr>
            <w:r>
              <w:t>22.00</w:t>
            </w:r>
          </w:p>
        </w:tc>
        <w:tc>
          <w:tcPr>
            <w:tcW w:w="1815" w:type="dxa"/>
            <w:vAlign w:val="center"/>
          </w:tcPr>
          <w:p>
            <w:pPr>
              <w:pStyle w:val="15"/>
            </w:pPr>
          </w:p>
        </w:tc>
        <w:tc>
          <w:tcPr>
            <w:tcW w:w="2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007" w:type="dxa"/>
            <w:vAlign w:val="center"/>
          </w:tcPr>
          <w:p>
            <w:pPr>
              <w:pStyle w:val="13"/>
            </w:pPr>
            <w:r>
              <w:rPr>
                <w:rFonts w:hint="eastAsia"/>
                <w:lang w:val="en-US" w:eastAsia="zh-CN"/>
              </w:rPr>
              <w:t>2</w:t>
            </w:r>
          </w:p>
        </w:tc>
        <w:tc>
          <w:tcPr>
            <w:tcW w:w="2790" w:type="dxa"/>
            <w:vAlign w:val="center"/>
          </w:tcPr>
          <w:p>
            <w:pPr>
              <w:pStyle w:val="14"/>
            </w:pPr>
            <w:r>
              <w:t>“三公”经费小计</w:t>
            </w:r>
          </w:p>
        </w:tc>
        <w:tc>
          <w:tcPr>
            <w:tcW w:w="1650" w:type="dxa"/>
            <w:gridSpan w:val="2"/>
            <w:vAlign w:val="center"/>
          </w:tcPr>
          <w:p>
            <w:pPr>
              <w:pStyle w:val="15"/>
            </w:pPr>
            <w:r>
              <w:t>22.00</w:t>
            </w:r>
          </w:p>
        </w:tc>
        <w:tc>
          <w:tcPr>
            <w:tcW w:w="1830" w:type="dxa"/>
            <w:gridSpan w:val="2"/>
            <w:vAlign w:val="center"/>
          </w:tcPr>
          <w:p>
            <w:pPr>
              <w:pStyle w:val="15"/>
            </w:pPr>
            <w:r>
              <w:t>22.00</w:t>
            </w:r>
          </w:p>
        </w:tc>
        <w:tc>
          <w:tcPr>
            <w:tcW w:w="1815" w:type="dxa"/>
            <w:vAlign w:val="center"/>
          </w:tcPr>
          <w:p>
            <w:pPr>
              <w:pStyle w:val="15"/>
            </w:pPr>
          </w:p>
        </w:tc>
        <w:tc>
          <w:tcPr>
            <w:tcW w:w="20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007" w:type="dxa"/>
            <w:vAlign w:val="center"/>
          </w:tcPr>
          <w:p>
            <w:pPr>
              <w:pStyle w:val="13"/>
            </w:pPr>
            <w:r>
              <w:rPr>
                <w:rFonts w:hint="eastAsia"/>
                <w:lang w:val="en-US" w:eastAsia="zh-CN"/>
              </w:rPr>
              <w:t>3</w:t>
            </w:r>
          </w:p>
        </w:tc>
        <w:tc>
          <w:tcPr>
            <w:tcW w:w="2790" w:type="dxa"/>
            <w:vAlign w:val="center"/>
          </w:tcPr>
          <w:p>
            <w:pPr>
              <w:pStyle w:val="12"/>
            </w:pPr>
            <w:r>
              <w:rPr>
                <w:rFonts w:hint="eastAsia"/>
                <w:lang w:val="en-US" w:eastAsia="zh-CN"/>
              </w:rPr>
              <w:t>一、因公出国（境）费</w:t>
            </w:r>
          </w:p>
        </w:tc>
        <w:tc>
          <w:tcPr>
            <w:tcW w:w="1650" w:type="dxa"/>
            <w:gridSpan w:val="2"/>
            <w:vAlign w:val="center"/>
          </w:tcPr>
          <w:p>
            <w:pPr>
              <w:pStyle w:val="11"/>
            </w:pPr>
          </w:p>
        </w:tc>
        <w:tc>
          <w:tcPr>
            <w:tcW w:w="1830" w:type="dxa"/>
            <w:gridSpan w:val="2"/>
            <w:vAlign w:val="center"/>
          </w:tcPr>
          <w:p>
            <w:pPr>
              <w:pStyle w:val="11"/>
            </w:pP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pPr>
            <w:r>
              <w:rPr>
                <w:rFonts w:hint="eastAsia"/>
                <w:lang w:val="en-US" w:eastAsia="zh-CN"/>
              </w:rPr>
              <w:t>4</w:t>
            </w:r>
          </w:p>
        </w:tc>
        <w:tc>
          <w:tcPr>
            <w:tcW w:w="2790" w:type="dxa"/>
            <w:vAlign w:val="center"/>
          </w:tcPr>
          <w:p>
            <w:pPr>
              <w:pStyle w:val="12"/>
            </w:pPr>
            <w:r>
              <w:t xml:space="preserve">    其中：教学科研人员因公出国（境）费</w:t>
            </w:r>
          </w:p>
        </w:tc>
        <w:tc>
          <w:tcPr>
            <w:tcW w:w="1650" w:type="dxa"/>
            <w:gridSpan w:val="2"/>
            <w:vAlign w:val="center"/>
          </w:tcPr>
          <w:p>
            <w:pPr>
              <w:pStyle w:val="11"/>
            </w:pPr>
          </w:p>
        </w:tc>
        <w:tc>
          <w:tcPr>
            <w:tcW w:w="1830" w:type="dxa"/>
            <w:gridSpan w:val="2"/>
            <w:vAlign w:val="center"/>
          </w:tcPr>
          <w:p>
            <w:pPr>
              <w:pStyle w:val="11"/>
            </w:pP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pPr>
            <w:r>
              <w:rPr>
                <w:rFonts w:hint="eastAsia"/>
                <w:lang w:val="en-US" w:eastAsia="zh-CN"/>
              </w:rPr>
              <w:t>5</w:t>
            </w:r>
          </w:p>
        </w:tc>
        <w:tc>
          <w:tcPr>
            <w:tcW w:w="2790" w:type="dxa"/>
            <w:vAlign w:val="center"/>
          </w:tcPr>
          <w:p>
            <w:pPr>
              <w:pStyle w:val="12"/>
            </w:pPr>
            <w:r>
              <w:t xml:space="preserve">          其他因公出国（境）费</w:t>
            </w:r>
          </w:p>
        </w:tc>
        <w:tc>
          <w:tcPr>
            <w:tcW w:w="1650" w:type="dxa"/>
            <w:gridSpan w:val="2"/>
            <w:vAlign w:val="center"/>
          </w:tcPr>
          <w:p>
            <w:pPr>
              <w:pStyle w:val="11"/>
            </w:pPr>
          </w:p>
        </w:tc>
        <w:tc>
          <w:tcPr>
            <w:tcW w:w="1830" w:type="dxa"/>
            <w:gridSpan w:val="2"/>
            <w:vAlign w:val="center"/>
          </w:tcPr>
          <w:p>
            <w:pPr>
              <w:pStyle w:val="11"/>
            </w:pP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pPr>
            <w:r>
              <w:rPr>
                <w:rFonts w:hint="eastAsia"/>
                <w:lang w:val="en-US" w:eastAsia="zh-CN"/>
              </w:rPr>
              <w:t>6</w:t>
            </w:r>
          </w:p>
        </w:tc>
        <w:tc>
          <w:tcPr>
            <w:tcW w:w="2790" w:type="dxa"/>
            <w:vAlign w:val="center"/>
          </w:tcPr>
          <w:p>
            <w:pPr>
              <w:pStyle w:val="12"/>
            </w:pPr>
            <w:r>
              <w:rPr>
                <w:rFonts w:hint="eastAsia"/>
                <w:lang w:val="en-US" w:eastAsia="zh-CN"/>
              </w:rPr>
              <w:t>二、公务用车购置及运维费</w:t>
            </w:r>
          </w:p>
        </w:tc>
        <w:tc>
          <w:tcPr>
            <w:tcW w:w="1650" w:type="dxa"/>
            <w:gridSpan w:val="2"/>
            <w:vAlign w:val="center"/>
          </w:tcPr>
          <w:p>
            <w:pPr>
              <w:pStyle w:val="11"/>
            </w:pPr>
            <w:r>
              <w:rPr>
                <w:rFonts w:hint="eastAsia"/>
                <w:lang w:val="en-US" w:eastAsia="zh-CN"/>
              </w:rPr>
              <w:t>22.00</w:t>
            </w:r>
          </w:p>
        </w:tc>
        <w:tc>
          <w:tcPr>
            <w:tcW w:w="1830" w:type="dxa"/>
            <w:gridSpan w:val="2"/>
            <w:vAlign w:val="center"/>
          </w:tcPr>
          <w:p>
            <w:pPr>
              <w:pStyle w:val="11"/>
            </w:pPr>
            <w:r>
              <w:rPr>
                <w:rFonts w:hint="eastAsia"/>
                <w:lang w:val="en-US" w:eastAsia="zh-CN"/>
              </w:rPr>
              <w:t>22.00</w:t>
            </w: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rPr>
                <w:rFonts w:hint="default"/>
                <w:lang w:val="en-US" w:eastAsia="zh-CN"/>
              </w:rPr>
            </w:pPr>
            <w:r>
              <w:rPr>
                <w:rFonts w:hint="eastAsia"/>
                <w:lang w:val="en-US" w:eastAsia="zh-CN"/>
              </w:rPr>
              <w:t>7</w:t>
            </w:r>
          </w:p>
        </w:tc>
        <w:tc>
          <w:tcPr>
            <w:tcW w:w="2790" w:type="dxa"/>
            <w:vAlign w:val="center"/>
          </w:tcPr>
          <w:p>
            <w:pPr>
              <w:pStyle w:val="12"/>
              <w:rPr>
                <w:rFonts w:hint="default" w:eastAsia="方正书宋_GBK"/>
                <w:lang w:val="en-US" w:eastAsia="zh-CN"/>
              </w:rPr>
            </w:pPr>
            <w:r>
              <w:t xml:space="preserve">    其中：公务用车购置费</w:t>
            </w:r>
          </w:p>
        </w:tc>
        <w:tc>
          <w:tcPr>
            <w:tcW w:w="1650" w:type="dxa"/>
            <w:gridSpan w:val="2"/>
            <w:vAlign w:val="center"/>
          </w:tcPr>
          <w:p>
            <w:pPr>
              <w:pStyle w:val="11"/>
            </w:pPr>
          </w:p>
        </w:tc>
        <w:tc>
          <w:tcPr>
            <w:tcW w:w="1830" w:type="dxa"/>
            <w:gridSpan w:val="2"/>
            <w:vAlign w:val="center"/>
          </w:tcPr>
          <w:p>
            <w:pPr>
              <w:pStyle w:val="11"/>
            </w:pP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rPr>
                <w:rFonts w:hint="eastAsia" w:eastAsia="方正书宋_GBK"/>
                <w:lang w:val="en-US" w:eastAsia="zh-CN"/>
              </w:rPr>
            </w:pPr>
            <w:r>
              <w:rPr>
                <w:rFonts w:hint="eastAsia"/>
                <w:lang w:val="en-US" w:eastAsia="zh-CN"/>
              </w:rPr>
              <w:t>8</w:t>
            </w:r>
          </w:p>
        </w:tc>
        <w:tc>
          <w:tcPr>
            <w:tcW w:w="2790" w:type="dxa"/>
            <w:vAlign w:val="center"/>
          </w:tcPr>
          <w:p>
            <w:pPr>
              <w:pStyle w:val="12"/>
              <w:rPr>
                <w:rFonts w:hint="default" w:eastAsia="方正书宋_GBK"/>
                <w:lang w:val="en-US" w:eastAsia="zh-CN"/>
              </w:rPr>
            </w:pPr>
            <w:r>
              <w:t xml:space="preserve">          公务用车运行维护费</w:t>
            </w:r>
          </w:p>
        </w:tc>
        <w:tc>
          <w:tcPr>
            <w:tcW w:w="1650" w:type="dxa"/>
            <w:gridSpan w:val="2"/>
            <w:vAlign w:val="center"/>
          </w:tcPr>
          <w:p>
            <w:pPr>
              <w:pStyle w:val="11"/>
              <w:rPr>
                <w:rFonts w:hint="default" w:eastAsia="方正书宋_GBK"/>
                <w:lang w:val="en-US" w:eastAsia="zh-CN"/>
              </w:rPr>
            </w:pPr>
            <w:r>
              <w:t>22.00</w:t>
            </w:r>
          </w:p>
        </w:tc>
        <w:tc>
          <w:tcPr>
            <w:tcW w:w="1830" w:type="dxa"/>
            <w:gridSpan w:val="2"/>
            <w:vAlign w:val="center"/>
          </w:tcPr>
          <w:p>
            <w:pPr>
              <w:pStyle w:val="11"/>
              <w:rPr>
                <w:rFonts w:hint="default" w:eastAsia="方正书宋_GBK"/>
                <w:lang w:val="en-US" w:eastAsia="zh-CN"/>
              </w:rPr>
            </w:pPr>
            <w:r>
              <w:t>22.00</w:t>
            </w: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rPr>
                <w:rFonts w:hint="eastAsia"/>
                <w:lang w:val="en-US" w:eastAsia="zh-CN"/>
              </w:rPr>
            </w:pPr>
            <w:r>
              <w:rPr>
                <w:rFonts w:hint="eastAsia"/>
                <w:lang w:val="en-US" w:eastAsia="zh-CN"/>
              </w:rPr>
              <w:t>9</w:t>
            </w:r>
          </w:p>
        </w:tc>
        <w:tc>
          <w:tcPr>
            <w:tcW w:w="2790" w:type="dxa"/>
            <w:vAlign w:val="center"/>
          </w:tcPr>
          <w:p>
            <w:pPr>
              <w:pStyle w:val="12"/>
            </w:pPr>
            <w:r>
              <w:t>三、公务接待费</w:t>
            </w:r>
          </w:p>
        </w:tc>
        <w:tc>
          <w:tcPr>
            <w:tcW w:w="1650" w:type="dxa"/>
            <w:gridSpan w:val="2"/>
            <w:vAlign w:val="center"/>
          </w:tcPr>
          <w:p>
            <w:pPr>
              <w:pStyle w:val="11"/>
            </w:pPr>
          </w:p>
        </w:tc>
        <w:tc>
          <w:tcPr>
            <w:tcW w:w="1830" w:type="dxa"/>
            <w:gridSpan w:val="2"/>
            <w:vAlign w:val="center"/>
          </w:tcPr>
          <w:p>
            <w:pPr>
              <w:pStyle w:val="11"/>
            </w:pP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rPr>
                <w:rFonts w:hint="eastAsia"/>
                <w:lang w:val="en-US" w:eastAsia="zh-CN"/>
              </w:rPr>
            </w:pPr>
          </w:p>
        </w:tc>
        <w:tc>
          <w:tcPr>
            <w:tcW w:w="2790" w:type="dxa"/>
            <w:vAlign w:val="center"/>
          </w:tcPr>
          <w:p>
            <w:pPr>
              <w:pStyle w:val="12"/>
            </w:pPr>
          </w:p>
        </w:tc>
        <w:tc>
          <w:tcPr>
            <w:tcW w:w="1650" w:type="dxa"/>
            <w:gridSpan w:val="2"/>
            <w:vAlign w:val="center"/>
          </w:tcPr>
          <w:p>
            <w:pPr>
              <w:pStyle w:val="11"/>
            </w:pPr>
          </w:p>
        </w:tc>
        <w:tc>
          <w:tcPr>
            <w:tcW w:w="1830" w:type="dxa"/>
            <w:gridSpan w:val="2"/>
            <w:vAlign w:val="center"/>
          </w:tcPr>
          <w:p>
            <w:pPr>
              <w:pStyle w:val="11"/>
            </w:pPr>
          </w:p>
        </w:tc>
        <w:tc>
          <w:tcPr>
            <w:tcW w:w="1815" w:type="dxa"/>
            <w:vAlign w:val="center"/>
          </w:tcPr>
          <w:p>
            <w:pPr>
              <w:pStyle w:val="11"/>
            </w:pPr>
          </w:p>
        </w:tc>
        <w:tc>
          <w:tcPr>
            <w:tcW w:w="20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3"/>
              <w:rPr>
                <w:rFonts w:hint="default"/>
                <w:lang w:val="en-US" w:eastAsia="zh-CN"/>
              </w:rPr>
            </w:pPr>
          </w:p>
        </w:tc>
        <w:tc>
          <w:tcPr>
            <w:tcW w:w="2790" w:type="dxa"/>
            <w:vAlign w:val="center"/>
          </w:tcPr>
          <w:p>
            <w:pPr>
              <w:pStyle w:val="12"/>
              <w:rPr>
                <w:rFonts w:hint="default"/>
                <w:lang w:val="en-US" w:eastAsia="zh-CN"/>
              </w:rPr>
            </w:pPr>
          </w:p>
        </w:tc>
        <w:tc>
          <w:tcPr>
            <w:tcW w:w="1650" w:type="dxa"/>
            <w:gridSpan w:val="2"/>
            <w:vAlign w:val="center"/>
          </w:tcPr>
          <w:p>
            <w:pPr>
              <w:pStyle w:val="11"/>
              <w:rPr>
                <w:rFonts w:hint="default" w:eastAsia="方正书宋_GBK"/>
                <w:lang w:val="en-US" w:eastAsia="zh-CN"/>
              </w:rPr>
            </w:pPr>
          </w:p>
        </w:tc>
        <w:tc>
          <w:tcPr>
            <w:tcW w:w="1830" w:type="dxa"/>
            <w:gridSpan w:val="2"/>
            <w:vAlign w:val="center"/>
          </w:tcPr>
          <w:p>
            <w:pPr>
              <w:pStyle w:val="11"/>
              <w:rPr>
                <w:rFonts w:hint="default" w:eastAsia="方正书宋_GBK"/>
                <w:lang w:val="en-US" w:eastAsia="zh-CN"/>
              </w:rPr>
            </w:pPr>
          </w:p>
        </w:tc>
        <w:tc>
          <w:tcPr>
            <w:tcW w:w="1815" w:type="dxa"/>
            <w:vAlign w:val="center"/>
          </w:tcPr>
          <w:p>
            <w:pPr>
              <w:pStyle w:val="11"/>
            </w:pPr>
          </w:p>
        </w:tc>
        <w:tc>
          <w:tcPr>
            <w:tcW w:w="2085"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秦皇岛市北戴河区机关事务运行中心（本级）2023年单位预算信息公开情况说明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按照《预算法》、《地方预决算公开操作规程》和《关于进一步推进预算公开工作的实施意见》规定，现将秦皇岛市北戴河区机关事务运行中心（本级）2023年单位预算公开如下：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9"/>
      </w:pPr>
      <w:r>
        <w:t>根据《机关事务运行中心职能配置、内设机构和人员编制规定》，机关事务运行中心的主要职责是：</w:t>
      </w:r>
    </w:p>
    <w:p>
      <w:pPr>
        <w:pStyle w:val="29"/>
      </w:pPr>
      <w:r>
        <w:t>负责参与拟定区直机关事务工作的规划并组织实施，对全区机关事务工作进行业务指导。为区直机关和参照公务员法管理的事业单位办公用房的调配、使用等工作提供技术支持和服务保障。会同有关部门执行区级行政办公区域规划管控工作。为全区公务用车制度改革工作提供业务支持。为公务用车服务平台建设提供服务保障。为公务用车服务平台内的公务用车的编制、经费、采购、配备、处置以及维修、加油等提供技术支持和服务保障。为全区公共机构节能工作提供业务支持。负责党政机关综合办公大楼、附属办公楼的管理、调配、修缮、改造、租赁、使用等事务性工作。对党政机关综合办公楼内公用设施、设备等固定资产进行登记与管理。负责党政机关综合办公楼的安全保卫、秩序维护和消防安全、防灾减灾等保障工作，参与制定、检查、落实相关的规章制度和各种防范措施。为党政机关综合办公楼内外的环境卫生、交通秩序和广场美化亮化提供服务保障工作。负责机关职工食堂保障和饮食服务工作。承办区委、区政府交办的其他事项。</w:t>
      </w:r>
    </w:p>
    <w:p>
      <w:pPr>
        <w:spacing w:before="0" w:after="0" w:line="240" w:lineRule="auto"/>
        <w:ind w:firstLine="640"/>
        <w:jc w:val="left"/>
        <w:outlineLvl w:val="9"/>
      </w:pP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秦皇岛市北戴河区机关事务运行中心（本级）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按照预算管理有关规定，目前我单位预算的编制实行综合预算制度，即全部收入和支出都反映在预算中。北戴河区机关事务运行中心的收支包含在单位预算中。</w:t>
      </w:r>
    </w:p>
    <w:p>
      <w:pPr>
        <w:pStyle w:val="30"/>
      </w:pPr>
    </w:p>
    <w:p>
      <w:pPr>
        <w:pStyle w:val="30"/>
      </w:pPr>
      <w:r>
        <w:t>1、收入说明</w:t>
      </w:r>
    </w:p>
    <w:p>
      <w:pPr>
        <w:pStyle w:val="30"/>
      </w:pPr>
      <w:r>
        <w:t>2023年预算收入为843.53万元，其中：一般公共预算收入843.53万元，基金预算收入0</w:t>
      </w:r>
      <w:r>
        <w:rPr>
          <w:rFonts w:hint="eastAsia"/>
          <w:lang w:val="en-US" w:eastAsia="zh-CN"/>
        </w:rPr>
        <w:t>.00</w:t>
      </w:r>
      <w:r>
        <w:t>万元，财政专户核拨收入0</w:t>
      </w:r>
      <w:r>
        <w:rPr>
          <w:rFonts w:hint="eastAsia"/>
          <w:lang w:val="en-US" w:eastAsia="zh-CN"/>
        </w:rPr>
        <w:t>.00</w:t>
      </w:r>
      <w:r>
        <w:t>万元，其他来源收入</w:t>
      </w:r>
      <w:r>
        <w:rPr>
          <w:rFonts w:hint="eastAsia"/>
          <w:lang w:val="en-US" w:eastAsia="zh-CN"/>
        </w:rPr>
        <w:t>0.00</w:t>
      </w:r>
      <w:r>
        <w:t>万元。</w:t>
      </w:r>
    </w:p>
    <w:p>
      <w:pPr>
        <w:pStyle w:val="30"/>
      </w:pPr>
    </w:p>
    <w:p>
      <w:pPr>
        <w:pStyle w:val="30"/>
      </w:pPr>
      <w:r>
        <w:t>2、支出说明</w:t>
      </w:r>
    </w:p>
    <w:p>
      <w:pPr>
        <w:pStyle w:val="30"/>
      </w:pPr>
      <w:r>
        <w:t>收支预算总表支出表、基本支出表、项目支出表按经济分类和支出功能分类科目编制，反映北戴河区机关事务运行中心年度部门预算中支出预算的总体情况。2023年预算支出为843.53万元，其中：基本支出240.97万元，主要是人员经费209.84万元和日常公用经费31.13万元；项目支出602.56万元，主要为：</w:t>
      </w:r>
    </w:p>
    <w:p>
      <w:pPr>
        <w:pStyle w:val="30"/>
      </w:pPr>
      <w:r>
        <w:t>1）“创意之家”租赁费42.5万元</w:t>
      </w:r>
    </w:p>
    <w:p>
      <w:pPr>
        <w:pStyle w:val="30"/>
      </w:pPr>
      <w:r>
        <w:t>2）办公楼权籍图测绘及房屋面积测绘费2.98万元</w:t>
      </w:r>
    </w:p>
    <w:p>
      <w:pPr>
        <w:pStyle w:val="30"/>
      </w:pPr>
      <w:r>
        <w:t>3）公务用车定位设备运行费13.7万元</w:t>
      </w:r>
    </w:p>
    <w:p>
      <w:pPr>
        <w:pStyle w:val="30"/>
      </w:pPr>
      <w:r>
        <w:t>4）后勤保障经费60</w:t>
      </w:r>
      <w:r>
        <w:rPr>
          <w:rFonts w:hint="eastAsia"/>
          <w:lang w:val="en-US" w:eastAsia="zh-CN"/>
        </w:rPr>
        <w:t>.00</w:t>
      </w:r>
      <w:r>
        <w:t>万元</w:t>
      </w:r>
    </w:p>
    <w:p>
      <w:pPr>
        <w:pStyle w:val="30"/>
      </w:pPr>
      <w:r>
        <w:t>5）维修费15</w:t>
      </w:r>
      <w:r>
        <w:rPr>
          <w:rFonts w:hint="eastAsia"/>
          <w:lang w:val="en-US" w:eastAsia="zh-CN"/>
        </w:rPr>
        <w:t>.00</w:t>
      </w:r>
      <w:r>
        <w:t>万元</w:t>
      </w:r>
    </w:p>
    <w:p>
      <w:pPr>
        <w:pStyle w:val="30"/>
      </w:pPr>
      <w:r>
        <w:t>6）物业管理费9.54万元</w:t>
      </w:r>
    </w:p>
    <w:p>
      <w:pPr>
        <w:pStyle w:val="30"/>
      </w:pPr>
      <w:r>
        <w:t>7）政府大楼保险12.94万元</w:t>
      </w:r>
    </w:p>
    <w:p>
      <w:pPr>
        <w:pStyle w:val="30"/>
      </w:pPr>
      <w:r>
        <w:t>8）综合办公楼能源费14.88万元</w:t>
      </w:r>
    </w:p>
    <w:p>
      <w:pPr>
        <w:pStyle w:val="30"/>
      </w:pPr>
      <w:r>
        <w:t>9）综合办公楼水电费190</w:t>
      </w:r>
      <w:r>
        <w:rPr>
          <w:rFonts w:hint="eastAsia"/>
          <w:lang w:val="en-US" w:eastAsia="zh-CN"/>
        </w:rPr>
        <w:t>.00</w:t>
      </w:r>
      <w:r>
        <w:t>万元</w:t>
      </w:r>
    </w:p>
    <w:p>
      <w:pPr>
        <w:pStyle w:val="30"/>
      </w:pPr>
      <w:r>
        <w:t>10）临时用工专项补助（修多物业）115.56万元</w:t>
      </w:r>
    </w:p>
    <w:p>
      <w:pPr>
        <w:pStyle w:val="30"/>
      </w:pPr>
      <w:r>
        <w:t>11）劳务派遣专项补助121.5万元</w:t>
      </w:r>
    </w:p>
    <w:p>
      <w:pPr>
        <w:pStyle w:val="30"/>
      </w:pPr>
      <w:r>
        <w:t>12）网络运行维护费3.96万元</w:t>
      </w:r>
    </w:p>
    <w:p>
      <w:pPr>
        <w:pStyle w:val="30"/>
      </w:pPr>
      <w:r>
        <w:t>3、比上年增减情况</w:t>
      </w:r>
    </w:p>
    <w:p>
      <w:pPr>
        <w:pStyle w:val="30"/>
      </w:pPr>
      <w:r>
        <w:t>2023年预算支出安排843.54万元，较2022年预算减少20.32万元，其中：基本支出增加15.58万元，主要因为增加一名新入职人员；项目支出减少67.04万元，主要因为财政资金紧张，按上级要求将维修费、办公楼权籍图测绘及房屋面积测绘费、公务用车定位设备运行费、“创意之家”租赁费等项目经费缩减50%。</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机关运行经费共计安排31.13万元，主要用于机关办公区的办公及印刷费、邮电费、公务用车运行维护费等日常运行支出。其中：办公及印刷费3.38万元、公务用车运行维护费22万元、离退休干部经费0.29万元、培训费1.66万元、工会经费2.22万元、福利费1.45万元、党组织活动经费0.13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2023年，我单位财政拨款“三公”经费预算安排22</w:t>
      </w:r>
      <w:r>
        <w:rPr>
          <w:rFonts w:hint="eastAsia"/>
          <w:lang w:val="en-US" w:eastAsia="zh-CN"/>
        </w:rPr>
        <w:t>.00</w:t>
      </w:r>
      <w:r>
        <w:t>万元，与上年相比，减少9.25万元。其中：因公出国（境）费0</w:t>
      </w:r>
      <w:r>
        <w:rPr>
          <w:rFonts w:hint="eastAsia"/>
          <w:lang w:val="en-US" w:eastAsia="zh-CN"/>
        </w:rPr>
        <w:t>.00</w:t>
      </w:r>
      <w:r>
        <w:t>万元，与上年持平，无增减变化；公务用车购置及运行维护费22</w:t>
      </w:r>
      <w:r>
        <w:rPr>
          <w:rFonts w:hint="eastAsia"/>
          <w:lang w:val="en-US" w:eastAsia="zh-CN"/>
        </w:rPr>
        <w:t>.00</w:t>
      </w:r>
      <w:r>
        <w:t>万元（其中：公务用车购置费为0</w:t>
      </w:r>
      <w:r>
        <w:rPr>
          <w:rFonts w:hint="eastAsia"/>
          <w:lang w:val="en-US" w:eastAsia="zh-CN"/>
        </w:rPr>
        <w:t>.00</w:t>
      </w:r>
      <w:r>
        <w:t>万元，公务用车运行维护费22</w:t>
      </w:r>
      <w:r>
        <w:rPr>
          <w:rFonts w:hint="eastAsia"/>
          <w:lang w:val="en-US" w:eastAsia="zh-CN"/>
        </w:rPr>
        <w:t>.00</w:t>
      </w:r>
      <w:r>
        <w:t>万元)，公务用车购置费与上年持平，无增减变化；公务用车运行维护费22</w:t>
      </w:r>
      <w:r>
        <w:rPr>
          <w:rFonts w:hint="eastAsia"/>
          <w:lang w:val="en-US" w:eastAsia="zh-CN"/>
        </w:rPr>
        <w:t>.00</w:t>
      </w:r>
      <w:r>
        <w:t>万元，与上年相比减少9.25万元，主要是减少公务用车数量，厉行节约，压缩经费；公务接待费0</w:t>
      </w:r>
      <w:r>
        <w:rPr>
          <w:rFonts w:hint="eastAsia"/>
          <w:lang w:val="en-US" w:eastAsia="zh-CN"/>
        </w:rPr>
        <w:t>.00</w:t>
      </w:r>
      <w:r>
        <w:t>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1.主要用于劳务派遣人员工资、保险等支出，保障办公正常运行。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保障率</w:t>
            </w:r>
          </w:p>
        </w:tc>
        <w:tc>
          <w:tcPr>
            <w:tcW w:w="2835" w:type="dxa"/>
            <w:vAlign w:val="center"/>
          </w:tcPr>
          <w:p>
            <w:pPr>
              <w:pStyle w:val="12"/>
            </w:pPr>
            <w:r>
              <w:t>人员工资福利等支出保障率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工资（福利）发放精准性</w:t>
            </w:r>
          </w:p>
        </w:tc>
        <w:tc>
          <w:tcPr>
            <w:tcW w:w="2835" w:type="dxa"/>
            <w:vAlign w:val="center"/>
          </w:tcPr>
          <w:p>
            <w:pPr>
              <w:pStyle w:val="12"/>
            </w:pPr>
            <w:r>
              <w:t>工资福利等发放人员范围的精准性和发放数据的准确性</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按规定时限发放工资、缴纳保险</w:t>
            </w:r>
          </w:p>
        </w:tc>
        <w:tc>
          <w:tcPr>
            <w:tcW w:w="2835" w:type="dxa"/>
            <w:vAlign w:val="center"/>
          </w:tcPr>
          <w:p>
            <w:pPr>
              <w:pStyle w:val="12"/>
            </w:pPr>
            <w:r>
              <w:t>按规定时限发放工资、缴纳保险</w:t>
            </w:r>
          </w:p>
        </w:tc>
        <w:tc>
          <w:tcPr>
            <w:tcW w:w="2551" w:type="dxa"/>
            <w:vAlign w:val="center"/>
          </w:tcPr>
          <w:p>
            <w:pPr>
              <w:pStyle w:val="12"/>
            </w:pPr>
            <w:r>
              <w:t>按规定时间发放</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工资、社会保障等发放缴纳标准</w:t>
            </w:r>
          </w:p>
        </w:tc>
        <w:tc>
          <w:tcPr>
            <w:tcW w:w="2835" w:type="dxa"/>
            <w:vAlign w:val="center"/>
          </w:tcPr>
          <w:p>
            <w:pPr>
              <w:pStyle w:val="12"/>
            </w:pPr>
            <w:r>
              <w:t>工资（福利）、社会保障等发放标准</w:t>
            </w:r>
          </w:p>
        </w:tc>
        <w:tc>
          <w:tcPr>
            <w:tcW w:w="2551" w:type="dxa"/>
            <w:vAlign w:val="center"/>
          </w:tcPr>
          <w:p>
            <w:pPr>
              <w:pStyle w:val="12"/>
            </w:pPr>
            <w:r>
              <w:t>按规定执行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加强工作人员归属感，保持人员相对稳定</w:t>
            </w:r>
          </w:p>
        </w:tc>
        <w:tc>
          <w:tcPr>
            <w:tcW w:w="2835" w:type="dxa"/>
            <w:vAlign w:val="center"/>
          </w:tcPr>
          <w:p>
            <w:pPr>
              <w:pStyle w:val="12"/>
            </w:pPr>
            <w:r>
              <w:t>通过暗示发放工资及社会保障，进一步增强职工归属感，保持人员相对稳定，保障办公正常运转。</w:t>
            </w:r>
          </w:p>
        </w:tc>
        <w:tc>
          <w:tcPr>
            <w:tcW w:w="2551" w:type="dxa"/>
            <w:vAlign w:val="center"/>
          </w:tcPr>
          <w:p>
            <w:pPr>
              <w:pStyle w:val="12"/>
            </w:pPr>
            <w:r>
              <w:t>保障办公正常运转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劳务派遣公司满意度</w:t>
            </w:r>
          </w:p>
        </w:tc>
        <w:tc>
          <w:tcPr>
            <w:tcW w:w="2835" w:type="dxa"/>
            <w:vAlign w:val="center"/>
          </w:tcPr>
          <w:p>
            <w:pPr>
              <w:pStyle w:val="12"/>
            </w:pPr>
            <w:r>
              <w:t>劳务派遣公司对我单位按时支付劳务派遣费工作的满意度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2、临时用工专项补助（修多物业）绩效目标表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1.维护综合办公楼良好秩序，改善办公环境。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物业服务面积</w:t>
            </w:r>
          </w:p>
        </w:tc>
        <w:tc>
          <w:tcPr>
            <w:tcW w:w="2835" w:type="dxa"/>
            <w:vAlign w:val="center"/>
          </w:tcPr>
          <w:p>
            <w:pPr>
              <w:pStyle w:val="12"/>
            </w:pPr>
            <w:r>
              <w:t>物业服务面积</w:t>
            </w:r>
          </w:p>
        </w:tc>
        <w:tc>
          <w:tcPr>
            <w:tcW w:w="2551" w:type="dxa"/>
            <w:vAlign w:val="center"/>
          </w:tcPr>
          <w:p>
            <w:pPr>
              <w:pStyle w:val="12"/>
            </w:pPr>
            <w:r>
              <w:t>46750.5平方米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物业人员服务质量</w:t>
            </w:r>
          </w:p>
        </w:tc>
        <w:tc>
          <w:tcPr>
            <w:tcW w:w="2835" w:type="dxa"/>
            <w:vAlign w:val="center"/>
          </w:tcPr>
          <w:p>
            <w:pPr>
              <w:pStyle w:val="12"/>
            </w:pPr>
            <w:r>
              <w:t>物业人员服务质量</w:t>
            </w:r>
          </w:p>
        </w:tc>
        <w:tc>
          <w:tcPr>
            <w:tcW w:w="2551" w:type="dxa"/>
            <w:vAlign w:val="center"/>
          </w:tcPr>
          <w:p>
            <w:pPr>
              <w:pStyle w:val="12"/>
            </w:pPr>
            <w:r>
              <w:t>不低于合同约定标准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物业人员工资发放的及时性</w:t>
            </w:r>
          </w:p>
        </w:tc>
        <w:tc>
          <w:tcPr>
            <w:tcW w:w="2835" w:type="dxa"/>
            <w:vAlign w:val="center"/>
          </w:tcPr>
          <w:p>
            <w:pPr>
              <w:pStyle w:val="12"/>
            </w:pPr>
            <w:r>
              <w:t>物业人员工资发放的及时性</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物业人员工资发放标准</w:t>
            </w:r>
          </w:p>
        </w:tc>
        <w:tc>
          <w:tcPr>
            <w:tcW w:w="2835" w:type="dxa"/>
            <w:vAlign w:val="center"/>
          </w:tcPr>
          <w:p>
            <w:pPr>
              <w:pStyle w:val="12"/>
            </w:pPr>
            <w:r>
              <w:t>物业人员工资发放标准</w:t>
            </w:r>
          </w:p>
        </w:tc>
        <w:tc>
          <w:tcPr>
            <w:tcW w:w="2551" w:type="dxa"/>
            <w:vAlign w:val="center"/>
          </w:tcPr>
          <w:p>
            <w:pPr>
              <w:pStyle w:val="12"/>
            </w:pPr>
            <w:r>
              <w:t>按规定执行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改善办公环境</w:t>
            </w:r>
          </w:p>
        </w:tc>
        <w:tc>
          <w:tcPr>
            <w:tcW w:w="2835" w:type="dxa"/>
            <w:vAlign w:val="center"/>
          </w:tcPr>
          <w:p>
            <w:pPr>
              <w:pStyle w:val="12"/>
            </w:pPr>
            <w:r>
              <w:t>改善办公环境</w:t>
            </w:r>
          </w:p>
        </w:tc>
        <w:tc>
          <w:tcPr>
            <w:tcW w:w="2551" w:type="dxa"/>
            <w:vAlign w:val="center"/>
          </w:tcPr>
          <w:p>
            <w:pPr>
              <w:pStyle w:val="12"/>
            </w:pPr>
            <w:r>
              <w:t>改善办公环境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2835" w:type="dxa"/>
            <w:vAlign w:val="center"/>
          </w:tcPr>
          <w:p>
            <w:pPr>
              <w:pStyle w:val="12"/>
            </w:pPr>
            <w:r>
              <w:t>办公人员对物业服务的满意程度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1.每年支付视频设备租金及视频网络租金费用，保障日常工作正常运转，提高工作效率。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网络信号覆盖率</w:t>
            </w:r>
          </w:p>
        </w:tc>
        <w:tc>
          <w:tcPr>
            <w:tcW w:w="2835" w:type="dxa"/>
            <w:vAlign w:val="center"/>
          </w:tcPr>
          <w:p>
            <w:pPr>
              <w:pStyle w:val="12"/>
            </w:pPr>
            <w:r>
              <w:t>网络信号覆盖率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系统验收合格率</w:t>
            </w:r>
          </w:p>
        </w:tc>
        <w:tc>
          <w:tcPr>
            <w:tcW w:w="2835" w:type="dxa"/>
            <w:vAlign w:val="center"/>
          </w:tcPr>
          <w:p>
            <w:pPr>
              <w:pStyle w:val="12"/>
            </w:pPr>
            <w:r>
              <w:t>系统验收合格率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故障维护及时率</w:t>
            </w:r>
          </w:p>
        </w:tc>
        <w:tc>
          <w:tcPr>
            <w:tcW w:w="2835" w:type="dxa"/>
            <w:vAlign w:val="center"/>
          </w:tcPr>
          <w:p>
            <w:pPr>
              <w:pStyle w:val="12"/>
            </w:pPr>
            <w:r>
              <w:t>故障维护及时率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网络租用成本</w:t>
            </w:r>
          </w:p>
        </w:tc>
        <w:tc>
          <w:tcPr>
            <w:tcW w:w="2835" w:type="dxa"/>
            <w:vAlign w:val="center"/>
          </w:tcPr>
          <w:p>
            <w:pPr>
              <w:pStyle w:val="12"/>
            </w:pPr>
            <w:r>
              <w:t>网络租用成本不超预算</w:t>
            </w:r>
          </w:p>
        </w:tc>
        <w:tc>
          <w:tcPr>
            <w:tcW w:w="2551" w:type="dxa"/>
            <w:vAlign w:val="center"/>
          </w:tcPr>
          <w:p>
            <w:pPr>
              <w:pStyle w:val="12"/>
            </w:pPr>
            <w:r>
              <w:t>3.96万元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网络设备使用率</w:t>
            </w:r>
          </w:p>
        </w:tc>
        <w:tc>
          <w:tcPr>
            <w:tcW w:w="2835" w:type="dxa"/>
            <w:vAlign w:val="center"/>
          </w:tcPr>
          <w:p>
            <w:pPr>
              <w:pStyle w:val="12"/>
            </w:pPr>
            <w:r>
              <w:t>网络设备使用率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使用部门对网络设备的满意度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4、综合办公楼水电费绩效目标表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1.保障办公正常用水用电。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用水用电保障情况</w:t>
            </w:r>
          </w:p>
        </w:tc>
        <w:tc>
          <w:tcPr>
            <w:tcW w:w="2835" w:type="dxa"/>
            <w:vAlign w:val="center"/>
          </w:tcPr>
          <w:p>
            <w:pPr>
              <w:pStyle w:val="12"/>
            </w:pPr>
            <w:r>
              <w:t>用水用电保障情况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用水用电保障率</w:t>
            </w:r>
          </w:p>
        </w:tc>
        <w:tc>
          <w:tcPr>
            <w:tcW w:w="2835" w:type="dxa"/>
            <w:vAlign w:val="center"/>
          </w:tcPr>
          <w:p>
            <w:pPr>
              <w:pStyle w:val="12"/>
            </w:pPr>
            <w:r>
              <w:t>用水用电保障率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水电费支付的及时性</w:t>
            </w:r>
          </w:p>
        </w:tc>
        <w:tc>
          <w:tcPr>
            <w:tcW w:w="2835" w:type="dxa"/>
            <w:vAlign w:val="center"/>
          </w:tcPr>
          <w:p>
            <w:pPr>
              <w:pStyle w:val="12"/>
            </w:pPr>
            <w:r>
              <w:t>水电费支付的及时性，保障日常办公需要</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年度用水用电费用</w:t>
            </w:r>
          </w:p>
        </w:tc>
        <w:tc>
          <w:tcPr>
            <w:tcW w:w="2835" w:type="dxa"/>
            <w:vAlign w:val="center"/>
          </w:tcPr>
          <w:p>
            <w:pPr>
              <w:pStyle w:val="12"/>
            </w:pPr>
            <w:r>
              <w:t>年度用水用电费用不超预算</w:t>
            </w:r>
          </w:p>
        </w:tc>
        <w:tc>
          <w:tcPr>
            <w:tcW w:w="2551" w:type="dxa"/>
            <w:vAlign w:val="center"/>
          </w:tcPr>
          <w:p>
            <w:pPr>
              <w:pStyle w:val="12"/>
            </w:pPr>
            <w:r>
              <w:t>≤190万元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提升办公环境</w:t>
            </w:r>
          </w:p>
        </w:tc>
        <w:tc>
          <w:tcPr>
            <w:tcW w:w="2835" w:type="dxa"/>
            <w:vAlign w:val="center"/>
          </w:tcPr>
          <w:p>
            <w:pPr>
              <w:pStyle w:val="12"/>
            </w:pPr>
            <w:r>
              <w:t>提升办公环境，保障日常办公需要</w:t>
            </w:r>
          </w:p>
        </w:tc>
        <w:tc>
          <w:tcPr>
            <w:tcW w:w="2551" w:type="dxa"/>
            <w:vAlign w:val="center"/>
          </w:tcPr>
          <w:p>
            <w:pPr>
              <w:pStyle w:val="12"/>
            </w:pPr>
            <w:r>
              <w:t>提升办公环境，保障正常运转</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各部门对办公楼用水用电情况的满意度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5、“创意之家”租赁费绩效目标表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1.保障资金使用合理,合规,资金管理安全有效.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租赁房屋的质量问题</w:t>
            </w:r>
          </w:p>
        </w:tc>
        <w:tc>
          <w:tcPr>
            <w:tcW w:w="2835" w:type="dxa"/>
            <w:vAlign w:val="center"/>
          </w:tcPr>
          <w:p>
            <w:pPr>
              <w:pStyle w:val="12"/>
            </w:pPr>
            <w:r>
              <w:t>租赁场地各项设施齐全,运转正常</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租赁房屋使用率</w:t>
            </w:r>
          </w:p>
        </w:tc>
        <w:tc>
          <w:tcPr>
            <w:tcW w:w="2835" w:type="dxa"/>
            <w:vAlign w:val="center"/>
          </w:tcPr>
          <w:p>
            <w:pPr>
              <w:pStyle w:val="12"/>
            </w:pPr>
            <w:r>
              <w:t>租赁房屋使用情况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租赁合同约定时限</w:t>
            </w:r>
          </w:p>
        </w:tc>
        <w:tc>
          <w:tcPr>
            <w:tcW w:w="2835" w:type="dxa"/>
            <w:vAlign w:val="center"/>
          </w:tcPr>
          <w:p>
            <w:pPr>
              <w:pStyle w:val="12"/>
            </w:pPr>
            <w:r>
              <w:t>房屋合同约定时限</w:t>
            </w:r>
          </w:p>
        </w:tc>
        <w:tc>
          <w:tcPr>
            <w:tcW w:w="2551" w:type="dxa"/>
            <w:vAlign w:val="center"/>
          </w:tcPr>
          <w:p>
            <w:pPr>
              <w:pStyle w:val="12"/>
            </w:pPr>
            <w:r>
              <w:t>2007年1月1日-2026年12月31日</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租用房屋所需经费</w:t>
            </w:r>
          </w:p>
        </w:tc>
        <w:tc>
          <w:tcPr>
            <w:tcW w:w="2835" w:type="dxa"/>
            <w:vAlign w:val="center"/>
          </w:tcPr>
          <w:p>
            <w:pPr>
              <w:pStyle w:val="12"/>
            </w:pPr>
            <w:r>
              <w:t>租用办公用房所需经费不超预算</w:t>
            </w:r>
          </w:p>
        </w:tc>
        <w:tc>
          <w:tcPr>
            <w:tcW w:w="2551" w:type="dxa"/>
            <w:vAlign w:val="center"/>
          </w:tcPr>
          <w:p>
            <w:pPr>
              <w:pStyle w:val="12"/>
            </w:pPr>
            <w:r>
              <w:t>42.5万元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租赁期限</w:t>
            </w:r>
          </w:p>
        </w:tc>
        <w:tc>
          <w:tcPr>
            <w:tcW w:w="2835" w:type="dxa"/>
            <w:vAlign w:val="center"/>
          </w:tcPr>
          <w:p>
            <w:pPr>
              <w:pStyle w:val="12"/>
            </w:pPr>
            <w:r>
              <w:t>房屋租赁期限</w:t>
            </w:r>
          </w:p>
        </w:tc>
        <w:tc>
          <w:tcPr>
            <w:tcW w:w="2551" w:type="dxa"/>
            <w:vAlign w:val="center"/>
          </w:tcPr>
          <w:p>
            <w:pPr>
              <w:pStyle w:val="12"/>
            </w:pPr>
            <w:r>
              <w:t>20年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2835" w:type="dxa"/>
            <w:vAlign w:val="center"/>
          </w:tcPr>
          <w:p>
            <w:pPr>
              <w:pStyle w:val="12"/>
            </w:pPr>
            <w:r>
              <w:t>房屋使用人员满意程度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6、办公楼权籍图测绘及房屋面积测绘经费绩效目标表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1.按计划推进完成办公楼权籍图测绘及房屋面积测绘.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完成办公楼权籍图测绘及房屋面积测绘</w:t>
            </w:r>
          </w:p>
        </w:tc>
        <w:tc>
          <w:tcPr>
            <w:tcW w:w="2835" w:type="dxa"/>
            <w:vAlign w:val="center"/>
          </w:tcPr>
          <w:p>
            <w:pPr>
              <w:pStyle w:val="12"/>
            </w:pPr>
            <w:r>
              <w:t>完成办公楼权籍图测绘及房屋面积测绘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办公楼群集测绘及房屋面积测绘覆盖率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按计划推进完成</w:t>
            </w:r>
          </w:p>
        </w:tc>
        <w:tc>
          <w:tcPr>
            <w:tcW w:w="2835" w:type="dxa"/>
            <w:vAlign w:val="center"/>
          </w:tcPr>
          <w:p>
            <w:pPr>
              <w:pStyle w:val="12"/>
            </w:pPr>
            <w:r>
              <w:t>按计划完成办公楼权籍图测绘及房屋面积测绘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测绘成本</w:t>
            </w:r>
          </w:p>
        </w:tc>
        <w:tc>
          <w:tcPr>
            <w:tcW w:w="2835" w:type="dxa"/>
            <w:vAlign w:val="center"/>
          </w:tcPr>
          <w:p>
            <w:pPr>
              <w:pStyle w:val="12"/>
            </w:pPr>
            <w:r>
              <w:t>办公楼权籍图测绘及房屋面积测绘成本</w:t>
            </w:r>
          </w:p>
        </w:tc>
        <w:tc>
          <w:tcPr>
            <w:tcW w:w="2551" w:type="dxa"/>
            <w:vAlign w:val="center"/>
          </w:tcPr>
          <w:p>
            <w:pPr>
              <w:pStyle w:val="12"/>
            </w:pPr>
            <w:r>
              <w:t>≤2.98万元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强化国有资产管理</w:t>
            </w:r>
          </w:p>
        </w:tc>
        <w:tc>
          <w:tcPr>
            <w:tcW w:w="2835" w:type="dxa"/>
            <w:vAlign w:val="center"/>
          </w:tcPr>
          <w:p>
            <w:pPr>
              <w:pStyle w:val="12"/>
            </w:pPr>
            <w:r>
              <w:t>是否强化国有资产管理</w:t>
            </w:r>
          </w:p>
        </w:tc>
        <w:tc>
          <w:tcPr>
            <w:tcW w:w="2551" w:type="dxa"/>
            <w:vAlign w:val="center"/>
          </w:tcPr>
          <w:p>
            <w:pPr>
              <w:pStyle w:val="12"/>
            </w:pPr>
            <w:r>
              <w:t>是</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测绘单位满意度</w:t>
            </w:r>
          </w:p>
        </w:tc>
        <w:tc>
          <w:tcPr>
            <w:tcW w:w="2835" w:type="dxa"/>
            <w:vAlign w:val="center"/>
          </w:tcPr>
          <w:p>
            <w:pPr>
              <w:pStyle w:val="12"/>
            </w:pPr>
            <w:r>
              <w:t>测绘单位对测绘费用支付工作的满意度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7、公务用车定位设备运行费绩效目标表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1.加强公务用车管理与监督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全省一张网公务用车数量</w:t>
            </w:r>
          </w:p>
        </w:tc>
        <w:tc>
          <w:tcPr>
            <w:tcW w:w="2835" w:type="dxa"/>
            <w:vAlign w:val="center"/>
          </w:tcPr>
          <w:p>
            <w:pPr>
              <w:pStyle w:val="12"/>
            </w:pPr>
            <w:r>
              <w:t>区公务用车"全省一张网"入网数量</w:t>
            </w:r>
          </w:p>
        </w:tc>
        <w:tc>
          <w:tcPr>
            <w:tcW w:w="2551" w:type="dxa"/>
            <w:vAlign w:val="center"/>
          </w:tcPr>
          <w:p>
            <w:pPr>
              <w:pStyle w:val="12"/>
            </w:pPr>
            <w:r>
              <w:t>198辆</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加强公务用车管理</w:t>
            </w:r>
          </w:p>
        </w:tc>
        <w:tc>
          <w:tcPr>
            <w:tcW w:w="2835" w:type="dxa"/>
            <w:vAlign w:val="center"/>
          </w:tcPr>
          <w:p>
            <w:pPr>
              <w:pStyle w:val="12"/>
            </w:pPr>
            <w:r>
              <w:t>加强公务用车管理,完善平台车辆管理</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按协议时间支付定位设备运行费</w:t>
            </w:r>
          </w:p>
        </w:tc>
        <w:tc>
          <w:tcPr>
            <w:tcW w:w="2835" w:type="dxa"/>
            <w:vAlign w:val="center"/>
          </w:tcPr>
          <w:p>
            <w:pPr>
              <w:pStyle w:val="12"/>
            </w:pPr>
            <w:r>
              <w:t>按协议时间支付定位设备运行费</w:t>
            </w:r>
          </w:p>
        </w:tc>
        <w:tc>
          <w:tcPr>
            <w:tcW w:w="2551" w:type="dxa"/>
            <w:vAlign w:val="center"/>
          </w:tcPr>
          <w:p>
            <w:pPr>
              <w:pStyle w:val="12"/>
            </w:pPr>
            <w:r>
              <w:t>按协议时间支付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定位设备及运行费用成本</w:t>
            </w:r>
          </w:p>
        </w:tc>
        <w:tc>
          <w:tcPr>
            <w:tcW w:w="2835" w:type="dxa"/>
            <w:vAlign w:val="center"/>
          </w:tcPr>
          <w:p>
            <w:pPr>
              <w:pStyle w:val="12"/>
            </w:pPr>
            <w:r>
              <w:t>定位设备及运行费用成本控制在预算内</w:t>
            </w:r>
          </w:p>
        </w:tc>
        <w:tc>
          <w:tcPr>
            <w:tcW w:w="2551" w:type="dxa"/>
            <w:vAlign w:val="center"/>
          </w:tcPr>
          <w:p>
            <w:pPr>
              <w:pStyle w:val="12"/>
            </w:pPr>
            <w:r>
              <w:t>≤13.7万元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保障公务出行,提高公务用车使用效能</w:t>
            </w:r>
          </w:p>
        </w:tc>
        <w:tc>
          <w:tcPr>
            <w:tcW w:w="2835" w:type="dxa"/>
            <w:vAlign w:val="center"/>
          </w:tcPr>
          <w:p>
            <w:pPr>
              <w:pStyle w:val="12"/>
            </w:pPr>
            <w:r>
              <w:t>保障公务出行,提高公务用车使用效能</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平台管理单位对我单位支付平台运行费</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8、后勤保障经费绩效目标表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1.保障职工食堂正常运转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食堂数量</w:t>
            </w:r>
          </w:p>
        </w:tc>
        <w:tc>
          <w:tcPr>
            <w:tcW w:w="2835" w:type="dxa"/>
            <w:vAlign w:val="center"/>
          </w:tcPr>
          <w:p>
            <w:pPr>
              <w:pStyle w:val="12"/>
            </w:pPr>
            <w:r>
              <w:t>管理食堂数量</w:t>
            </w:r>
          </w:p>
        </w:tc>
        <w:tc>
          <w:tcPr>
            <w:tcW w:w="2551" w:type="dxa"/>
            <w:vAlign w:val="center"/>
          </w:tcPr>
          <w:p>
            <w:pPr>
              <w:pStyle w:val="12"/>
            </w:pPr>
            <w:r>
              <w:t>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食堂保障工作完成率</w:t>
            </w:r>
          </w:p>
        </w:tc>
        <w:tc>
          <w:tcPr>
            <w:tcW w:w="2835" w:type="dxa"/>
            <w:vAlign w:val="center"/>
          </w:tcPr>
          <w:p>
            <w:pPr>
              <w:pStyle w:val="12"/>
            </w:pPr>
            <w:r>
              <w:t>食堂保障工作完成率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2835" w:type="dxa"/>
            <w:vAlign w:val="center"/>
          </w:tcPr>
          <w:p>
            <w:pPr>
              <w:pStyle w:val="12"/>
            </w:pPr>
            <w:r>
              <w:t>职工食堂服务的完成度</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职工食堂补助标准</w:t>
            </w:r>
          </w:p>
        </w:tc>
        <w:tc>
          <w:tcPr>
            <w:tcW w:w="2835" w:type="dxa"/>
            <w:vAlign w:val="center"/>
          </w:tcPr>
          <w:p>
            <w:pPr>
              <w:pStyle w:val="12"/>
            </w:pPr>
            <w:r>
              <w:t>职工食堂补助标准不超年度预算</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职工食堂运行情况</w:t>
            </w:r>
          </w:p>
        </w:tc>
        <w:tc>
          <w:tcPr>
            <w:tcW w:w="2835" w:type="dxa"/>
            <w:vAlign w:val="center"/>
          </w:tcPr>
          <w:p>
            <w:pPr>
              <w:pStyle w:val="12"/>
            </w:pPr>
            <w:r>
              <w:t>保障职工食堂全年持续正常运转</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职工食堂服务对象的满意度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9、物业管理费绩效目标表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1.维护综合办公楼良好秩序,改善办公环境.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物业服务面积</w:t>
            </w:r>
          </w:p>
        </w:tc>
        <w:tc>
          <w:tcPr>
            <w:tcW w:w="2835" w:type="dxa"/>
            <w:vAlign w:val="center"/>
          </w:tcPr>
          <w:p>
            <w:pPr>
              <w:pStyle w:val="12"/>
            </w:pPr>
            <w:r>
              <w:t>物业服务面积</w:t>
            </w:r>
          </w:p>
        </w:tc>
        <w:tc>
          <w:tcPr>
            <w:tcW w:w="2551" w:type="dxa"/>
            <w:vAlign w:val="center"/>
          </w:tcPr>
          <w:p>
            <w:pPr>
              <w:pStyle w:val="12"/>
            </w:pPr>
            <w:r>
              <w:t>46750.5平方米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物业服务质量</w:t>
            </w:r>
          </w:p>
        </w:tc>
        <w:tc>
          <w:tcPr>
            <w:tcW w:w="2835" w:type="dxa"/>
            <w:vAlign w:val="center"/>
          </w:tcPr>
          <w:p>
            <w:pPr>
              <w:pStyle w:val="12"/>
            </w:pPr>
            <w:r>
              <w:t>保安保洁等服务质量</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保安保洁用品保障及时性</w:t>
            </w:r>
          </w:p>
        </w:tc>
        <w:tc>
          <w:tcPr>
            <w:tcW w:w="2835" w:type="dxa"/>
            <w:vAlign w:val="center"/>
          </w:tcPr>
          <w:p>
            <w:pPr>
              <w:pStyle w:val="12"/>
            </w:pPr>
            <w:r>
              <w:t>及时保障各项保安、保洁用品需要</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年度物业费</w:t>
            </w:r>
          </w:p>
        </w:tc>
        <w:tc>
          <w:tcPr>
            <w:tcW w:w="2835" w:type="dxa"/>
            <w:vAlign w:val="center"/>
          </w:tcPr>
          <w:p>
            <w:pPr>
              <w:pStyle w:val="12"/>
            </w:pPr>
            <w:r>
              <w:t>物业管理费支出不超预算</w:t>
            </w:r>
          </w:p>
        </w:tc>
        <w:tc>
          <w:tcPr>
            <w:tcW w:w="2551" w:type="dxa"/>
            <w:vAlign w:val="center"/>
          </w:tcPr>
          <w:p>
            <w:pPr>
              <w:pStyle w:val="12"/>
            </w:pPr>
            <w:r>
              <w:t>≤9.54万元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改善办公环境</w:t>
            </w:r>
          </w:p>
        </w:tc>
        <w:tc>
          <w:tcPr>
            <w:tcW w:w="2835" w:type="dxa"/>
            <w:vAlign w:val="center"/>
          </w:tcPr>
          <w:p>
            <w:pPr>
              <w:pStyle w:val="12"/>
            </w:pPr>
            <w:r>
              <w:t>改善办公环境</w:t>
            </w:r>
          </w:p>
        </w:tc>
        <w:tc>
          <w:tcPr>
            <w:tcW w:w="2551" w:type="dxa"/>
            <w:vAlign w:val="center"/>
          </w:tcPr>
          <w:p>
            <w:pPr>
              <w:pStyle w:val="12"/>
            </w:pPr>
            <w:r>
              <w:t>改善办公环境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2835" w:type="dxa"/>
            <w:vAlign w:val="center"/>
          </w:tcPr>
          <w:p>
            <w:pPr>
              <w:pStyle w:val="12"/>
            </w:pPr>
            <w:r>
              <w:t>办公人员对物业服务的满意程度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10、综合办公楼保险绩效目标表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1.将意外风险转嫁保险公司，为财政分担风险。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赔付率</w:t>
            </w:r>
          </w:p>
        </w:tc>
        <w:tc>
          <w:tcPr>
            <w:tcW w:w="2835" w:type="dxa"/>
            <w:vAlign w:val="center"/>
          </w:tcPr>
          <w:p>
            <w:pPr>
              <w:pStyle w:val="12"/>
            </w:pPr>
            <w:r>
              <w:t>按照合同规定范围内,发生意外损失,保险公司可赔付的次数</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保险出现赔付数量占应赔付数量的比例</w:t>
            </w:r>
          </w:p>
        </w:tc>
        <w:tc>
          <w:tcPr>
            <w:tcW w:w="2835" w:type="dxa"/>
            <w:vAlign w:val="center"/>
          </w:tcPr>
          <w:p>
            <w:pPr>
              <w:pStyle w:val="12"/>
            </w:pPr>
            <w:r>
              <w:t>保险出现赔付数量占应赔付数量的比例</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按规定的时限支付参保费</w:t>
            </w:r>
          </w:p>
        </w:tc>
        <w:tc>
          <w:tcPr>
            <w:tcW w:w="2835" w:type="dxa"/>
            <w:vAlign w:val="center"/>
          </w:tcPr>
          <w:p>
            <w:pPr>
              <w:pStyle w:val="12"/>
            </w:pPr>
            <w:r>
              <w:t>按规定的时限支付参保费</w:t>
            </w:r>
          </w:p>
        </w:tc>
        <w:tc>
          <w:tcPr>
            <w:tcW w:w="2551" w:type="dxa"/>
            <w:vAlign w:val="center"/>
          </w:tcPr>
          <w:p>
            <w:pPr>
              <w:pStyle w:val="12"/>
            </w:pPr>
            <w:r>
              <w:t>按规定时限参保</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综合办公楼参保标准</w:t>
            </w:r>
          </w:p>
        </w:tc>
        <w:tc>
          <w:tcPr>
            <w:tcW w:w="2835" w:type="dxa"/>
            <w:vAlign w:val="center"/>
          </w:tcPr>
          <w:p>
            <w:pPr>
              <w:pStyle w:val="12"/>
            </w:pPr>
            <w:r>
              <w:t>综合办公楼参保标准不超年初预算</w:t>
            </w:r>
          </w:p>
        </w:tc>
        <w:tc>
          <w:tcPr>
            <w:tcW w:w="2551" w:type="dxa"/>
            <w:vAlign w:val="center"/>
          </w:tcPr>
          <w:p>
            <w:pPr>
              <w:pStyle w:val="12"/>
            </w:pPr>
            <w:r>
              <w:t>≤12.94万元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减少意外损失</w:t>
            </w:r>
          </w:p>
        </w:tc>
        <w:tc>
          <w:tcPr>
            <w:tcW w:w="2835" w:type="dxa"/>
            <w:vAlign w:val="center"/>
          </w:tcPr>
          <w:p>
            <w:pPr>
              <w:pStyle w:val="12"/>
            </w:pPr>
            <w:r>
              <w:t>将意外风险转嫁给保险工资,减少财政风险</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保险公司对参保费用支付及时性的满意度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11、综合办公楼能源费绩效目标表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1.保证综合办公楼的制冷与供暖,保障办公楼正常运转.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综合办公楼的制冷与供暖面积</w:t>
            </w:r>
          </w:p>
        </w:tc>
        <w:tc>
          <w:tcPr>
            <w:tcW w:w="2835" w:type="dxa"/>
            <w:vAlign w:val="center"/>
          </w:tcPr>
          <w:p>
            <w:pPr>
              <w:pStyle w:val="12"/>
            </w:pPr>
            <w:r>
              <w:t>综合办公楼的制冷与供暖面积</w:t>
            </w:r>
          </w:p>
        </w:tc>
        <w:tc>
          <w:tcPr>
            <w:tcW w:w="2551" w:type="dxa"/>
            <w:vAlign w:val="center"/>
          </w:tcPr>
          <w:p>
            <w:pPr>
              <w:pStyle w:val="12"/>
            </w:pPr>
            <w:r>
              <w:t>约22000平方米</w:t>
            </w:r>
          </w:p>
        </w:tc>
        <w:tc>
          <w:tcPr>
            <w:tcW w:w="2268"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综合办公楼的制冷与供暖效果</w:t>
            </w:r>
          </w:p>
        </w:tc>
        <w:tc>
          <w:tcPr>
            <w:tcW w:w="2835" w:type="dxa"/>
            <w:vAlign w:val="center"/>
          </w:tcPr>
          <w:p>
            <w:pPr>
              <w:pStyle w:val="12"/>
            </w:pPr>
            <w:r>
              <w:t>综合办公楼的制冷与供暖的效果</w:t>
            </w:r>
          </w:p>
        </w:tc>
        <w:tc>
          <w:tcPr>
            <w:tcW w:w="2551" w:type="dxa"/>
            <w:vAlign w:val="center"/>
          </w:tcPr>
          <w:p>
            <w:pPr>
              <w:pStyle w:val="12"/>
            </w:pPr>
            <w:r>
              <w:t>不低于合同约定标准</w:t>
            </w:r>
          </w:p>
        </w:tc>
        <w:tc>
          <w:tcPr>
            <w:tcW w:w="2268" w:type="dxa"/>
            <w:vAlign w:val="center"/>
          </w:tcPr>
          <w:p>
            <w:pPr>
              <w:pStyle w:val="12"/>
            </w:pPr>
            <w:r>
              <w:t>按照合同约定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是否能在制冷期与供暖期及时提供服务</w:t>
            </w:r>
          </w:p>
        </w:tc>
        <w:tc>
          <w:tcPr>
            <w:tcW w:w="2835" w:type="dxa"/>
            <w:vAlign w:val="center"/>
          </w:tcPr>
          <w:p>
            <w:pPr>
              <w:pStyle w:val="12"/>
            </w:pPr>
            <w:r>
              <w:t>是否能够及时的提供制冷与供暖服务</w:t>
            </w:r>
          </w:p>
        </w:tc>
        <w:tc>
          <w:tcPr>
            <w:tcW w:w="2551" w:type="dxa"/>
            <w:vAlign w:val="center"/>
          </w:tcPr>
          <w:p>
            <w:pPr>
              <w:pStyle w:val="12"/>
            </w:pPr>
            <w:r>
              <w:t>是</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年度综合办公楼能源费</w:t>
            </w:r>
          </w:p>
        </w:tc>
        <w:tc>
          <w:tcPr>
            <w:tcW w:w="2835" w:type="dxa"/>
            <w:vAlign w:val="center"/>
          </w:tcPr>
          <w:p>
            <w:pPr>
              <w:pStyle w:val="12"/>
            </w:pPr>
            <w:r>
              <w:t>不超年度预算</w:t>
            </w:r>
          </w:p>
        </w:tc>
        <w:tc>
          <w:tcPr>
            <w:tcW w:w="2551" w:type="dxa"/>
            <w:vAlign w:val="center"/>
          </w:tcPr>
          <w:p>
            <w:pPr>
              <w:pStyle w:val="12"/>
            </w:pPr>
            <w:r>
              <w:t>14.88万元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提升办公环境</w:t>
            </w:r>
          </w:p>
        </w:tc>
        <w:tc>
          <w:tcPr>
            <w:tcW w:w="2835" w:type="dxa"/>
            <w:vAlign w:val="center"/>
          </w:tcPr>
          <w:p>
            <w:pPr>
              <w:pStyle w:val="12"/>
            </w:pPr>
            <w:r>
              <w:t>提升办公环境,保障办公楼正常运行</w:t>
            </w:r>
          </w:p>
        </w:tc>
        <w:tc>
          <w:tcPr>
            <w:tcW w:w="2551" w:type="dxa"/>
            <w:vAlign w:val="center"/>
          </w:tcPr>
          <w:p>
            <w:pPr>
              <w:pStyle w:val="12"/>
            </w:pPr>
            <w:r>
              <w:t>提升办公环境,保障正常运行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服务部门对办公楼制冷与供暖效果满意度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12、综合办公楼维修费绩效目标表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1.报修后及时维修维护,使办公环境得到保证,办公安全得到保障.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维修(护)工程完工率</w:t>
            </w:r>
          </w:p>
        </w:tc>
        <w:tc>
          <w:tcPr>
            <w:tcW w:w="2835" w:type="dxa"/>
            <w:vAlign w:val="center"/>
          </w:tcPr>
          <w:p>
            <w:pPr>
              <w:pStyle w:val="12"/>
            </w:pPr>
            <w:r>
              <w:t>维修(护)工程完工率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维修(护)工程验收合格率</w:t>
            </w:r>
          </w:p>
        </w:tc>
        <w:tc>
          <w:tcPr>
            <w:tcW w:w="2835" w:type="dxa"/>
            <w:vAlign w:val="center"/>
          </w:tcPr>
          <w:p>
            <w:pPr>
              <w:pStyle w:val="12"/>
            </w:pPr>
            <w:r>
              <w:t>维修(护)工程验收合格率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维修(护)工程按计划完工率</w:t>
            </w:r>
          </w:p>
        </w:tc>
        <w:tc>
          <w:tcPr>
            <w:tcW w:w="2835" w:type="dxa"/>
            <w:vAlign w:val="center"/>
          </w:tcPr>
          <w:p>
            <w:pPr>
              <w:pStyle w:val="12"/>
            </w:pPr>
            <w:r>
              <w:t>维修(护)工程按计划完工情况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维修改造成本</w:t>
            </w:r>
          </w:p>
        </w:tc>
        <w:tc>
          <w:tcPr>
            <w:tcW w:w="2835" w:type="dxa"/>
            <w:vAlign w:val="center"/>
          </w:tcPr>
          <w:p>
            <w:pPr>
              <w:pStyle w:val="12"/>
            </w:pPr>
            <w:r>
              <w:t>维修维护改造成本控制在预算内</w:t>
            </w:r>
          </w:p>
        </w:tc>
        <w:tc>
          <w:tcPr>
            <w:tcW w:w="2551" w:type="dxa"/>
            <w:vAlign w:val="center"/>
          </w:tcPr>
          <w:p>
            <w:pPr>
              <w:pStyle w:val="12"/>
            </w:pPr>
            <w:r>
              <w:t>≤15万元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保障综合办公楼正常运转率</w:t>
            </w:r>
          </w:p>
        </w:tc>
        <w:tc>
          <w:tcPr>
            <w:tcW w:w="2835" w:type="dxa"/>
            <w:vAlign w:val="center"/>
          </w:tcPr>
          <w:p>
            <w:pPr>
              <w:pStyle w:val="12"/>
            </w:pPr>
            <w:r>
              <w:t>是否保障综合办公楼正常运转</w:t>
            </w:r>
          </w:p>
        </w:tc>
        <w:tc>
          <w:tcPr>
            <w:tcW w:w="2551" w:type="dxa"/>
            <w:vAlign w:val="center"/>
          </w:tcPr>
          <w:p>
            <w:pPr>
              <w:pStyle w:val="12"/>
            </w:pPr>
            <w:r>
              <w:t>是</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对维修工作的满意度</w:t>
            </w:r>
          </w:p>
        </w:tc>
        <w:tc>
          <w:tcPr>
            <w:tcW w:w="2835" w:type="dxa"/>
            <w:vAlign w:val="center"/>
          </w:tcPr>
          <w:p>
            <w:pPr>
              <w:pStyle w:val="12"/>
            </w:pPr>
            <w:r>
              <w:t>单位对维修工作的满意度</w:t>
            </w:r>
          </w:p>
        </w:tc>
        <w:tc>
          <w:tcPr>
            <w:tcW w:w="2551" w:type="dxa"/>
            <w:vAlign w:val="center"/>
          </w:tcPr>
          <w:p>
            <w:pPr>
              <w:pStyle w:val="12"/>
            </w:pPr>
            <w:r>
              <w:t>≥85%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2023年，秦皇岛市北戴河区机关事务运行中心（本级）安排政府采购预算237.06万元。具体内容见下表。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237.06</w:t>
            </w:r>
          </w:p>
        </w:tc>
        <w:tc>
          <w:tcPr>
            <w:tcW w:w="964" w:type="dxa"/>
            <w:vAlign w:val="center"/>
          </w:tcPr>
          <w:p>
            <w:pPr>
              <w:pStyle w:val="15"/>
            </w:pPr>
            <w:r>
              <w:t>237.06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秦皇岛市北戴河区机关事务运行中心（本级）小计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237.06</w:t>
            </w:r>
          </w:p>
        </w:tc>
        <w:tc>
          <w:tcPr>
            <w:tcW w:w="964" w:type="dxa"/>
            <w:vAlign w:val="center"/>
          </w:tcPr>
          <w:p>
            <w:pPr>
              <w:pStyle w:val="15"/>
            </w:pPr>
            <w:r>
              <w:t>237.06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劳务派遣专项补助</w:t>
            </w:r>
          </w:p>
        </w:tc>
        <w:tc>
          <w:tcPr>
            <w:tcW w:w="964" w:type="dxa"/>
            <w:vAlign w:val="center"/>
          </w:tcPr>
          <w:p>
            <w:pPr>
              <w:pStyle w:val="11"/>
            </w:pPr>
            <w:r>
              <w:t>121.50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121.50</w:t>
            </w:r>
          </w:p>
        </w:tc>
        <w:tc>
          <w:tcPr>
            <w:tcW w:w="964" w:type="dxa"/>
            <w:vAlign w:val="center"/>
          </w:tcPr>
          <w:p>
            <w:pPr>
              <w:pStyle w:val="11"/>
            </w:pPr>
            <w:r>
              <w:t>121.50</w:t>
            </w:r>
          </w:p>
        </w:tc>
        <w:tc>
          <w:tcPr>
            <w:tcW w:w="964" w:type="dxa"/>
            <w:vAlign w:val="center"/>
          </w:tcPr>
          <w:p>
            <w:pPr>
              <w:pStyle w:val="11"/>
            </w:pPr>
            <w:r>
              <w:t>121.50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临时用工专项补助（修多物业）</w:t>
            </w:r>
          </w:p>
        </w:tc>
        <w:tc>
          <w:tcPr>
            <w:tcW w:w="964" w:type="dxa"/>
            <w:vAlign w:val="center"/>
          </w:tcPr>
          <w:p>
            <w:pPr>
              <w:pStyle w:val="11"/>
            </w:pPr>
            <w:r>
              <w:t>115.56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115.56</w:t>
            </w:r>
          </w:p>
        </w:tc>
        <w:tc>
          <w:tcPr>
            <w:tcW w:w="964" w:type="dxa"/>
            <w:vAlign w:val="center"/>
          </w:tcPr>
          <w:p>
            <w:pPr>
              <w:pStyle w:val="11"/>
            </w:pPr>
            <w:r>
              <w:t>115.56</w:t>
            </w:r>
          </w:p>
        </w:tc>
        <w:tc>
          <w:tcPr>
            <w:tcW w:w="964" w:type="dxa"/>
            <w:vAlign w:val="center"/>
          </w:tcPr>
          <w:p>
            <w:pPr>
              <w:pStyle w:val="11"/>
            </w:pPr>
            <w:r>
              <w:t>115.56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115.56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秦皇岛市北戴河区机关事务运行中心（本级）上年末固定资产金额为5635.19万元（详见下表）。本年度拟购置固定资产总额为0.00万元，已按要求列入政府采购预算，详见政府采购预算表。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21786.20</w:t>
            </w:r>
          </w:p>
        </w:tc>
        <w:tc>
          <w:tcPr>
            <w:tcW w:w="2835" w:type="dxa"/>
            <w:vAlign w:val="center"/>
          </w:tcPr>
          <w:p>
            <w:pPr>
              <w:pStyle w:val="11"/>
            </w:pPr>
            <w:r>
              <w:t>5200.09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211.88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1252</w:t>
            </w:r>
          </w:p>
        </w:tc>
        <w:tc>
          <w:tcPr>
            <w:tcW w:w="2835" w:type="dxa"/>
            <w:vAlign w:val="center"/>
          </w:tcPr>
          <w:p>
            <w:pPr>
              <w:pStyle w:val="11"/>
            </w:pPr>
            <w:r>
              <w:t>201.24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部门</w:t>
      </w:r>
      <w:bookmarkStart w:id="1" w:name="_GoBack"/>
      <w:bookmarkEnd w:id="1"/>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12AFD"/>
    <w:rsid w:val="0014508F"/>
    <w:rsid w:val="00180206"/>
    <w:rsid w:val="002113E2"/>
    <w:rsid w:val="00323EDD"/>
    <w:rsid w:val="003C0D67"/>
    <w:rsid w:val="004F546D"/>
    <w:rsid w:val="005219B6"/>
    <w:rsid w:val="0064308F"/>
    <w:rsid w:val="006E5E23"/>
    <w:rsid w:val="00706EB9"/>
    <w:rsid w:val="00812AFD"/>
    <w:rsid w:val="00891FF8"/>
    <w:rsid w:val="009F35AB"/>
    <w:rsid w:val="00A4246A"/>
    <w:rsid w:val="00C042D0"/>
    <w:rsid w:val="01D56895"/>
    <w:rsid w:val="02E60171"/>
    <w:rsid w:val="032612E6"/>
    <w:rsid w:val="03A13A32"/>
    <w:rsid w:val="03BA7F45"/>
    <w:rsid w:val="04965E0C"/>
    <w:rsid w:val="08D90945"/>
    <w:rsid w:val="09804AE3"/>
    <w:rsid w:val="0C055FB8"/>
    <w:rsid w:val="0C1E225A"/>
    <w:rsid w:val="0D33709E"/>
    <w:rsid w:val="103C3798"/>
    <w:rsid w:val="11761B89"/>
    <w:rsid w:val="128D73AB"/>
    <w:rsid w:val="135054C3"/>
    <w:rsid w:val="14EA5483"/>
    <w:rsid w:val="15650C7E"/>
    <w:rsid w:val="1683549C"/>
    <w:rsid w:val="1C4A656E"/>
    <w:rsid w:val="1EC129A2"/>
    <w:rsid w:val="20231FF5"/>
    <w:rsid w:val="22DE13BD"/>
    <w:rsid w:val="23DA3606"/>
    <w:rsid w:val="254E2766"/>
    <w:rsid w:val="26545000"/>
    <w:rsid w:val="26E322A2"/>
    <w:rsid w:val="287D378A"/>
    <w:rsid w:val="2EAD524D"/>
    <w:rsid w:val="2FA930ED"/>
    <w:rsid w:val="32AE4E93"/>
    <w:rsid w:val="33F13245"/>
    <w:rsid w:val="33F178F6"/>
    <w:rsid w:val="34650F78"/>
    <w:rsid w:val="349048D0"/>
    <w:rsid w:val="3571394C"/>
    <w:rsid w:val="363E1DCC"/>
    <w:rsid w:val="37346247"/>
    <w:rsid w:val="37995241"/>
    <w:rsid w:val="38FE34AB"/>
    <w:rsid w:val="446B60FB"/>
    <w:rsid w:val="46B27C7B"/>
    <w:rsid w:val="46F41A9E"/>
    <w:rsid w:val="47A855D5"/>
    <w:rsid w:val="47D266D4"/>
    <w:rsid w:val="48125B75"/>
    <w:rsid w:val="4E852290"/>
    <w:rsid w:val="50D17A21"/>
    <w:rsid w:val="50F365A4"/>
    <w:rsid w:val="529515A6"/>
    <w:rsid w:val="52A1487D"/>
    <w:rsid w:val="545A3330"/>
    <w:rsid w:val="56C743AE"/>
    <w:rsid w:val="5A5F1AA5"/>
    <w:rsid w:val="60856D95"/>
    <w:rsid w:val="647A71C6"/>
    <w:rsid w:val="67041DFE"/>
    <w:rsid w:val="68156F2B"/>
    <w:rsid w:val="69124F47"/>
    <w:rsid w:val="6A9A1E0E"/>
    <w:rsid w:val="6E4D3BFB"/>
    <w:rsid w:val="749A6933"/>
    <w:rsid w:val="78B833A1"/>
    <w:rsid w:val="7B57270C"/>
    <w:rsid w:val="7B732B01"/>
    <w:rsid w:val="7CC4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456e4665-923d-401a-8c15-d16cdfe40d4a"/>
    <w:qFormat/>
    <w:uiPriority w:val="0"/>
    <w:rPr>
      <w:rFonts w:ascii="Times New Roman" w:hAnsi="Times New Roman" w:eastAsia="Times New Roman" w:cs="Times New Roman"/>
      <w:sz w:val="24"/>
      <w:szCs w:val="24"/>
      <w:lang w:val="en-US" w:eastAsia="uk-UA" w:bidi="ar-SA"/>
    </w:rPr>
  </w:style>
  <w:style w:type="paragraph" w:customStyle="1" w:styleId="25">
    <w:name w:val="单元格样式1_53f48e24-3116-48fd-a7b7-d17e51ac26a9"/>
    <w:basedOn w:val="1"/>
    <w:qFormat/>
    <w:uiPriority w:val="0"/>
    <w:pPr>
      <w:jc w:val="center"/>
    </w:pPr>
    <w:rPr>
      <w:rFonts w:ascii="方正书宋_GBK" w:hAnsi="方正书宋_GBK" w:eastAsia="方正书宋_GBK" w:cs="方正书宋_GBK"/>
      <w:b/>
      <w:sz w:val="21"/>
    </w:rPr>
  </w:style>
  <w:style w:type="paragraph" w:customStyle="1" w:styleId="26">
    <w:name w:val="单元格样式2_da0e1a75-7fce-450e-898f-edceaa2c52a2"/>
    <w:basedOn w:val="1"/>
    <w:qFormat/>
    <w:uiPriority w:val="0"/>
    <w:rPr>
      <w:rFonts w:ascii="方正书宋_GBK" w:hAnsi="方正书宋_GBK" w:eastAsia="方正书宋_GBK" w:cs="方正书宋_GBK"/>
      <w:sz w:val="21"/>
    </w:rPr>
  </w:style>
  <w:style w:type="paragraph" w:customStyle="1" w:styleId="27">
    <w:name w:val="单元格样式3_18042645-59ac-453c-b099-0ef3d3df29c4"/>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1"/>
    <w:basedOn w:val="1"/>
    <w:qFormat/>
    <w:uiPriority w:val="0"/>
    <w:pPr>
      <w:ind w:left="240"/>
    </w:pPr>
  </w:style>
  <w:style w:type="paragraph" w:customStyle="1" w:styleId="34">
    <w:name w:val="TOC 31"/>
    <w:basedOn w:val="1"/>
    <w:qFormat/>
    <w:uiPriority w:val="0"/>
    <w:pPr>
      <w:ind w:left="480"/>
    </w:pPr>
  </w:style>
  <w:style w:type="paragraph" w:customStyle="1" w:styleId="35">
    <w:name w:val="TOC 41"/>
    <w:basedOn w:val="1"/>
    <w:qFormat/>
    <w:uiPriority w:val="0"/>
    <w:pPr>
      <w:ind w:left="720"/>
    </w:pPr>
  </w:style>
  <w:style w:type="paragraph" w:customStyle="1" w:styleId="36">
    <w:name w:val="TOC 11"/>
    <w:basedOn w:val="1"/>
    <w:qFormat/>
    <w:uiPriority w:val="0"/>
    <w:pPr>
      <w:spacing w:before="120"/>
      <w:ind w:firstLine="560"/>
    </w:pPr>
    <w:rPr>
      <w:rFonts w:eastAsia="方正仿宋_GBK"/>
      <w:color w:val="000000"/>
      <w:sz w:val="28"/>
    </w:rPr>
  </w:style>
  <w:style w:type="character" w:customStyle="1" w:styleId="37">
    <w:name w:val="页眉 字符"/>
    <w:basedOn w:val="6"/>
    <w:link w:val="3"/>
    <w:semiHidden/>
    <w:qFormat/>
    <w:uiPriority w:val="99"/>
    <w:rPr>
      <w:rFonts w:eastAsia="Times New Roman"/>
      <w:sz w:val="18"/>
      <w:szCs w:val="18"/>
      <w:lang w:eastAsia="uk-UA"/>
    </w:rPr>
  </w:style>
  <w:style w:type="character" w:customStyle="1" w:styleId="38">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2022-02-14T13:20:48Z</dcterms:created>
  <dcterms:modified xsi:type="dcterms:W3CDTF">2022-02-14T05:20:48Z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2022-02-14T13:20:43Z</dcterms:created>
  <dcterms:modified xsi:type="dcterms:W3CDTF">2022-02-14T05:20:43Z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2022-02-14T13:20:46Z</dcterms:created>
  <dcterms:modified xsi:type="dcterms:W3CDTF">2022-02-14T05:20:46Z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2022-02-14T13:20:41Z</dcterms:created>
  <dcterms:modified xsi:type="dcterms:W3CDTF">2022-02-14T05:20:41Z</dcterms:modified>
</cp:coreProperties>
</file>

<file path=customXml/itemProps1.xml><?xml version="1.0" encoding="utf-8"?>
<ds:datastoreItem xmlns:ds="http://schemas.openxmlformats.org/officeDocument/2006/customXml" ds:itemID="{02BEBA0B-EBD5-4D1B-8AD6-610157FA179C}">
  <ds:schemaRefs/>
</ds:datastoreItem>
</file>

<file path=customXml/itemProps2.xml><?xml version="1.0" encoding="utf-8"?>
<ds:datastoreItem xmlns:ds="http://schemas.openxmlformats.org/officeDocument/2006/customXml" ds:itemID="{96DD2154-56B9-4E6C-B9A1-FD88D26AD918}">
  <ds:schemaRefs/>
</ds:datastoreItem>
</file>

<file path=customXml/itemProps3.xml><?xml version="1.0" encoding="utf-8"?>
<ds:datastoreItem xmlns:ds="http://schemas.openxmlformats.org/officeDocument/2006/customXml" ds:itemID="{B9A666E7-8955-412C-9E76-FF4AA4FCDEE4}">
  <ds:schemaRefs/>
</ds:datastoreItem>
</file>

<file path=customXml/itemProps4.xml><?xml version="1.0" encoding="utf-8"?>
<ds:datastoreItem xmlns:ds="http://schemas.openxmlformats.org/officeDocument/2006/customXml" ds:itemID="{90FEB67A-02E7-4BD5-AE51-B9B79AF49FBC}">
  <ds:schemaRefs/>
</ds:datastoreItem>
</file>

<file path=customXml/itemProps5.xml><?xml version="1.0" encoding="utf-8"?>
<ds:datastoreItem xmlns:ds="http://schemas.openxmlformats.org/officeDocument/2006/customXml" ds:itemID="{7FFB61EC-1DBE-4A5D-BF26-568BCBC688C3}">
  <ds:schemaRefs/>
</ds:datastoreItem>
</file>

<file path=customXml/itemProps6.xml><?xml version="1.0" encoding="utf-8"?>
<ds:datastoreItem xmlns:ds="http://schemas.openxmlformats.org/officeDocument/2006/customXml" ds:itemID="{61B9BAA7-4654-4D7F-8283-3BDBD059D520}">
  <ds:schemaRefs/>
</ds:datastoreItem>
</file>

<file path=customXml/itemProps7.xml><?xml version="1.0" encoding="utf-8"?>
<ds:datastoreItem xmlns:ds="http://schemas.openxmlformats.org/officeDocument/2006/customXml" ds:itemID="{0229EB04-83E8-456A-BCC0-7292D92759DD}">
  <ds:schemaRefs/>
</ds:datastoreItem>
</file>

<file path=customXml/itemProps8.xml><?xml version="1.0" encoding="utf-8"?>
<ds:datastoreItem xmlns:ds="http://schemas.openxmlformats.org/officeDocument/2006/customXml" ds:itemID="{EA628AE6-9D4E-4AF5-8CCD-9746D2AF053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23</Words>
  <Characters>135</Characters>
  <Lines>1</Lines>
  <Paragraphs>1</Paragraphs>
  <TotalTime>2</TotalTime>
  <ScaleCrop>false</ScaleCrop>
  <LinksUpToDate>false</LinksUpToDate>
  <CharactersWithSpaces>157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2022-02-14T13:20:00Z</dcterms:created>
  <dc:creator>Administrator</dc:creator>
  <cp:lastModifiedBy>Administrator</cp:lastModifiedBy>
  <dcterms:modified xsi:type="dcterms:W3CDTF">2023-09-04T01:12:56Z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0E7B315A185942BBBF20158F55C1F9ED</vt:lpwstr>
  </property>
</Properties>
</file>