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北戴河区民政局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2022年，我局认真贯彻《中华人民共和国政府信息公开条例》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政府关于全面推进政务公开的工作部署，加强政府信息管理，着力做好主动公开，规范依申请公开答复，进一步推进民政工作公开透明，切实保障好人民群众的合法权益。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现将政府信息公开工作情况报告如下：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强化组织领导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抓好责任落实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。我局高度重视加强对政府信息公开工作的组织领导，形成单位一把手负总责，分管领导具体抓，相关人员抓落实的工作格局，确保政务公开工作常抓不懈。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）合理确定内容，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规范公开范围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我局结合具体实际，把政务信息公开工作确定为局办公室牵头，各相关业务部门密切配合，按时限要求列出应公开事项。同时，按照省、市、县相关文件精神，确定主动公开和依申请公开的办理流程和责任部门；规定各类信息公开的办理时限，尽量减少因政务信息公开回复不准确、不及时，申请人申请行政复议和行政诉讼的事件发生；着重强调原则上不涉密的内容都要公开，力争做到最大限度对外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开程序，力求规范有序。对公开的项目、范围和形式，事先由相应信息产生部门提出，经审核批准后予以公开。公开期间，注意充分收集、整理社会反响，对群众通过各种渠道反映的意见和要求，明确专人负责筛选、整理，并将处理和落实情况予以公开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2022年底，我局主动公开政府信息11条，其中行政事业性收费项目公示1条，其他类10条。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二、主动公开政府信息情况</w:t>
      </w:r>
    </w:p>
    <w:tbl>
      <w:tblPr>
        <w:tblStyle w:val="2"/>
        <w:tblpPr w:leftFromText="180" w:rightFromText="180" w:vertAnchor="text" w:horzAnchor="page" w:tblpX="1307" w:tblpY="210"/>
        <w:tblOverlap w:val="never"/>
        <w:tblW w:w="974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/>
                <w:color w:val="333333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/>
                <w:color w:val="333333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default" w:asciiTheme="minorAscii" w:hAnsiTheme="minorAscii"/>
                <w:color w:val="333333"/>
                <w:sz w:val="24"/>
                <w:lang w:val="en-US" w:eastAsia="zh-CN"/>
              </w:rPr>
              <w:t>0.86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三、收到和处理政府信息公开申请情况</w:t>
      </w:r>
    </w:p>
    <w:tbl>
      <w:tblPr>
        <w:tblStyle w:val="2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921"/>
        <w:gridCol w:w="3272"/>
        <w:gridCol w:w="686"/>
        <w:gridCol w:w="686"/>
        <w:gridCol w:w="686"/>
        <w:gridCol w:w="686"/>
        <w:gridCol w:w="686"/>
        <w:gridCol w:w="686"/>
        <w:gridCol w:w="6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eastAsia="楷体_GB2312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企业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（二）部分公开</w:t>
            </w:r>
            <w:r>
              <w:rPr>
                <w:rFonts w:hint="eastAsia" w:ascii="楷体" w:eastAsia="楷体"/>
                <w:color w:val="333333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921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宋体"/>
          <w:color w:val="666666"/>
          <w:kern w:val="0"/>
          <w:sz w:val="27"/>
          <w:szCs w:val="27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四、政府信息公开行政复议、行政诉讼情况</w:t>
      </w:r>
    </w:p>
    <w:tbl>
      <w:tblPr>
        <w:tblStyle w:val="2"/>
        <w:tblpPr w:leftFromText="180" w:rightFromText="180" w:vertAnchor="text" w:horzAnchor="page" w:tblpX="1137" w:tblpY="15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52"/>
        <w:gridCol w:w="649"/>
        <w:gridCol w:w="649"/>
        <w:gridCol w:w="650"/>
        <w:gridCol w:w="650"/>
        <w:gridCol w:w="653"/>
        <w:gridCol w:w="651"/>
        <w:gridCol w:w="651"/>
        <w:gridCol w:w="651"/>
        <w:gridCol w:w="65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248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6511" w:type="dxa"/>
            <w:gridSpan w:val="1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9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2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251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3260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4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微软雅黑"/>
                <w:color w:val="000000"/>
                <w:szCs w:val="21"/>
              </w:rPr>
            </w:pPr>
          </w:p>
        </w:tc>
        <w:tc>
          <w:tcPr>
            <w:tcW w:w="64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微软雅黑"/>
                <w:color w:val="000000"/>
                <w:szCs w:val="21"/>
              </w:rPr>
            </w:pPr>
          </w:p>
        </w:tc>
        <w:tc>
          <w:tcPr>
            <w:tcW w:w="64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微软雅黑"/>
                <w:color w:val="000000"/>
                <w:szCs w:val="21"/>
              </w:rPr>
            </w:pPr>
          </w:p>
        </w:tc>
        <w:tc>
          <w:tcPr>
            <w:tcW w:w="64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微软雅黑"/>
                <w:color w:val="000000"/>
                <w:szCs w:val="21"/>
              </w:rPr>
            </w:pPr>
          </w:p>
        </w:tc>
        <w:tc>
          <w:tcPr>
            <w:tcW w:w="652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微软雅黑"/>
                <w:color w:val="000000"/>
                <w:szCs w:val="21"/>
              </w:rPr>
            </w:pP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5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我局政府信息公开工作虽然取得了一定进展，但还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存在许多差距和不足，比如信息公开意识还有待提高，信息公开的力度有待加强、公开内容的规范性有待改善等。我局将通过以下措施对存在的问题进行整改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优化运行机制。深入推进政府信息公开标准化建设，统一规范政府信息公开的内容、时间、程序、监督等，使政府信息公开有章可循，有规可依，不断提高政府信息公开规范化、制度化、科学化的层次水平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是进一步加强组织保障。进一步健全领导机构和工作机构，做好本系统内政务公开具体负责人的培训工作，增强工作人员的业务素质和工作能力，提高服务质量和办事效率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加大组织协调力度，切实落实好政府信息公开各项任务；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加强制度建设，进一步完善政府信息公开制度，提高制度的可操作性，规范有序推动公开工作。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六、其他需要报告的</w:t>
      </w:r>
      <w:r>
        <w:rPr>
          <w:rFonts w:hint="eastAsia" w:ascii="黑体" w:hAnsi="黑体" w:eastAsia="黑体" w:cs="黑体"/>
          <w:sz w:val="32"/>
          <w:szCs w:val="32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北戴河区民政局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2023年1月10日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eastAsia" w:ascii="黑体" w:hAnsi="黑体" w:eastAsia="黑体" w:cs="宋体"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7" w:h="16840"/>
      <w:pgMar w:top="2098" w:right="147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YTk0MjlmOTAwYTgyMDhlMWI0MDBlZjljZDM0MTAifQ=="/>
  </w:docVars>
  <w:rsids>
    <w:rsidRoot w:val="21D844CD"/>
    <w:rsid w:val="21D844CD"/>
    <w:rsid w:val="2C5257EE"/>
    <w:rsid w:val="59DC04E0"/>
    <w:rsid w:val="649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1737</Words>
  <Characters>1777</Characters>
  <Lines>0</Lines>
  <Paragraphs>0</Paragraphs>
  <TotalTime>0</TotalTime>
  <ScaleCrop>false</ScaleCrop>
  <LinksUpToDate>false</LinksUpToDate>
  <CharactersWithSpaces>1777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2023-01-10T02:42:00Z</dcterms:created>
  <dc:creator>WPS_1507266542</dc:creator>
  <cp:lastModifiedBy>WPS_1507266542</cp:lastModifiedBy>
  <dcterms:modified xsi:type="dcterms:W3CDTF">2023-11-03T07:49:54Z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42227184B3C1431297DA3DFBDCF3D85B</vt:lpwstr>
  </property>
</Properties>
</file>