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bookmarkStart w:id="20" w:name="_GoBack"/>
      <w:bookmarkEnd w:id="20"/>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222纪律检查委员会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968.76</w:t>
            </w:r>
          </w:p>
        </w:tc>
        <w:tc>
          <w:tcPr>
            <w:tcW w:w="4535" w:type="dxa"/>
            <w:vAlign w:val="center"/>
          </w:tcPr>
          <w:p>
            <w:pPr>
              <w:pStyle w:val="13"/>
            </w:pPr>
            <w:r>
              <w:t>一、一般公共服务支出</w:t>
            </w:r>
          </w:p>
        </w:tc>
        <w:tc>
          <w:tcPr>
            <w:tcW w:w="2126" w:type="dxa"/>
            <w:vAlign w:val="center"/>
          </w:tcPr>
          <w:p>
            <w:pPr>
              <w:pStyle w:val="12"/>
            </w:pPr>
            <w:r>
              <w:t>759.76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968.76</w:t>
            </w:r>
          </w:p>
        </w:tc>
        <w:tc>
          <w:tcPr>
            <w:tcW w:w="4535" w:type="dxa"/>
            <w:vAlign w:val="center"/>
          </w:tcPr>
          <w:p>
            <w:pPr>
              <w:pStyle w:val="15"/>
            </w:pPr>
            <w:r>
              <w:t>本年支出合计</w:t>
            </w:r>
          </w:p>
        </w:tc>
        <w:tc>
          <w:tcPr>
            <w:tcW w:w="2126" w:type="dxa"/>
            <w:vAlign w:val="center"/>
          </w:tcPr>
          <w:p>
            <w:pPr>
              <w:pStyle w:val="16"/>
            </w:pPr>
            <w:r>
              <w:t>968.76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968.76</w:t>
            </w:r>
          </w:p>
        </w:tc>
        <w:tc>
          <w:tcPr>
            <w:tcW w:w="4535" w:type="dxa"/>
            <w:vAlign w:val="center"/>
          </w:tcPr>
          <w:p>
            <w:pPr>
              <w:pStyle w:val="15"/>
            </w:pPr>
            <w:r>
              <w:t>支出总计</w:t>
            </w:r>
          </w:p>
        </w:tc>
        <w:tc>
          <w:tcPr>
            <w:tcW w:w="2126" w:type="dxa"/>
            <w:vAlign w:val="center"/>
          </w:tcPr>
          <w:p>
            <w:pPr>
              <w:pStyle w:val="16"/>
            </w:pPr>
            <w:r>
              <w:t>968.76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968.76</w:t>
            </w:r>
          </w:p>
        </w:tc>
        <w:tc>
          <w:tcPr>
            <w:tcW w:w="1134" w:type="dxa"/>
            <w:vAlign w:val="center"/>
          </w:tcPr>
          <w:p>
            <w:pPr>
              <w:pStyle w:val="16"/>
            </w:pPr>
            <w:r>
              <w:t>968.76</w:t>
            </w:r>
          </w:p>
        </w:tc>
        <w:tc>
          <w:tcPr>
            <w:tcW w:w="1134" w:type="dxa"/>
            <w:vAlign w:val="center"/>
          </w:tcPr>
          <w:p>
            <w:pPr>
              <w:pStyle w:val="16"/>
            </w:pPr>
            <w:r>
              <w:t>968.76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759.76</w:t>
            </w:r>
          </w:p>
        </w:tc>
        <w:tc>
          <w:tcPr>
            <w:tcW w:w="1134" w:type="dxa"/>
            <w:vAlign w:val="center"/>
          </w:tcPr>
          <w:p>
            <w:pPr>
              <w:pStyle w:val="12"/>
            </w:pPr>
            <w:r>
              <w:t>759.76</w:t>
            </w:r>
          </w:p>
        </w:tc>
        <w:tc>
          <w:tcPr>
            <w:tcW w:w="1134" w:type="dxa"/>
            <w:vAlign w:val="center"/>
          </w:tcPr>
          <w:p>
            <w:pPr>
              <w:pStyle w:val="12"/>
            </w:pPr>
            <w:r>
              <w:t>759.76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759.76</w:t>
            </w:r>
          </w:p>
        </w:tc>
        <w:tc>
          <w:tcPr>
            <w:tcW w:w="1134" w:type="dxa"/>
            <w:vAlign w:val="center"/>
          </w:tcPr>
          <w:p>
            <w:pPr>
              <w:pStyle w:val="12"/>
            </w:pPr>
            <w:r>
              <w:t>759.76</w:t>
            </w:r>
          </w:p>
        </w:tc>
        <w:tc>
          <w:tcPr>
            <w:tcW w:w="1134" w:type="dxa"/>
            <w:vAlign w:val="center"/>
          </w:tcPr>
          <w:p>
            <w:pPr>
              <w:pStyle w:val="12"/>
            </w:pPr>
            <w:r>
              <w:t>759.76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615.13</w:t>
            </w:r>
          </w:p>
        </w:tc>
        <w:tc>
          <w:tcPr>
            <w:tcW w:w="1134" w:type="dxa"/>
            <w:vAlign w:val="center"/>
          </w:tcPr>
          <w:p>
            <w:pPr>
              <w:pStyle w:val="12"/>
            </w:pPr>
            <w:r>
              <w:t>615.13</w:t>
            </w:r>
          </w:p>
        </w:tc>
        <w:tc>
          <w:tcPr>
            <w:tcW w:w="1134" w:type="dxa"/>
            <w:vAlign w:val="center"/>
          </w:tcPr>
          <w:p>
            <w:pPr>
              <w:pStyle w:val="12"/>
            </w:pPr>
            <w:r>
              <w:t>615.13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144.63</w:t>
            </w:r>
          </w:p>
        </w:tc>
        <w:tc>
          <w:tcPr>
            <w:tcW w:w="1134" w:type="dxa"/>
            <w:vAlign w:val="center"/>
          </w:tcPr>
          <w:p>
            <w:pPr>
              <w:pStyle w:val="12"/>
            </w:pPr>
            <w:r>
              <w:t>144.63</w:t>
            </w:r>
          </w:p>
        </w:tc>
        <w:tc>
          <w:tcPr>
            <w:tcW w:w="1134" w:type="dxa"/>
            <w:vAlign w:val="center"/>
          </w:tcPr>
          <w:p>
            <w:pPr>
              <w:pStyle w:val="12"/>
            </w:pPr>
            <w:r>
              <w:t>144.63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r>
              <w:t>95.70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27.25</w:t>
            </w:r>
          </w:p>
        </w:tc>
        <w:tc>
          <w:tcPr>
            <w:tcW w:w="1134" w:type="dxa"/>
            <w:vAlign w:val="center"/>
          </w:tcPr>
          <w:p>
            <w:pPr>
              <w:pStyle w:val="12"/>
            </w:pPr>
            <w:r>
              <w:t>27.25</w:t>
            </w:r>
          </w:p>
        </w:tc>
        <w:tc>
          <w:tcPr>
            <w:tcW w:w="1134" w:type="dxa"/>
            <w:vAlign w:val="center"/>
          </w:tcPr>
          <w:p>
            <w:pPr>
              <w:pStyle w:val="12"/>
            </w:pPr>
            <w:r>
              <w:t>27.25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68.45</w:t>
            </w:r>
          </w:p>
        </w:tc>
        <w:tc>
          <w:tcPr>
            <w:tcW w:w="1134" w:type="dxa"/>
            <w:vAlign w:val="center"/>
          </w:tcPr>
          <w:p>
            <w:pPr>
              <w:pStyle w:val="12"/>
            </w:pPr>
            <w:r>
              <w:t>68.45</w:t>
            </w:r>
          </w:p>
        </w:tc>
        <w:tc>
          <w:tcPr>
            <w:tcW w:w="1134" w:type="dxa"/>
            <w:vAlign w:val="center"/>
          </w:tcPr>
          <w:p>
            <w:pPr>
              <w:pStyle w:val="12"/>
            </w:pPr>
            <w:r>
              <w:t>68.45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58.47</w:t>
            </w:r>
          </w:p>
        </w:tc>
        <w:tc>
          <w:tcPr>
            <w:tcW w:w="1134" w:type="dxa"/>
            <w:vAlign w:val="center"/>
          </w:tcPr>
          <w:p>
            <w:pPr>
              <w:pStyle w:val="12"/>
            </w:pPr>
            <w:r>
              <w:t>58.47</w:t>
            </w:r>
          </w:p>
        </w:tc>
        <w:tc>
          <w:tcPr>
            <w:tcW w:w="1134" w:type="dxa"/>
            <w:vAlign w:val="center"/>
          </w:tcPr>
          <w:p>
            <w:pPr>
              <w:pStyle w:val="12"/>
            </w:pPr>
            <w:r>
              <w:t>58.47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58.47</w:t>
            </w:r>
          </w:p>
        </w:tc>
        <w:tc>
          <w:tcPr>
            <w:tcW w:w="1134" w:type="dxa"/>
            <w:vAlign w:val="center"/>
          </w:tcPr>
          <w:p>
            <w:pPr>
              <w:pStyle w:val="12"/>
            </w:pPr>
            <w:r>
              <w:t>58.47</w:t>
            </w:r>
          </w:p>
        </w:tc>
        <w:tc>
          <w:tcPr>
            <w:tcW w:w="1134" w:type="dxa"/>
            <w:vAlign w:val="center"/>
          </w:tcPr>
          <w:p>
            <w:pPr>
              <w:pStyle w:val="12"/>
            </w:pPr>
            <w:r>
              <w:t>58.47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25.54</w:t>
            </w:r>
          </w:p>
        </w:tc>
        <w:tc>
          <w:tcPr>
            <w:tcW w:w="1134" w:type="dxa"/>
            <w:vAlign w:val="center"/>
          </w:tcPr>
          <w:p>
            <w:pPr>
              <w:pStyle w:val="12"/>
            </w:pPr>
            <w:r>
              <w:t>25.54</w:t>
            </w:r>
          </w:p>
        </w:tc>
        <w:tc>
          <w:tcPr>
            <w:tcW w:w="1134" w:type="dxa"/>
            <w:vAlign w:val="center"/>
          </w:tcPr>
          <w:p>
            <w:pPr>
              <w:pStyle w:val="12"/>
            </w:pPr>
            <w:r>
              <w:t>25.54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32.93</w:t>
            </w:r>
          </w:p>
        </w:tc>
        <w:tc>
          <w:tcPr>
            <w:tcW w:w="1134" w:type="dxa"/>
            <w:vAlign w:val="center"/>
          </w:tcPr>
          <w:p>
            <w:pPr>
              <w:pStyle w:val="12"/>
            </w:pPr>
            <w:r>
              <w:t>32.93</w:t>
            </w:r>
          </w:p>
        </w:tc>
        <w:tc>
          <w:tcPr>
            <w:tcW w:w="1134" w:type="dxa"/>
            <w:vAlign w:val="center"/>
          </w:tcPr>
          <w:p>
            <w:pPr>
              <w:pStyle w:val="12"/>
            </w:pPr>
            <w:r>
              <w:t>32.93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54.83</w:t>
            </w:r>
          </w:p>
        </w:tc>
        <w:tc>
          <w:tcPr>
            <w:tcW w:w="1134" w:type="dxa"/>
            <w:vAlign w:val="center"/>
          </w:tcPr>
          <w:p>
            <w:pPr>
              <w:pStyle w:val="12"/>
            </w:pPr>
            <w:r>
              <w:t>54.83</w:t>
            </w:r>
          </w:p>
        </w:tc>
        <w:tc>
          <w:tcPr>
            <w:tcW w:w="1134" w:type="dxa"/>
            <w:vAlign w:val="center"/>
          </w:tcPr>
          <w:p>
            <w:pPr>
              <w:pStyle w:val="12"/>
            </w:pPr>
            <w:r>
              <w:t>54.83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54.83</w:t>
            </w:r>
          </w:p>
        </w:tc>
        <w:tc>
          <w:tcPr>
            <w:tcW w:w="1134" w:type="dxa"/>
            <w:vAlign w:val="center"/>
          </w:tcPr>
          <w:p>
            <w:pPr>
              <w:pStyle w:val="12"/>
            </w:pPr>
            <w:r>
              <w:t>54.83</w:t>
            </w:r>
          </w:p>
        </w:tc>
        <w:tc>
          <w:tcPr>
            <w:tcW w:w="1134" w:type="dxa"/>
            <w:vAlign w:val="center"/>
          </w:tcPr>
          <w:p>
            <w:pPr>
              <w:pStyle w:val="12"/>
            </w:pPr>
            <w:r>
              <w:t>54.83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54.83</w:t>
            </w:r>
          </w:p>
        </w:tc>
        <w:tc>
          <w:tcPr>
            <w:tcW w:w="1134" w:type="dxa"/>
            <w:vAlign w:val="center"/>
          </w:tcPr>
          <w:p>
            <w:pPr>
              <w:pStyle w:val="12"/>
            </w:pPr>
            <w:r>
              <w:t>54.83</w:t>
            </w:r>
          </w:p>
        </w:tc>
        <w:tc>
          <w:tcPr>
            <w:tcW w:w="1134" w:type="dxa"/>
            <w:vAlign w:val="center"/>
          </w:tcPr>
          <w:p>
            <w:pPr>
              <w:pStyle w:val="12"/>
            </w:pPr>
            <w:r>
              <w:t>54.83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968.76</w:t>
            </w:r>
          </w:p>
        </w:tc>
        <w:tc>
          <w:tcPr>
            <w:tcW w:w="1361" w:type="dxa"/>
            <w:vAlign w:val="center"/>
          </w:tcPr>
          <w:p>
            <w:pPr>
              <w:pStyle w:val="16"/>
            </w:pPr>
            <w:r>
              <w:t>823.13</w:t>
            </w:r>
          </w:p>
        </w:tc>
        <w:tc>
          <w:tcPr>
            <w:tcW w:w="1361" w:type="dxa"/>
            <w:vAlign w:val="center"/>
          </w:tcPr>
          <w:p>
            <w:pPr>
              <w:pStyle w:val="16"/>
            </w:pPr>
            <w:r>
              <w:t>145.63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759.76</w:t>
            </w:r>
          </w:p>
        </w:tc>
        <w:tc>
          <w:tcPr>
            <w:tcW w:w="1361" w:type="dxa"/>
            <w:vAlign w:val="center"/>
          </w:tcPr>
          <w:p>
            <w:pPr>
              <w:pStyle w:val="12"/>
            </w:pPr>
            <w:r>
              <w:t>614.13</w:t>
            </w:r>
          </w:p>
        </w:tc>
        <w:tc>
          <w:tcPr>
            <w:tcW w:w="1361" w:type="dxa"/>
            <w:vAlign w:val="center"/>
          </w:tcPr>
          <w:p>
            <w:pPr>
              <w:pStyle w:val="12"/>
            </w:pPr>
            <w:r>
              <w:t>145.63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759.76</w:t>
            </w:r>
          </w:p>
        </w:tc>
        <w:tc>
          <w:tcPr>
            <w:tcW w:w="1361" w:type="dxa"/>
            <w:vAlign w:val="center"/>
          </w:tcPr>
          <w:p>
            <w:pPr>
              <w:pStyle w:val="12"/>
            </w:pPr>
            <w:r>
              <w:t>614.13</w:t>
            </w:r>
          </w:p>
        </w:tc>
        <w:tc>
          <w:tcPr>
            <w:tcW w:w="1361" w:type="dxa"/>
            <w:vAlign w:val="center"/>
          </w:tcPr>
          <w:p>
            <w:pPr>
              <w:pStyle w:val="12"/>
            </w:pPr>
            <w:r>
              <w:t>145.63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615.13</w:t>
            </w:r>
          </w:p>
        </w:tc>
        <w:tc>
          <w:tcPr>
            <w:tcW w:w="1361" w:type="dxa"/>
            <w:vAlign w:val="center"/>
          </w:tcPr>
          <w:p>
            <w:pPr>
              <w:pStyle w:val="12"/>
            </w:pPr>
            <w:r>
              <w:t>614.13</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144.63</w:t>
            </w:r>
          </w:p>
        </w:tc>
        <w:tc>
          <w:tcPr>
            <w:tcW w:w="1361" w:type="dxa"/>
            <w:vAlign w:val="center"/>
          </w:tcPr>
          <w:p>
            <w:pPr>
              <w:pStyle w:val="12"/>
            </w:pPr>
          </w:p>
        </w:tc>
        <w:tc>
          <w:tcPr>
            <w:tcW w:w="1361" w:type="dxa"/>
            <w:vAlign w:val="center"/>
          </w:tcPr>
          <w:p>
            <w:pPr>
              <w:pStyle w:val="12"/>
            </w:pPr>
            <w:r>
              <w:t>144.63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95.70</w:t>
            </w:r>
          </w:p>
        </w:tc>
        <w:tc>
          <w:tcPr>
            <w:tcW w:w="1361" w:type="dxa"/>
            <w:vAlign w:val="center"/>
          </w:tcPr>
          <w:p>
            <w:pPr>
              <w:pStyle w:val="12"/>
            </w:pPr>
            <w:r>
              <w:t>95.70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95.70</w:t>
            </w:r>
          </w:p>
        </w:tc>
        <w:tc>
          <w:tcPr>
            <w:tcW w:w="1361" w:type="dxa"/>
            <w:vAlign w:val="center"/>
          </w:tcPr>
          <w:p>
            <w:pPr>
              <w:pStyle w:val="12"/>
            </w:pPr>
            <w:r>
              <w:t>95.70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27.25</w:t>
            </w:r>
          </w:p>
        </w:tc>
        <w:tc>
          <w:tcPr>
            <w:tcW w:w="1361" w:type="dxa"/>
            <w:vAlign w:val="center"/>
          </w:tcPr>
          <w:p>
            <w:pPr>
              <w:pStyle w:val="12"/>
            </w:pPr>
            <w:r>
              <w:t>27.25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68.45</w:t>
            </w:r>
          </w:p>
        </w:tc>
        <w:tc>
          <w:tcPr>
            <w:tcW w:w="1361" w:type="dxa"/>
            <w:vAlign w:val="center"/>
          </w:tcPr>
          <w:p>
            <w:pPr>
              <w:pStyle w:val="12"/>
            </w:pPr>
            <w:r>
              <w:t>68.45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58.47</w:t>
            </w:r>
          </w:p>
        </w:tc>
        <w:tc>
          <w:tcPr>
            <w:tcW w:w="1361" w:type="dxa"/>
            <w:vAlign w:val="center"/>
          </w:tcPr>
          <w:p>
            <w:pPr>
              <w:pStyle w:val="12"/>
            </w:pPr>
            <w:r>
              <w:t>58.47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58.47</w:t>
            </w:r>
          </w:p>
        </w:tc>
        <w:tc>
          <w:tcPr>
            <w:tcW w:w="1361" w:type="dxa"/>
            <w:vAlign w:val="center"/>
          </w:tcPr>
          <w:p>
            <w:pPr>
              <w:pStyle w:val="12"/>
            </w:pPr>
            <w:r>
              <w:t>58.47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25.54</w:t>
            </w:r>
          </w:p>
        </w:tc>
        <w:tc>
          <w:tcPr>
            <w:tcW w:w="1361" w:type="dxa"/>
            <w:vAlign w:val="center"/>
          </w:tcPr>
          <w:p>
            <w:pPr>
              <w:pStyle w:val="12"/>
            </w:pPr>
            <w:r>
              <w:t>25.54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32.93</w:t>
            </w:r>
          </w:p>
        </w:tc>
        <w:tc>
          <w:tcPr>
            <w:tcW w:w="1361" w:type="dxa"/>
            <w:vAlign w:val="center"/>
          </w:tcPr>
          <w:p>
            <w:pPr>
              <w:pStyle w:val="12"/>
            </w:pPr>
            <w:r>
              <w:t>32.93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54.83</w:t>
            </w:r>
          </w:p>
        </w:tc>
        <w:tc>
          <w:tcPr>
            <w:tcW w:w="1361" w:type="dxa"/>
            <w:vAlign w:val="center"/>
          </w:tcPr>
          <w:p>
            <w:pPr>
              <w:pStyle w:val="12"/>
            </w:pPr>
            <w:r>
              <w:t>54.83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54.83</w:t>
            </w:r>
          </w:p>
        </w:tc>
        <w:tc>
          <w:tcPr>
            <w:tcW w:w="1361" w:type="dxa"/>
            <w:vAlign w:val="center"/>
          </w:tcPr>
          <w:p>
            <w:pPr>
              <w:pStyle w:val="12"/>
            </w:pPr>
            <w:r>
              <w:t>54.83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54.83</w:t>
            </w:r>
          </w:p>
        </w:tc>
        <w:tc>
          <w:tcPr>
            <w:tcW w:w="1361" w:type="dxa"/>
            <w:vAlign w:val="center"/>
          </w:tcPr>
          <w:p>
            <w:pPr>
              <w:pStyle w:val="12"/>
            </w:pPr>
            <w:r>
              <w:t>54.83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968.76</w:t>
            </w:r>
          </w:p>
        </w:tc>
        <w:tc>
          <w:tcPr>
            <w:tcW w:w="3402" w:type="dxa"/>
            <w:vAlign w:val="center"/>
          </w:tcPr>
          <w:p>
            <w:pPr>
              <w:pStyle w:val="13"/>
            </w:pPr>
            <w:r>
              <w:t>一、一般公共服务支出</w:t>
            </w:r>
          </w:p>
        </w:tc>
        <w:tc>
          <w:tcPr>
            <w:tcW w:w="1474" w:type="dxa"/>
            <w:vAlign w:val="center"/>
          </w:tcPr>
          <w:p>
            <w:pPr>
              <w:pStyle w:val="12"/>
            </w:pPr>
            <w:r>
              <w:t>759.76</w:t>
            </w:r>
          </w:p>
        </w:tc>
        <w:tc>
          <w:tcPr>
            <w:tcW w:w="1474" w:type="dxa"/>
            <w:vAlign w:val="center"/>
          </w:tcPr>
          <w:p>
            <w:pPr>
              <w:pStyle w:val="12"/>
            </w:pPr>
            <w:r>
              <w:t>759.76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95.70</w:t>
            </w:r>
          </w:p>
        </w:tc>
        <w:tc>
          <w:tcPr>
            <w:tcW w:w="1474" w:type="dxa"/>
            <w:vAlign w:val="center"/>
          </w:tcPr>
          <w:p>
            <w:pPr>
              <w:pStyle w:val="12"/>
            </w:pPr>
            <w:r>
              <w:t>95.70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58.47</w:t>
            </w:r>
          </w:p>
        </w:tc>
        <w:tc>
          <w:tcPr>
            <w:tcW w:w="1474" w:type="dxa"/>
            <w:vAlign w:val="center"/>
          </w:tcPr>
          <w:p>
            <w:pPr>
              <w:pStyle w:val="12"/>
            </w:pPr>
            <w:r>
              <w:t>58.47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54.83</w:t>
            </w:r>
          </w:p>
        </w:tc>
        <w:tc>
          <w:tcPr>
            <w:tcW w:w="1474" w:type="dxa"/>
            <w:vAlign w:val="center"/>
          </w:tcPr>
          <w:p>
            <w:pPr>
              <w:pStyle w:val="12"/>
            </w:pPr>
            <w:r>
              <w:t>54.83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968.76</w:t>
            </w:r>
          </w:p>
        </w:tc>
        <w:tc>
          <w:tcPr>
            <w:tcW w:w="3402" w:type="dxa"/>
            <w:vAlign w:val="center"/>
          </w:tcPr>
          <w:p>
            <w:pPr>
              <w:pStyle w:val="15"/>
            </w:pPr>
            <w:r>
              <w:t>本年支出合计</w:t>
            </w:r>
          </w:p>
        </w:tc>
        <w:tc>
          <w:tcPr>
            <w:tcW w:w="1474" w:type="dxa"/>
            <w:vAlign w:val="center"/>
          </w:tcPr>
          <w:p>
            <w:pPr>
              <w:pStyle w:val="16"/>
            </w:pPr>
            <w:r>
              <w:t>968.76</w:t>
            </w:r>
          </w:p>
        </w:tc>
        <w:tc>
          <w:tcPr>
            <w:tcW w:w="1474" w:type="dxa"/>
            <w:vAlign w:val="center"/>
          </w:tcPr>
          <w:p>
            <w:pPr>
              <w:pStyle w:val="16"/>
            </w:pPr>
            <w:r>
              <w:t>968.76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968.76</w:t>
            </w:r>
          </w:p>
        </w:tc>
        <w:tc>
          <w:tcPr>
            <w:tcW w:w="3402" w:type="dxa"/>
            <w:vAlign w:val="center"/>
          </w:tcPr>
          <w:p>
            <w:pPr>
              <w:pStyle w:val="15"/>
            </w:pPr>
            <w:r>
              <w:t>支出总计</w:t>
            </w:r>
          </w:p>
        </w:tc>
        <w:tc>
          <w:tcPr>
            <w:tcW w:w="1474" w:type="dxa"/>
            <w:vAlign w:val="center"/>
          </w:tcPr>
          <w:p>
            <w:pPr>
              <w:pStyle w:val="16"/>
            </w:pPr>
            <w:r>
              <w:t>968.76</w:t>
            </w:r>
          </w:p>
        </w:tc>
        <w:tc>
          <w:tcPr>
            <w:tcW w:w="1474" w:type="dxa"/>
            <w:vAlign w:val="center"/>
          </w:tcPr>
          <w:p>
            <w:pPr>
              <w:pStyle w:val="16"/>
            </w:pPr>
            <w:r>
              <w:t>968.76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968.76</w:t>
            </w:r>
          </w:p>
        </w:tc>
        <w:tc>
          <w:tcPr>
            <w:tcW w:w="2551" w:type="dxa"/>
            <w:vAlign w:val="center"/>
          </w:tcPr>
          <w:p>
            <w:pPr>
              <w:pStyle w:val="16"/>
            </w:pPr>
            <w:r>
              <w:t>823.13</w:t>
            </w:r>
          </w:p>
        </w:tc>
        <w:tc>
          <w:tcPr>
            <w:tcW w:w="2551" w:type="dxa"/>
            <w:vAlign w:val="center"/>
          </w:tcPr>
          <w:p>
            <w:pPr>
              <w:pStyle w:val="16"/>
            </w:pPr>
            <w:r>
              <w:t>145.63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759.76</w:t>
            </w:r>
          </w:p>
        </w:tc>
        <w:tc>
          <w:tcPr>
            <w:tcW w:w="2551" w:type="dxa"/>
            <w:vAlign w:val="center"/>
          </w:tcPr>
          <w:p>
            <w:pPr>
              <w:pStyle w:val="12"/>
            </w:pPr>
            <w:r>
              <w:t>614.13</w:t>
            </w:r>
          </w:p>
        </w:tc>
        <w:tc>
          <w:tcPr>
            <w:tcW w:w="2551" w:type="dxa"/>
            <w:vAlign w:val="center"/>
          </w:tcPr>
          <w:p>
            <w:pPr>
              <w:pStyle w:val="12"/>
            </w:pPr>
            <w:r>
              <w:t>145.63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759.76</w:t>
            </w:r>
          </w:p>
        </w:tc>
        <w:tc>
          <w:tcPr>
            <w:tcW w:w="2551" w:type="dxa"/>
            <w:vAlign w:val="center"/>
          </w:tcPr>
          <w:p>
            <w:pPr>
              <w:pStyle w:val="12"/>
            </w:pPr>
            <w:r>
              <w:t>614.13</w:t>
            </w:r>
          </w:p>
        </w:tc>
        <w:tc>
          <w:tcPr>
            <w:tcW w:w="2551" w:type="dxa"/>
            <w:vAlign w:val="center"/>
          </w:tcPr>
          <w:p>
            <w:pPr>
              <w:pStyle w:val="12"/>
            </w:pPr>
            <w:r>
              <w:t>145.63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615.13</w:t>
            </w:r>
          </w:p>
        </w:tc>
        <w:tc>
          <w:tcPr>
            <w:tcW w:w="2551" w:type="dxa"/>
            <w:vAlign w:val="center"/>
          </w:tcPr>
          <w:p>
            <w:pPr>
              <w:pStyle w:val="12"/>
            </w:pPr>
            <w:r>
              <w:t>614.13</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144.63</w:t>
            </w:r>
          </w:p>
        </w:tc>
        <w:tc>
          <w:tcPr>
            <w:tcW w:w="2551" w:type="dxa"/>
            <w:vAlign w:val="center"/>
          </w:tcPr>
          <w:p>
            <w:pPr>
              <w:pStyle w:val="12"/>
            </w:pPr>
          </w:p>
        </w:tc>
        <w:tc>
          <w:tcPr>
            <w:tcW w:w="2551" w:type="dxa"/>
            <w:vAlign w:val="center"/>
          </w:tcPr>
          <w:p>
            <w:pPr>
              <w:pStyle w:val="12"/>
            </w:pPr>
            <w:r>
              <w:t>144.63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95.70</w:t>
            </w:r>
          </w:p>
        </w:tc>
        <w:tc>
          <w:tcPr>
            <w:tcW w:w="2551" w:type="dxa"/>
            <w:vAlign w:val="center"/>
          </w:tcPr>
          <w:p>
            <w:pPr>
              <w:pStyle w:val="12"/>
            </w:pPr>
            <w:r>
              <w:t>95.70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95.70</w:t>
            </w:r>
          </w:p>
        </w:tc>
        <w:tc>
          <w:tcPr>
            <w:tcW w:w="2551" w:type="dxa"/>
            <w:vAlign w:val="center"/>
          </w:tcPr>
          <w:p>
            <w:pPr>
              <w:pStyle w:val="12"/>
            </w:pPr>
            <w:r>
              <w:t>95.70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27.25</w:t>
            </w:r>
          </w:p>
        </w:tc>
        <w:tc>
          <w:tcPr>
            <w:tcW w:w="2551" w:type="dxa"/>
            <w:vAlign w:val="center"/>
          </w:tcPr>
          <w:p>
            <w:pPr>
              <w:pStyle w:val="12"/>
            </w:pPr>
            <w:r>
              <w:t>27.25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68.45</w:t>
            </w:r>
          </w:p>
        </w:tc>
        <w:tc>
          <w:tcPr>
            <w:tcW w:w="2551" w:type="dxa"/>
            <w:vAlign w:val="center"/>
          </w:tcPr>
          <w:p>
            <w:pPr>
              <w:pStyle w:val="12"/>
            </w:pPr>
            <w:r>
              <w:t>68.45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58.47</w:t>
            </w:r>
          </w:p>
        </w:tc>
        <w:tc>
          <w:tcPr>
            <w:tcW w:w="2551" w:type="dxa"/>
            <w:vAlign w:val="center"/>
          </w:tcPr>
          <w:p>
            <w:pPr>
              <w:pStyle w:val="12"/>
            </w:pPr>
            <w:r>
              <w:t>58.47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58.47</w:t>
            </w:r>
          </w:p>
        </w:tc>
        <w:tc>
          <w:tcPr>
            <w:tcW w:w="2551" w:type="dxa"/>
            <w:vAlign w:val="center"/>
          </w:tcPr>
          <w:p>
            <w:pPr>
              <w:pStyle w:val="12"/>
            </w:pPr>
            <w:r>
              <w:t>58.47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25.54</w:t>
            </w:r>
          </w:p>
        </w:tc>
        <w:tc>
          <w:tcPr>
            <w:tcW w:w="2551" w:type="dxa"/>
            <w:vAlign w:val="center"/>
          </w:tcPr>
          <w:p>
            <w:pPr>
              <w:pStyle w:val="12"/>
            </w:pPr>
            <w:r>
              <w:t>25.54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32.93</w:t>
            </w:r>
          </w:p>
        </w:tc>
        <w:tc>
          <w:tcPr>
            <w:tcW w:w="2551" w:type="dxa"/>
            <w:vAlign w:val="center"/>
          </w:tcPr>
          <w:p>
            <w:pPr>
              <w:pStyle w:val="12"/>
            </w:pPr>
            <w:r>
              <w:t>32.93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54.83</w:t>
            </w:r>
          </w:p>
        </w:tc>
        <w:tc>
          <w:tcPr>
            <w:tcW w:w="2551" w:type="dxa"/>
            <w:vAlign w:val="center"/>
          </w:tcPr>
          <w:p>
            <w:pPr>
              <w:pStyle w:val="12"/>
            </w:pPr>
            <w:r>
              <w:t>54.83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54.83</w:t>
            </w:r>
          </w:p>
        </w:tc>
        <w:tc>
          <w:tcPr>
            <w:tcW w:w="2551" w:type="dxa"/>
            <w:vAlign w:val="center"/>
          </w:tcPr>
          <w:p>
            <w:pPr>
              <w:pStyle w:val="12"/>
            </w:pPr>
            <w:r>
              <w:t>54.83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54.83</w:t>
            </w:r>
          </w:p>
        </w:tc>
        <w:tc>
          <w:tcPr>
            <w:tcW w:w="2551" w:type="dxa"/>
            <w:vAlign w:val="center"/>
          </w:tcPr>
          <w:p>
            <w:pPr>
              <w:pStyle w:val="12"/>
            </w:pPr>
            <w:r>
              <w:t>54.83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823.13</w:t>
            </w:r>
          </w:p>
        </w:tc>
        <w:tc>
          <w:tcPr>
            <w:tcW w:w="2551" w:type="dxa"/>
            <w:vAlign w:val="center"/>
          </w:tcPr>
          <w:p>
            <w:pPr>
              <w:pStyle w:val="16"/>
            </w:pPr>
            <w:r>
              <w:t>705.48</w:t>
            </w:r>
          </w:p>
        </w:tc>
        <w:tc>
          <w:tcPr>
            <w:tcW w:w="2551" w:type="dxa"/>
            <w:vAlign w:val="center"/>
          </w:tcPr>
          <w:p>
            <w:pPr>
              <w:pStyle w:val="16"/>
            </w:pPr>
            <w:r>
              <w:t>117.65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679.61</w:t>
            </w:r>
          </w:p>
        </w:tc>
        <w:tc>
          <w:tcPr>
            <w:tcW w:w="2551" w:type="dxa"/>
            <w:vAlign w:val="center"/>
          </w:tcPr>
          <w:p>
            <w:pPr>
              <w:pStyle w:val="12"/>
            </w:pPr>
            <w:r>
              <w:t>679.61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194.16</w:t>
            </w:r>
          </w:p>
        </w:tc>
        <w:tc>
          <w:tcPr>
            <w:tcW w:w="2551" w:type="dxa"/>
            <w:vAlign w:val="center"/>
          </w:tcPr>
          <w:p>
            <w:pPr>
              <w:pStyle w:val="12"/>
            </w:pPr>
            <w:r>
              <w:t>194.16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191.41</w:t>
            </w:r>
          </w:p>
        </w:tc>
        <w:tc>
          <w:tcPr>
            <w:tcW w:w="2551" w:type="dxa"/>
            <w:vAlign w:val="center"/>
          </w:tcPr>
          <w:p>
            <w:pPr>
              <w:pStyle w:val="12"/>
            </w:pPr>
            <w:r>
              <w:t>191.41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98.76</w:t>
            </w:r>
          </w:p>
        </w:tc>
        <w:tc>
          <w:tcPr>
            <w:tcW w:w="2551" w:type="dxa"/>
            <w:vAlign w:val="center"/>
          </w:tcPr>
          <w:p>
            <w:pPr>
              <w:pStyle w:val="12"/>
            </w:pPr>
            <w:r>
              <w:t>98.76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10.93</w:t>
            </w:r>
          </w:p>
        </w:tc>
        <w:tc>
          <w:tcPr>
            <w:tcW w:w="2551" w:type="dxa"/>
            <w:vAlign w:val="center"/>
          </w:tcPr>
          <w:p>
            <w:pPr>
              <w:pStyle w:val="12"/>
            </w:pPr>
            <w:r>
              <w:t>10.93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68.45</w:t>
            </w:r>
          </w:p>
        </w:tc>
        <w:tc>
          <w:tcPr>
            <w:tcW w:w="2551" w:type="dxa"/>
            <w:vAlign w:val="center"/>
          </w:tcPr>
          <w:p>
            <w:pPr>
              <w:pStyle w:val="12"/>
            </w:pPr>
            <w:r>
              <w:t>68.45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25.54</w:t>
            </w:r>
          </w:p>
        </w:tc>
        <w:tc>
          <w:tcPr>
            <w:tcW w:w="2551" w:type="dxa"/>
            <w:vAlign w:val="center"/>
          </w:tcPr>
          <w:p>
            <w:pPr>
              <w:pStyle w:val="12"/>
            </w:pPr>
            <w:r>
              <w:t>25.54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32.93</w:t>
            </w:r>
          </w:p>
        </w:tc>
        <w:tc>
          <w:tcPr>
            <w:tcW w:w="2551" w:type="dxa"/>
            <w:vAlign w:val="center"/>
          </w:tcPr>
          <w:p>
            <w:pPr>
              <w:pStyle w:val="12"/>
            </w:pPr>
            <w:r>
              <w:t>32.93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2.60</w:t>
            </w:r>
          </w:p>
        </w:tc>
        <w:tc>
          <w:tcPr>
            <w:tcW w:w="2551" w:type="dxa"/>
            <w:vAlign w:val="center"/>
          </w:tcPr>
          <w:p>
            <w:pPr>
              <w:pStyle w:val="12"/>
            </w:pPr>
            <w:r>
              <w:t>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54.83</w:t>
            </w:r>
          </w:p>
        </w:tc>
        <w:tc>
          <w:tcPr>
            <w:tcW w:w="2551" w:type="dxa"/>
            <w:vAlign w:val="center"/>
          </w:tcPr>
          <w:p>
            <w:pPr>
              <w:pStyle w:val="12"/>
            </w:pPr>
            <w:r>
              <w:t>54.83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117.65</w:t>
            </w:r>
          </w:p>
        </w:tc>
        <w:tc>
          <w:tcPr>
            <w:tcW w:w="2551" w:type="dxa"/>
            <w:vAlign w:val="center"/>
          </w:tcPr>
          <w:p>
            <w:pPr>
              <w:pStyle w:val="12"/>
            </w:pPr>
          </w:p>
        </w:tc>
        <w:tc>
          <w:tcPr>
            <w:tcW w:w="2551" w:type="dxa"/>
            <w:vAlign w:val="center"/>
          </w:tcPr>
          <w:p>
            <w:pPr>
              <w:pStyle w:val="12"/>
            </w:pPr>
            <w:r>
              <w:t>117.65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46.94</w:t>
            </w:r>
          </w:p>
        </w:tc>
        <w:tc>
          <w:tcPr>
            <w:tcW w:w="2551" w:type="dxa"/>
            <w:vAlign w:val="center"/>
          </w:tcPr>
          <w:p>
            <w:pPr>
              <w:pStyle w:val="12"/>
            </w:pPr>
          </w:p>
        </w:tc>
        <w:tc>
          <w:tcPr>
            <w:tcW w:w="2551" w:type="dxa"/>
            <w:vAlign w:val="center"/>
          </w:tcPr>
          <w:p>
            <w:pPr>
              <w:pStyle w:val="12"/>
            </w:pPr>
            <w:r>
              <w:t>46.94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22.70</w:t>
            </w:r>
          </w:p>
        </w:tc>
        <w:tc>
          <w:tcPr>
            <w:tcW w:w="2551" w:type="dxa"/>
            <w:vAlign w:val="center"/>
          </w:tcPr>
          <w:p>
            <w:pPr>
              <w:pStyle w:val="12"/>
            </w:pPr>
          </w:p>
        </w:tc>
        <w:tc>
          <w:tcPr>
            <w:tcW w:w="2551" w:type="dxa"/>
            <w:vAlign w:val="center"/>
          </w:tcPr>
          <w:p>
            <w:pPr>
              <w:pStyle w:val="12"/>
            </w:pPr>
            <w:r>
              <w:t>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6.89</w:t>
            </w:r>
          </w:p>
        </w:tc>
        <w:tc>
          <w:tcPr>
            <w:tcW w:w="2551" w:type="dxa"/>
            <w:vAlign w:val="center"/>
          </w:tcPr>
          <w:p>
            <w:pPr>
              <w:pStyle w:val="12"/>
            </w:pPr>
          </w:p>
        </w:tc>
        <w:tc>
          <w:tcPr>
            <w:tcW w:w="2551" w:type="dxa"/>
            <w:vAlign w:val="center"/>
          </w:tcPr>
          <w:p>
            <w:pPr>
              <w:pStyle w:val="12"/>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27.89</w:t>
            </w:r>
          </w:p>
        </w:tc>
        <w:tc>
          <w:tcPr>
            <w:tcW w:w="2551" w:type="dxa"/>
            <w:vAlign w:val="center"/>
          </w:tcPr>
          <w:p>
            <w:pPr>
              <w:pStyle w:val="12"/>
            </w:pPr>
          </w:p>
        </w:tc>
        <w:tc>
          <w:tcPr>
            <w:tcW w:w="2551" w:type="dxa"/>
            <w:vAlign w:val="center"/>
          </w:tcPr>
          <w:p>
            <w:pPr>
              <w:pStyle w:val="12"/>
            </w:pPr>
            <w:r>
              <w:t>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1.57</w:t>
            </w:r>
          </w:p>
        </w:tc>
        <w:tc>
          <w:tcPr>
            <w:tcW w:w="2551" w:type="dxa"/>
            <w:vAlign w:val="center"/>
          </w:tcPr>
          <w:p>
            <w:pPr>
              <w:pStyle w:val="12"/>
            </w:pPr>
          </w:p>
        </w:tc>
        <w:tc>
          <w:tcPr>
            <w:tcW w:w="2551" w:type="dxa"/>
            <w:vAlign w:val="center"/>
          </w:tcPr>
          <w:p>
            <w:pPr>
              <w:pStyle w:val="12"/>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25.87</w:t>
            </w:r>
          </w:p>
        </w:tc>
        <w:tc>
          <w:tcPr>
            <w:tcW w:w="2551" w:type="dxa"/>
            <w:vAlign w:val="center"/>
          </w:tcPr>
          <w:p>
            <w:pPr>
              <w:pStyle w:val="12"/>
            </w:pPr>
            <w:r>
              <w:t>25.87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25.68</w:t>
            </w:r>
          </w:p>
        </w:tc>
        <w:tc>
          <w:tcPr>
            <w:tcW w:w="2551" w:type="dxa"/>
            <w:vAlign w:val="center"/>
          </w:tcPr>
          <w:p>
            <w:pPr>
              <w:pStyle w:val="12"/>
            </w:pPr>
            <w:r>
              <w:t>25.68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0.19</w:t>
            </w:r>
          </w:p>
        </w:tc>
        <w:tc>
          <w:tcPr>
            <w:tcW w:w="2551" w:type="dxa"/>
            <w:vAlign w:val="center"/>
          </w:tcPr>
          <w:p>
            <w:pPr>
              <w:pStyle w:val="12"/>
            </w:pPr>
            <w:r>
              <w:t>0.19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222纪律检查委员会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5.00</w:t>
            </w:r>
          </w:p>
        </w:tc>
        <w:tc>
          <w:tcPr>
            <w:tcW w:w="2381" w:type="dxa"/>
            <w:vAlign w:val="center"/>
          </w:tcPr>
          <w:p>
            <w:pPr>
              <w:pStyle w:val="16"/>
            </w:pPr>
            <w: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5.00</w:t>
            </w:r>
          </w:p>
        </w:tc>
        <w:tc>
          <w:tcPr>
            <w:tcW w:w="2381" w:type="dxa"/>
            <w:vAlign w:val="center"/>
          </w:tcPr>
          <w:p>
            <w:pPr>
              <w:pStyle w:val="12"/>
            </w:pPr>
            <w:r>
              <w:t>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纪律检查委员会2024年部门预算信息公开情况说明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按照《中华人民共和国预算法》、《地方预决算公开操作规程》和《关于进一步推进预算公开工作的实施意见》规定，现将纪律检查委员会2024年部门预算公开如下：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维护党纪国法尊严，坚决惩处腐败分子，有效遏制腐败现象。积极发挥职能作用，加强党风廉政建设，营造风清气正、干事创业的工作氛围。巡视监督常态化、全覆盖。加强全区纪检监察系统领导班子、干部队伍和组织建设，打造一支高素质、高水平的纪检监察干部队伍。为案件查办、纪检监察业务、党风廉政建设提高服务和保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中国共产党秦皇岛市北戴河区纪律检查委员会(本级）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按照预算管理有关规定，目前部门预算的编制实行综合预算管理，即全部收入和支出都反映在预算中。纪律检查委员会机关及所属事业单位的收支包含在部门预算中。</w:t>
      </w:r>
    </w:p>
    <w:p>
      <w:pPr>
        <w:pStyle w:val="19"/>
      </w:pPr>
      <w:r>
        <w:t>1、收入说明</w:t>
      </w:r>
    </w:p>
    <w:p>
      <w:pPr>
        <w:pStyle w:val="19"/>
      </w:pPr>
      <w:r>
        <w:t>反映本部门当年全部收入。2024年预算收入968.76万元，其中：一般公共预算收入968.76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纪律检查委员会年度部门预算中支出预算的总体情况。2024年支出预算968.76万元，其中基本支出823.13万元，包括人员经费705.48万元和日常公用经费117.65万元；项目支出145.63万元，主要为办案中心公用取暖费4.50万元，办案中心水电费4.00万元，纪检监察网络运行维护费26.89万元，巡察工作网络运行维护费1.00万元，办案一体化工作平台项目18.00万元，办案中心工作经费29.98万元，提前下达2024年中央政法纪检监察转移支付资金（秦财行[2023]852号）10.00万元，巡察工作经费18.00万元，乡镇纪委、街道纪工委办案经费11.88万元，党风廉政建设宣传经费21.38万元。</w:t>
      </w:r>
    </w:p>
    <w:p>
      <w:pPr>
        <w:pStyle w:val="19"/>
      </w:pPr>
      <w:r>
        <w:t>3、比上年增减情况</w:t>
      </w:r>
    </w:p>
    <w:p>
      <w:pPr>
        <w:pStyle w:val="19"/>
      </w:pPr>
      <w:r>
        <w:t>2024年预算收支安排968.76万元，较2023年预算增加15.96万元，其中：基本支出减少2.04万元，主要为新考入公务员及人员退休基本支出减少2.04万元。项目支出增加18.00万元，主要为新增办案一体化工作平台项目18.00万元。</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机关运行经费共计安排117.65万元，主要用于纪委办公区的办公及印刷费、邮电费、公务用车运行维护费等日常运行支出。其中：办公及印刷费46.94万元、邮电费22.70万元、福利费4.86万元、公务交通补贴27.89万元，租赁费1.80万元，离退休干部经费1.57万元，工会经费6.89万元，公务用车运行维护费以及其他费用5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w:t>
      </w:r>
      <w:r>
        <w:rPr>
          <w:rFonts w:hint="eastAsia"/>
          <w:lang w:eastAsia="zh-CN"/>
        </w:rPr>
        <w:t>单位</w:t>
      </w:r>
      <w:r>
        <w:t>财政拨款“三公”经费预算安排</w:t>
      </w:r>
      <w:r>
        <w:rPr>
          <w:rFonts w:hint="eastAsia"/>
          <w:lang w:val="en-US" w:eastAsia="zh-CN"/>
        </w:rPr>
        <w:t>5</w:t>
      </w:r>
      <w:r>
        <w:t>.00万元，其中因公出国（境）费0.00万元；公务用车购置及运维费</w:t>
      </w:r>
      <w:r>
        <w:rPr>
          <w:rFonts w:hint="eastAsia"/>
          <w:lang w:val="en-US" w:eastAsia="zh-CN"/>
        </w:rPr>
        <w:t>5</w:t>
      </w:r>
      <w:r>
        <w:t>.00万元（其中：公务用车购置费为0.00万元，公务用车运维费</w:t>
      </w:r>
      <w:r>
        <w:rPr>
          <w:rFonts w:hint="eastAsia"/>
          <w:lang w:val="en-US" w:eastAsia="zh-CN"/>
        </w:rPr>
        <w:t>5</w:t>
      </w:r>
      <w:r>
        <w:t>.00万元)；公务接待费0.00万元。与2023年相比增加0.00万元，增减变化的主要原因是落实上级“过紧日子”政策，严控一般性支出，确保“三公”经费只减不增。</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加强监督检查，推动科学发展重大决策部署的贯彻落实；推进行政权力运行监控机制建设，深化源头预防腐败工作；加强党风廉政教育，抓好领导干部廉洁自律工作；加大查办案件力度，维护党纪国法的严肃性；坚决纠正损害群众利益的不正之风，着力解决群众反映强烈的突出问题；完善监督制约机制，促进领导干部正确行使权力；加强基层党风廉政建设，夯实促进社会和谐稳定的基础；细化责任目标，深入推进党风廉政建设责任制落实；适应形势要求，加强纪检监察机关自身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1.加强监督检查，推动科学发展重大决策部署的贯彻落实；推进行政权力运行监控机制建设，深化源头预防腐败工作；</w:t>
      </w:r>
    </w:p>
    <w:p>
      <w:pPr>
        <w:pStyle w:val="23"/>
      </w:pPr>
      <w:r>
        <w:t>绩效目标：维护党纪国法尊严，坚决惩处腐败分子，</w:t>
      </w:r>
    </w:p>
    <w:p>
      <w:pPr>
        <w:pStyle w:val="23"/>
      </w:pPr>
      <w:r>
        <w:t>绩效指标：有效遏制腐败现象。</w:t>
      </w:r>
    </w:p>
    <w:p>
      <w:pPr>
        <w:pStyle w:val="23"/>
      </w:pPr>
      <w:r>
        <w:t>加强党风廉政教育，抓好领导干部廉洁自律工作；</w:t>
      </w:r>
    </w:p>
    <w:p>
      <w:pPr>
        <w:pStyle w:val="23"/>
      </w:pPr>
      <w:r>
        <w:t>绩效目标：加强党风廉政建设</w:t>
      </w:r>
    </w:p>
    <w:p>
      <w:pPr>
        <w:pStyle w:val="23"/>
      </w:pPr>
      <w:r>
        <w:t>绩效指标：营造风清气正，干事创业的工作氛围。</w:t>
      </w:r>
    </w:p>
    <w:p>
      <w:pPr>
        <w:pStyle w:val="23"/>
      </w:pPr>
      <w:r>
        <w:t>2.加大查办案件力度，维护党纪国法的严肃性。</w:t>
      </w:r>
    </w:p>
    <w:p>
      <w:pPr>
        <w:pStyle w:val="23"/>
      </w:pPr>
      <w:r>
        <w:t>绩效目标：坚决纠正损害群众利益的不正之风，着力解决群众反映强烈的突出问题。</w:t>
      </w:r>
    </w:p>
    <w:p>
      <w:pPr>
        <w:pStyle w:val="23"/>
      </w:pPr>
      <w:r>
        <w:t>绩效指标：提高工作创新能力。</w:t>
      </w:r>
    </w:p>
    <w:p>
      <w:pPr>
        <w:pStyle w:val="23"/>
      </w:pPr>
      <w:r>
        <w:t>3.加强基层党风廉政建设，完善监督制约机制。</w:t>
      </w:r>
    </w:p>
    <w:p>
      <w:pPr>
        <w:pStyle w:val="23"/>
      </w:pPr>
      <w:r>
        <w:t>绩效目标：夯实促进社会和谐稳定的基础；</w:t>
      </w:r>
    </w:p>
    <w:p>
      <w:pPr>
        <w:pStyle w:val="23"/>
      </w:pPr>
      <w:r>
        <w:t>绩效指标：促进领导干部正确行使权力；加强领导干部自身建设。</w:t>
      </w:r>
    </w:p>
    <w:p>
      <w:pPr>
        <w:pStyle w:val="23"/>
      </w:pPr>
      <w:r>
        <w:t>4.细化责任目标，深入推进党风廉政建设责任制落实；适应形势要求，加强纪检监察机关自身建设。</w:t>
      </w:r>
    </w:p>
    <w:p>
      <w:pPr>
        <w:pStyle w:val="23"/>
      </w:pPr>
      <w:r>
        <w:t>绩效目标：推进党风廉政建设责任制落实；</w:t>
      </w:r>
    </w:p>
    <w:p>
      <w:pPr>
        <w:pStyle w:val="23"/>
      </w:pPr>
      <w:r>
        <w:t>绩效指标：加强纪检监察机关自身建设。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w:t>
      </w:r>
    </w:p>
    <w:p>
      <w:pPr>
        <w:pStyle w:val="24"/>
      </w:pPr>
      <w:r>
        <w:t>制定并完善预算绩效管理制度、资金管理办法、工作保障制度等，为全年预算绩效目标的实现奠定制度基础。</w:t>
      </w:r>
    </w:p>
    <w:p>
      <w:pPr>
        <w:pStyle w:val="24"/>
      </w:pPr>
      <w:r>
        <w:t>2.加强支出管理</w:t>
      </w:r>
    </w:p>
    <w:p>
      <w:pPr>
        <w:pStyle w:val="24"/>
      </w:pPr>
      <w:r>
        <w:t>通过优化支出结构、编细编实预算、加快履行政府采购手续、尽快启动项目、及时支付资金，确保支出进度达标。</w:t>
      </w:r>
    </w:p>
    <w:p>
      <w:pPr>
        <w:pStyle w:val="24"/>
      </w:pPr>
      <w:r>
        <w:t>3.加强绩效运行监控</w:t>
      </w:r>
    </w:p>
    <w:p>
      <w:pPr>
        <w:pStyle w:val="24"/>
      </w:pPr>
      <w:r>
        <w:t>按要求开展绩效运行监控，发现问题及时采取措施，确保绩效目标如期保质实现。</w:t>
      </w:r>
    </w:p>
    <w:p>
      <w:pPr>
        <w:pStyle w:val="24"/>
      </w:pPr>
      <w:r>
        <w:t>4.做好绩效自评</w:t>
      </w:r>
    </w:p>
    <w:p>
      <w:pPr>
        <w:pStyle w:val="24"/>
      </w:pPr>
      <w:r>
        <w:t>按要求开展上年度部门预算绩效自评和重点评价工作，对评价中发现的问题及时整改，调整优化支出结构，提高财政资金使用效益。</w:t>
      </w:r>
    </w:p>
    <w:p>
      <w:pPr>
        <w:pStyle w:val="24"/>
      </w:pPr>
      <w:r>
        <w:t>5.规范财务资产管理</w:t>
      </w:r>
    </w:p>
    <w:p>
      <w:pPr>
        <w:pStyle w:val="24"/>
      </w:pPr>
      <w:r>
        <w:t>完善财务管理制度，严格审批程序，加强固定资产登记、使用和报废处置管理，做到支出合理，物尽其用。</w:t>
      </w:r>
    </w:p>
    <w:p>
      <w:pPr>
        <w:pStyle w:val="24"/>
      </w:pPr>
      <w:r>
        <w:t>6.加强内部监督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1、办案中心公用取暖费绩效目标表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13030424P00889311067W</w:t>
            </w:r>
          </w:p>
        </w:tc>
        <w:tc>
          <w:tcPr>
            <w:tcW w:w="2835" w:type="dxa"/>
            <w:vAlign w:val="center"/>
          </w:tcPr>
          <w:p>
            <w:pPr>
              <w:pStyle w:val="11"/>
            </w:pPr>
            <w:r>
              <w:t>项目名称</w:t>
            </w:r>
          </w:p>
        </w:tc>
        <w:tc>
          <w:tcPr>
            <w:tcW w:w="6094" w:type="dxa"/>
            <w:gridSpan w:val="3"/>
            <w:vAlign w:val="center"/>
          </w:tcPr>
          <w:p>
            <w:pPr>
              <w:pStyle w:val="13"/>
            </w:pPr>
            <w:r>
              <w:t>办案中心公用取暖费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办案中心取暖费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1.办案中心取暖费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保障供暖面积</w:t>
            </w:r>
          </w:p>
        </w:tc>
        <w:tc>
          <w:tcPr>
            <w:tcW w:w="5386" w:type="dxa"/>
            <w:vAlign w:val="center"/>
          </w:tcPr>
          <w:p>
            <w:pPr>
              <w:pStyle w:val="13"/>
            </w:pPr>
            <w:r>
              <w:t>保障供暖的面积</w:t>
            </w:r>
            <w:r>
              <w:tab/>
            </w:r>
          </w:p>
          <w:p>
            <w:pPr>
              <w:pStyle w:val="13"/>
            </w:pPr>
          </w:p>
        </w:tc>
        <w:tc>
          <w:tcPr>
            <w:tcW w:w="2268" w:type="dxa"/>
            <w:vAlign w:val="center"/>
          </w:tcPr>
          <w:p>
            <w:pPr>
              <w:pStyle w:val="13"/>
            </w:pPr>
            <w:r>
              <w:t>1251.4平方米</w:t>
            </w:r>
          </w:p>
        </w:tc>
        <w:tc>
          <w:tcPr>
            <w:tcW w:w="1276" w:type="dxa"/>
            <w:vAlign w:val="center"/>
          </w:tcPr>
          <w:p>
            <w:pPr>
              <w:pStyle w:val="13"/>
            </w:pPr>
            <w:r>
              <w:t>实际完成值达到计划值的得满分，非正常情况低于或超出计划值的不得分</w:t>
            </w:r>
          </w:p>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供热温度达标率</w:t>
            </w:r>
          </w:p>
        </w:tc>
        <w:tc>
          <w:tcPr>
            <w:tcW w:w="5386" w:type="dxa"/>
            <w:vAlign w:val="center"/>
          </w:tcPr>
          <w:p>
            <w:pPr>
              <w:pStyle w:val="13"/>
            </w:pPr>
            <w:r>
              <w:t>供热温度达标率</w:t>
            </w:r>
            <w:r>
              <w:tab/>
            </w:r>
          </w:p>
          <w:p>
            <w:pPr>
              <w:pStyle w:val="13"/>
            </w:pPr>
          </w:p>
        </w:tc>
        <w:tc>
          <w:tcPr>
            <w:tcW w:w="2268" w:type="dxa"/>
            <w:vAlign w:val="center"/>
          </w:tcPr>
          <w:p>
            <w:pPr>
              <w:pStyle w:val="13"/>
            </w:pPr>
            <w:r>
              <w:t>100%</w:t>
            </w:r>
          </w:p>
        </w:tc>
        <w:tc>
          <w:tcPr>
            <w:tcW w:w="1276" w:type="dxa"/>
            <w:vAlign w:val="center"/>
          </w:tcPr>
          <w:p>
            <w:pPr>
              <w:pStyle w:val="13"/>
            </w:pPr>
            <w:r>
              <w:t>实际达标率达到计划标准值的得满分，未达到的不得分</w:t>
            </w:r>
          </w:p>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供热服务及时率</w:t>
            </w:r>
          </w:p>
        </w:tc>
        <w:tc>
          <w:tcPr>
            <w:tcW w:w="5386" w:type="dxa"/>
            <w:vAlign w:val="center"/>
          </w:tcPr>
          <w:p>
            <w:pPr>
              <w:pStyle w:val="13"/>
            </w:pPr>
            <w:r>
              <w:t>供热服务及时率</w:t>
            </w:r>
            <w:r>
              <w:tab/>
            </w:r>
          </w:p>
          <w:p>
            <w:pPr>
              <w:pStyle w:val="13"/>
            </w:pPr>
          </w:p>
        </w:tc>
        <w:tc>
          <w:tcPr>
            <w:tcW w:w="2268" w:type="dxa"/>
            <w:vAlign w:val="center"/>
          </w:tcPr>
          <w:p>
            <w:pPr>
              <w:pStyle w:val="13"/>
            </w:pPr>
            <w:r>
              <w:t>100%</w:t>
            </w:r>
          </w:p>
        </w:tc>
        <w:tc>
          <w:tcPr>
            <w:tcW w:w="1276" w:type="dxa"/>
            <w:vAlign w:val="center"/>
          </w:tcPr>
          <w:p>
            <w:pPr>
              <w:pStyle w:val="13"/>
            </w:pPr>
            <w:r>
              <w:t>供热服务及时率达到计划标准的得满分，未达到的，每降低1%扣1分，扣完为止</w:t>
            </w:r>
          </w:p>
          <w:p>
            <w:pPr>
              <w:pStyle w:val="13"/>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冬季取暖费每平米费用</w:t>
            </w:r>
          </w:p>
        </w:tc>
        <w:tc>
          <w:tcPr>
            <w:tcW w:w="5386" w:type="dxa"/>
            <w:vAlign w:val="center"/>
          </w:tcPr>
          <w:p>
            <w:pPr>
              <w:pStyle w:val="13"/>
            </w:pPr>
            <w:r>
              <w:t>冬季取暖费每平米的费用</w:t>
            </w:r>
            <w:r>
              <w:tab/>
            </w:r>
          </w:p>
          <w:p>
            <w:pPr>
              <w:pStyle w:val="13"/>
            </w:pPr>
          </w:p>
        </w:tc>
        <w:tc>
          <w:tcPr>
            <w:tcW w:w="2268" w:type="dxa"/>
            <w:vAlign w:val="center"/>
          </w:tcPr>
          <w:p>
            <w:pPr>
              <w:pStyle w:val="13"/>
            </w:pPr>
            <w:r>
              <w:t>≤6.97元/平/月</w:t>
            </w:r>
          </w:p>
        </w:tc>
        <w:tc>
          <w:tcPr>
            <w:tcW w:w="1276" w:type="dxa"/>
            <w:vAlign w:val="center"/>
          </w:tcPr>
          <w:p>
            <w:pPr>
              <w:pStyle w:val="13"/>
            </w:pPr>
            <w:r>
              <w:t>实际成本未超计划标准的得满分，超标准的不得分</w:t>
            </w:r>
          </w:p>
          <w:p>
            <w:pPr>
              <w:pStyle w:val="13"/>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保障日常办公需要求，维持单位正常运转</w:t>
            </w:r>
          </w:p>
        </w:tc>
        <w:tc>
          <w:tcPr>
            <w:tcW w:w="5386" w:type="dxa"/>
            <w:vAlign w:val="center"/>
          </w:tcPr>
          <w:p>
            <w:pPr>
              <w:pStyle w:val="13"/>
            </w:pPr>
            <w:r>
              <w:t>保障日常办公需要，维持单位正常运转</w:t>
            </w:r>
            <w:r>
              <w:tab/>
            </w:r>
            <w:r>
              <w:t>文字描述</w:t>
            </w:r>
          </w:p>
          <w:p>
            <w:pPr>
              <w:pStyle w:val="13"/>
            </w:pPr>
          </w:p>
        </w:tc>
        <w:tc>
          <w:tcPr>
            <w:tcW w:w="2268" w:type="dxa"/>
            <w:vAlign w:val="center"/>
          </w:tcPr>
          <w:p>
            <w:pPr>
              <w:pStyle w:val="13"/>
            </w:pPr>
            <w:r>
              <w:t>保障日常办公需要，维持单位正常运转</w:t>
            </w:r>
          </w:p>
        </w:tc>
        <w:tc>
          <w:tcPr>
            <w:tcW w:w="1276" w:type="dxa"/>
            <w:vAlign w:val="center"/>
          </w:tcPr>
          <w:p>
            <w:pPr>
              <w:pStyle w:val="13"/>
            </w:pPr>
            <w:r>
              <w:t>项目实施达到预期的得满分，无效或效果不明显的不得分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w:t>
            </w:r>
          </w:p>
        </w:tc>
        <w:tc>
          <w:tcPr>
            <w:tcW w:w="2268" w:type="dxa"/>
            <w:vAlign w:val="center"/>
          </w:tcPr>
          <w:p>
            <w:pPr>
              <w:pStyle w:val="13"/>
            </w:pPr>
            <w:r>
              <w:t>≥95%</w:t>
            </w:r>
          </w:p>
        </w:tc>
        <w:tc>
          <w:tcPr>
            <w:tcW w:w="1276" w:type="dxa"/>
            <w:vAlign w:val="center"/>
          </w:tcPr>
          <w:p>
            <w:pPr>
              <w:pStyle w:val="13"/>
            </w:pPr>
            <w:r>
              <w:t>实际满意度达到计划标准的得满分，未达到的，实际满意度每降低1%扣1分，扣完为止</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2、办案中心水电费绩效目标表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13030424P008893110694</w:t>
            </w:r>
          </w:p>
        </w:tc>
        <w:tc>
          <w:tcPr>
            <w:tcW w:w="2835" w:type="dxa"/>
            <w:vAlign w:val="center"/>
          </w:tcPr>
          <w:p>
            <w:pPr>
              <w:pStyle w:val="11"/>
            </w:pPr>
            <w:r>
              <w:t>项目名称</w:t>
            </w:r>
          </w:p>
        </w:tc>
        <w:tc>
          <w:tcPr>
            <w:tcW w:w="6094" w:type="dxa"/>
            <w:gridSpan w:val="3"/>
            <w:vAlign w:val="center"/>
          </w:tcPr>
          <w:p>
            <w:pPr>
              <w:pStyle w:val="13"/>
            </w:pPr>
            <w:r>
              <w:t>办案中心水电费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1.保证水电费支付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消耗水的吨数</w:t>
            </w:r>
          </w:p>
        </w:tc>
        <w:tc>
          <w:tcPr>
            <w:tcW w:w="5386" w:type="dxa"/>
            <w:vAlign w:val="center"/>
          </w:tcPr>
          <w:p>
            <w:pPr>
              <w:pStyle w:val="13"/>
            </w:pPr>
            <w:r>
              <w:t>消耗水的吨数</w:t>
            </w:r>
          </w:p>
        </w:tc>
        <w:tc>
          <w:tcPr>
            <w:tcW w:w="2268" w:type="dxa"/>
            <w:vAlign w:val="center"/>
          </w:tcPr>
          <w:p>
            <w:pPr>
              <w:pStyle w:val="13"/>
            </w:pPr>
            <w:r>
              <w:t>≤1500立方米</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消耗的电费数</w:t>
            </w:r>
          </w:p>
        </w:tc>
        <w:tc>
          <w:tcPr>
            <w:tcW w:w="5386" w:type="dxa"/>
            <w:vAlign w:val="center"/>
          </w:tcPr>
          <w:p>
            <w:pPr>
              <w:pStyle w:val="13"/>
            </w:pPr>
            <w:r>
              <w:t>消耗的电费的度数</w:t>
            </w:r>
          </w:p>
        </w:tc>
        <w:tc>
          <w:tcPr>
            <w:tcW w:w="2268" w:type="dxa"/>
            <w:vAlign w:val="center"/>
          </w:tcPr>
          <w:p>
            <w:pPr>
              <w:pStyle w:val="13"/>
            </w:pPr>
            <w:r>
              <w:t>≤45000度</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办公设备正常运行率</w:t>
            </w:r>
          </w:p>
        </w:tc>
        <w:tc>
          <w:tcPr>
            <w:tcW w:w="5386" w:type="dxa"/>
            <w:vAlign w:val="center"/>
          </w:tcPr>
          <w:p>
            <w:pPr>
              <w:pStyle w:val="13"/>
            </w:pPr>
            <w:r>
              <w:t>办公设备正常运行率</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水电供应及时率</w:t>
            </w:r>
          </w:p>
        </w:tc>
        <w:tc>
          <w:tcPr>
            <w:tcW w:w="5386" w:type="dxa"/>
            <w:vAlign w:val="center"/>
          </w:tcPr>
          <w:p>
            <w:pPr>
              <w:pStyle w:val="13"/>
            </w:pPr>
            <w:r>
              <w:t>水电供应的及时情况</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水费的平均单价</w:t>
            </w:r>
          </w:p>
        </w:tc>
        <w:tc>
          <w:tcPr>
            <w:tcW w:w="5386" w:type="dxa"/>
            <w:vAlign w:val="center"/>
          </w:tcPr>
          <w:p>
            <w:pPr>
              <w:pStyle w:val="13"/>
            </w:pPr>
            <w:r>
              <w:t>水费的平均单价</w:t>
            </w:r>
          </w:p>
        </w:tc>
        <w:tc>
          <w:tcPr>
            <w:tcW w:w="2268" w:type="dxa"/>
            <w:vAlign w:val="center"/>
          </w:tcPr>
          <w:p>
            <w:pPr>
              <w:pStyle w:val="13"/>
            </w:pPr>
            <w:r>
              <w:t>≥7.12元/立方米</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电费的平均单价</w:t>
            </w:r>
          </w:p>
        </w:tc>
        <w:tc>
          <w:tcPr>
            <w:tcW w:w="5386" w:type="dxa"/>
            <w:vAlign w:val="center"/>
          </w:tcPr>
          <w:p>
            <w:pPr>
              <w:pStyle w:val="13"/>
            </w:pPr>
            <w:r>
              <w:t>电费的平均单价</w:t>
            </w:r>
          </w:p>
        </w:tc>
        <w:tc>
          <w:tcPr>
            <w:tcW w:w="2268" w:type="dxa"/>
            <w:vAlign w:val="center"/>
          </w:tcPr>
          <w:p>
            <w:pPr>
              <w:pStyle w:val="13"/>
            </w:pPr>
            <w:r>
              <w:t>≥0.6元/度</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维持单位正常运转</w:t>
            </w:r>
          </w:p>
          <w:p>
            <w:pPr>
              <w:pStyle w:val="13"/>
            </w:pPr>
          </w:p>
        </w:tc>
        <w:tc>
          <w:tcPr>
            <w:tcW w:w="1276" w:type="dxa"/>
            <w:vAlign w:val="center"/>
          </w:tcPr>
          <w:p>
            <w:pPr>
              <w:pStyle w:val="13"/>
            </w:pPr>
            <w:r>
              <w:t xml:space="preserve">冀办发[2017]43 号、北办发[2017]2 </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调查中单位人员对单位环境满意和较满意的人数占调查总人数的比率</w:t>
            </w:r>
          </w:p>
        </w:tc>
        <w:tc>
          <w:tcPr>
            <w:tcW w:w="2268" w:type="dxa"/>
            <w:vAlign w:val="center"/>
          </w:tcPr>
          <w:p>
            <w:pPr>
              <w:pStyle w:val="13"/>
            </w:pPr>
            <w:r>
              <w:t>≥95%</w:t>
            </w:r>
          </w:p>
        </w:tc>
        <w:tc>
          <w:tcPr>
            <w:tcW w:w="1276" w:type="dxa"/>
            <w:vAlign w:val="center"/>
          </w:tcPr>
          <w:p>
            <w:pPr>
              <w:pStyle w:val="13"/>
            </w:pPr>
            <w:r>
              <w:t xml:space="preserve">冀办发[2017]43 号、北办发[2017]2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3、纪检监察网络运行维护费绩效目标表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13030424P00889311065M</w:t>
            </w:r>
          </w:p>
        </w:tc>
        <w:tc>
          <w:tcPr>
            <w:tcW w:w="2835" w:type="dxa"/>
            <w:vAlign w:val="center"/>
          </w:tcPr>
          <w:p>
            <w:pPr>
              <w:pStyle w:val="11"/>
            </w:pPr>
            <w:r>
              <w:t>项目名称</w:t>
            </w:r>
          </w:p>
        </w:tc>
        <w:tc>
          <w:tcPr>
            <w:tcW w:w="6094" w:type="dxa"/>
            <w:gridSpan w:val="3"/>
            <w:vAlign w:val="center"/>
          </w:tcPr>
          <w:p>
            <w:pPr>
              <w:pStyle w:val="13"/>
            </w:pPr>
            <w:r>
              <w:t>纪检监察网络运行维护费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26.89</w:t>
            </w:r>
          </w:p>
        </w:tc>
        <w:tc>
          <w:tcPr>
            <w:tcW w:w="2835" w:type="dxa"/>
            <w:vAlign w:val="center"/>
          </w:tcPr>
          <w:p>
            <w:pPr>
              <w:pStyle w:val="11"/>
            </w:pPr>
            <w:r>
              <w:t>其中：财政    资金</w:t>
            </w:r>
          </w:p>
        </w:tc>
        <w:tc>
          <w:tcPr>
            <w:tcW w:w="2551" w:type="dxa"/>
            <w:vAlign w:val="center"/>
          </w:tcPr>
          <w:p>
            <w:pPr>
              <w:pStyle w:val="13"/>
            </w:pPr>
            <w:r>
              <w:t>26.89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保障设备维修维护。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1.纪检监察内网32台套涉密计算机网络维护、设备维修；2024年办案一体化平台建设网络维护、设备维修；纪检监察数字档案平台设备、设施、系统维护，办案中心网络设备维修维护。</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纪检监察内网涉密计算机网络维护的数量</w:t>
            </w:r>
          </w:p>
        </w:tc>
        <w:tc>
          <w:tcPr>
            <w:tcW w:w="5386" w:type="dxa"/>
            <w:vAlign w:val="center"/>
          </w:tcPr>
          <w:p>
            <w:pPr>
              <w:pStyle w:val="13"/>
            </w:pPr>
            <w:r>
              <w:t>网络维护的数量</w:t>
            </w:r>
          </w:p>
        </w:tc>
        <w:tc>
          <w:tcPr>
            <w:tcW w:w="2268" w:type="dxa"/>
            <w:vAlign w:val="center"/>
          </w:tcPr>
          <w:p>
            <w:pPr>
              <w:pStyle w:val="13"/>
            </w:pPr>
            <w:r>
              <w:t>≥32台</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办案一体化平台建设网络维护数量</w:t>
            </w:r>
          </w:p>
        </w:tc>
        <w:tc>
          <w:tcPr>
            <w:tcW w:w="5386" w:type="dxa"/>
            <w:vAlign w:val="center"/>
          </w:tcPr>
          <w:p>
            <w:pPr>
              <w:pStyle w:val="13"/>
            </w:pPr>
            <w:r>
              <w:t>网络维护数量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纪检监察数字档案平台数量</w:t>
            </w:r>
          </w:p>
        </w:tc>
        <w:tc>
          <w:tcPr>
            <w:tcW w:w="5386" w:type="dxa"/>
            <w:vAlign w:val="center"/>
          </w:tcPr>
          <w:p>
            <w:pPr>
              <w:pStyle w:val="13"/>
            </w:pPr>
            <w:r>
              <w:t>纪检监察数字档案平台数量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办案中心网络的数量</w:t>
            </w:r>
          </w:p>
        </w:tc>
        <w:tc>
          <w:tcPr>
            <w:tcW w:w="5386" w:type="dxa"/>
            <w:vAlign w:val="center"/>
          </w:tcPr>
          <w:p>
            <w:pPr>
              <w:pStyle w:val="13"/>
            </w:pPr>
            <w:r>
              <w:t>办案中心网络的数量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维护的合格率</w:t>
            </w:r>
          </w:p>
        </w:tc>
        <w:tc>
          <w:tcPr>
            <w:tcW w:w="5386" w:type="dxa"/>
            <w:vAlign w:val="center"/>
          </w:tcPr>
          <w:p>
            <w:pPr>
              <w:pStyle w:val="13"/>
            </w:pPr>
            <w:r>
              <w:t>维护的合格率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维护的及时率</w:t>
            </w:r>
          </w:p>
        </w:tc>
        <w:tc>
          <w:tcPr>
            <w:tcW w:w="5386" w:type="dxa"/>
            <w:vAlign w:val="center"/>
          </w:tcPr>
          <w:p>
            <w:pPr>
              <w:pStyle w:val="13"/>
            </w:pPr>
            <w:r>
              <w:t>维护的及时率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全年支出不超过预算审批额度</w:t>
            </w:r>
          </w:p>
        </w:tc>
        <w:tc>
          <w:tcPr>
            <w:tcW w:w="2268" w:type="dxa"/>
            <w:vAlign w:val="center"/>
          </w:tcPr>
          <w:p>
            <w:pPr>
              <w:pStyle w:val="13"/>
            </w:pPr>
            <w:r>
              <w:t>≤26.98万元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保障网络的安全运行，工作正常运转</w:t>
            </w:r>
          </w:p>
        </w:tc>
        <w:tc>
          <w:tcPr>
            <w:tcW w:w="5386" w:type="dxa"/>
            <w:vAlign w:val="center"/>
          </w:tcPr>
          <w:p>
            <w:pPr>
              <w:pStyle w:val="13"/>
            </w:pPr>
            <w:r>
              <w:t>保障网络的安全运行，工作正常运转</w:t>
            </w:r>
          </w:p>
        </w:tc>
        <w:tc>
          <w:tcPr>
            <w:tcW w:w="2268" w:type="dxa"/>
            <w:vAlign w:val="center"/>
          </w:tcPr>
          <w:p>
            <w:pPr>
              <w:pStyle w:val="13"/>
            </w:pPr>
            <w:r>
              <w:t>保障网络运行</w:t>
            </w:r>
          </w:p>
        </w:tc>
        <w:tc>
          <w:tcPr>
            <w:tcW w:w="1276" w:type="dxa"/>
            <w:vAlign w:val="center"/>
          </w:tcPr>
          <w:p>
            <w:pPr>
              <w:pStyle w:val="13"/>
            </w:pPr>
            <w:r>
              <w:t>《中央纪委国家监委信息化工作规划 (2018-2022年)》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《中央纪委国家监委信息化工作规划 (2018-2022年)》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4、巡察工作网络运行维护费绩效目标表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13030424P00889311228K</w:t>
            </w:r>
          </w:p>
        </w:tc>
        <w:tc>
          <w:tcPr>
            <w:tcW w:w="2835" w:type="dxa"/>
            <w:vAlign w:val="center"/>
          </w:tcPr>
          <w:p>
            <w:pPr>
              <w:pStyle w:val="11"/>
            </w:pPr>
            <w:r>
              <w:t>项目名称</w:t>
            </w:r>
          </w:p>
        </w:tc>
        <w:tc>
          <w:tcPr>
            <w:tcW w:w="6094" w:type="dxa"/>
            <w:gridSpan w:val="3"/>
            <w:vAlign w:val="center"/>
          </w:tcPr>
          <w:p>
            <w:pPr>
              <w:pStyle w:val="13"/>
            </w:pPr>
            <w:r>
              <w:t>巡察工作网络运行维护费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巡察工作网络运行费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1.保障巡查工作网络运行的正常运行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维护网络的数量</w:t>
            </w:r>
          </w:p>
        </w:tc>
        <w:tc>
          <w:tcPr>
            <w:tcW w:w="5386" w:type="dxa"/>
            <w:vAlign w:val="center"/>
          </w:tcPr>
          <w:p>
            <w:pPr>
              <w:pStyle w:val="13"/>
            </w:pPr>
            <w:r>
              <w:t>维护网络的数量</w:t>
            </w:r>
          </w:p>
        </w:tc>
        <w:tc>
          <w:tcPr>
            <w:tcW w:w="2268" w:type="dxa"/>
            <w:vAlign w:val="center"/>
          </w:tcPr>
          <w:p>
            <w:pPr>
              <w:pStyle w:val="13"/>
            </w:pPr>
            <w:r>
              <w:t>1个</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维护巡察工作网络的合格率</w:t>
            </w:r>
          </w:p>
        </w:tc>
        <w:tc>
          <w:tcPr>
            <w:tcW w:w="5386" w:type="dxa"/>
            <w:vAlign w:val="center"/>
          </w:tcPr>
          <w:p>
            <w:pPr>
              <w:pStyle w:val="13"/>
            </w:pPr>
            <w:r>
              <w:t>维护巡察工作网络的合格率</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维护巡查工作网站的及时率</w:t>
            </w:r>
          </w:p>
        </w:tc>
        <w:tc>
          <w:tcPr>
            <w:tcW w:w="5386" w:type="dxa"/>
            <w:vAlign w:val="center"/>
          </w:tcPr>
          <w:p>
            <w:pPr>
              <w:pStyle w:val="13"/>
            </w:pPr>
            <w:r>
              <w:t>维护巡查工作网站的及时率</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维护巡查网站的成本</w:t>
            </w:r>
          </w:p>
        </w:tc>
        <w:tc>
          <w:tcPr>
            <w:tcW w:w="5386" w:type="dxa"/>
            <w:vAlign w:val="center"/>
          </w:tcPr>
          <w:p>
            <w:pPr>
              <w:pStyle w:val="13"/>
            </w:pPr>
            <w:r>
              <w:t>维护巡查网站的成本</w:t>
            </w:r>
          </w:p>
        </w:tc>
        <w:tc>
          <w:tcPr>
            <w:tcW w:w="2268" w:type="dxa"/>
            <w:vAlign w:val="center"/>
          </w:tcPr>
          <w:p>
            <w:pPr>
              <w:pStyle w:val="13"/>
            </w:pPr>
            <w:r>
              <w:t>1万元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保障网络的正常运行，工作的正常运转</w:t>
            </w:r>
          </w:p>
        </w:tc>
        <w:tc>
          <w:tcPr>
            <w:tcW w:w="5386" w:type="dxa"/>
            <w:vAlign w:val="center"/>
          </w:tcPr>
          <w:p>
            <w:pPr>
              <w:pStyle w:val="13"/>
            </w:pPr>
            <w:r>
              <w:t>保障网络的正常运行，工作的正常运转</w:t>
            </w:r>
          </w:p>
        </w:tc>
        <w:tc>
          <w:tcPr>
            <w:tcW w:w="2268" w:type="dxa"/>
            <w:vAlign w:val="center"/>
          </w:tcPr>
          <w:p>
            <w:pPr>
              <w:pStyle w:val="13"/>
            </w:pPr>
            <w:r>
              <w:t>保障工作的正常运转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5、办案一体化工作平台项目绩效目标表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13030424P00889411345F</w:t>
            </w:r>
          </w:p>
        </w:tc>
        <w:tc>
          <w:tcPr>
            <w:tcW w:w="2835" w:type="dxa"/>
            <w:vAlign w:val="center"/>
          </w:tcPr>
          <w:p>
            <w:pPr>
              <w:pStyle w:val="11"/>
            </w:pPr>
            <w:r>
              <w:t>项目名称</w:t>
            </w:r>
          </w:p>
        </w:tc>
        <w:tc>
          <w:tcPr>
            <w:tcW w:w="6094" w:type="dxa"/>
            <w:gridSpan w:val="3"/>
            <w:vAlign w:val="center"/>
          </w:tcPr>
          <w:p>
            <w:pPr>
              <w:pStyle w:val="13"/>
            </w:pPr>
            <w:r>
              <w:t>办案一体化工作平台项目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办案一体化工作平台项目经费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1.完成办案一体化平台建设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建设办案一体化平台的数量</w:t>
            </w:r>
          </w:p>
        </w:tc>
        <w:tc>
          <w:tcPr>
            <w:tcW w:w="5386" w:type="dxa"/>
            <w:vAlign w:val="center"/>
          </w:tcPr>
          <w:p>
            <w:pPr>
              <w:pStyle w:val="13"/>
            </w:pPr>
            <w:r>
              <w:t>建设办案一体化平台的数量</w:t>
            </w:r>
          </w:p>
        </w:tc>
        <w:tc>
          <w:tcPr>
            <w:tcW w:w="2268" w:type="dxa"/>
            <w:vAlign w:val="center"/>
          </w:tcPr>
          <w:p>
            <w:pPr>
              <w:pStyle w:val="13"/>
            </w:pPr>
            <w:r>
              <w:t>1个</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平台验收合格率</w:t>
            </w:r>
          </w:p>
        </w:tc>
        <w:tc>
          <w:tcPr>
            <w:tcW w:w="5386" w:type="dxa"/>
            <w:vAlign w:val="center"/>
          </w:tcPr>
          <w:p>
            <w:pPr>
              <w:pStyle w:val="13"/>
            </w:pPr>
            <w:r>
              <w:t>平台验收合格率</w:t>
            </w:r>
          </w:p>
        </w:tc>
        <w:tc>
          <w:tcPr>
            <w:tcW w:w="2268" w:type="dxa"/>
            <w:vAlign w:val="center"/>
          </w:tcPr>
          <w:p>
            <w:pPr>
              <w:pStyle w:val="13"/>
            </w:pPr>
            <w:r>
              <w:t>≥95%</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平台建设完成的及时率</w:t>
            </w:r>
          </w:p>
        </w:tc>
        <w:tc>
          <w:tcPr>
            <w:tcW w:w="5386" w:type="dxa"/>
            <w:vAlign w:val="center"/>
          </w:tcPr>
          <w:p>
            <w:pPr>
              <w:pStyle w:val="13"/>
            </w:pPr>
            <w:r>
              <w:t>平台建设完成的及时率</w:t>
            </w:r>
          </w:p>
        </w:tc>
        <w:tc>
          <w:tcPr>
            <w:tcW w:w="2268" w:type="dxa"/>
            <w:vAlign w:val="center"/>
          </w:tcPr>
          <w:p>
            <w:pPr>
              <w:pStyle w:val="13"/>
            </w:pPr>
            <w:r>
              <w:t>≥95%</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平台建设的总成本</w:t>
            </w:r>
          </w:p>
        </w:tc>
        <w:tc>
          <w:tcPr>
            <w:tcW w:w="5386" w:type="dxa"/>
            <w:vAlign w:val="center"/>
          </w:tcPr>
          <w:p>
            <w:pPr>
              <w:pStyle w:val="13"/>
            </w:pPr>
            <w:r>
              <w:t>平台建设的总成本</w:t>
            </w:r>
          </w:p>
        </w:tc>
        <w:tc>
          <w:tcPr>
            <w:tcW w:w="2268" w:type="dxa"/>
            <w:vAlign w:val="center"/>
          </w:tcPr>
          <w:p>
            <w:pPr>
              <w:pStyle w:val="13"/>
            </w:pPr>
            <w:r>
              <w:t>≤18万元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提升办案的效率以及数字监管力</w:t>
            </w:r>
          </w:p>
        </w:tc>
        <w:tc>
          <w:tcPr>
            <w:tcW w:w="5386" w:type="dxa"/>
            <w:vAlign w:val="center"/>
          </w:tcPr>
          <w:p>
            <w:pPr>
              <w:pStyle w:val="13"/>
            </w:pPr>
            <w:r>
              <w:t>提升办案的效率以及数字监管力</w:t>
            </w:r>
          </w:p>
        </w:tc>
        <w:tc>
          <w:tcPr>
            <w:tcW w:w="2268" w:type="dxa"/>
            <w:vAlign w:val="center"/>
          </w:tcPr>
          <w:p>
            <w:pPr>
              <w:pStyle w:val="13"/>
            </w:pPr>
            <w:r>
              <w:t>比上一年提升</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6、办案中心工作经费绩效目标表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13030424P00889411162R</w:t>
            </w:r>
          </w:p>
        </w:tc>
        <w:tc>
          <w:tcPr>
            <w:tcW w:w="2835" w:type="dxa"/>
            <w:vAlign w:val="center"/>
          </w:tcPr>
          <w:p>
            <w:pPr>
              <w:pStyle w:val="11"/>
            </w:pPr>
            <w:r>
              <w:t>项目名称</w:t>
            </w:r>
          </w:p>
        </w:tc>
        <w:tc>
          <w:tcPr>
            <w:tcW w:w="6094" w:type="dxa"/>
            <w:gridSpan w:val="3"/>
            <w:vAlign w:val="center"/>
          </w:tcPr>
          <w:p>
            <w:pPr>
              <w:pStyle w:val="13"/>
            </w:pPr>
            <w:r>
              <w:t>办案中心工作经费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29.98</w:t>
            </w:r>
          </w:p>
        </w:tc>
        <w:tc>
          <w:tcPr>
            <w:tcW w:w="2835" w:type="dxa"/>
            <w:vAlign w:val="center"/>
          </w:tcPr>
          <w:p>
            <w:pPr>
              <w:pStyle w:val="11"/>
            </w:pPr>
            <w:r>
              <w:t>其中：财政    资金</w:t>
            </w:r>
          </w:p>
        </w:tc>
        <w:tc>
          <w:tcPr>
            <w:tcW w:w="2551" w:type="dxa"/>
            <w:vAlign w:val="center"/>
          </w:tcPr>
          <w:p>
            <w:pPr>
              <w:pStyle w:val="13"/>
            </w:pPr>
            <w:r>
              <w:t>29.98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办案中心安保费、办案中心工作运转经费。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1.保障办案中心工作的正常运转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维护网络的数量</w:t>
            </w:r>
          </w:p>
        </w:tc>
        <w:tc>
          <w:tcPr>
            <w:tcW w:w="5386" w:type="dxa"/>
            <w:vAlign w:val="center"/>
          </w:tcPr>
          <w:p>
            <w:pPr>
              <w:pStyle w:val="13"/>
            </w:pPr>
            <w:r>
              <w:t>维护网络的数量</w:t>
            </w:r>
          </w:p>
        </w:tc>
        <w:tc>
          <w:tcPr>
            <w:tcW w:w="2268" w:type="dxa"/>
            <w:vAlign w:val="center"/>
          </w:tcPr>
          <w:p>
            <w:pPr>
              <w:pStyle w:val="13"/>
            </w:pPr>
            <w:r>
              <w:t>≥1个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保障经费的人数</w:t>
            </w:r>
          </w:p>
        </w:tc>
        <w:tc>
          <w:tcPr>
            <w:tcW w:w="5386" w:type="dxa"/>
            <w:vAlign w:val="center"/>
          </w:tcPr>
          <w:p>
            <w:pPr>
              <w:pStyle w:val="13"/>
            </w:pPr>
            <w:r>
              <w:t>各项日常工作保障人数</w:t>
            </w:r>
          </w:p>
        </w:tc>
        <w:tc>
          <w:tcPr>
            <w:tcW w:w="2268" w:type="dxa"/>
            <w:vAlign w:val="center"/>
          </w:tcPr>
          <w:p>
            <w:pPr>
              <w:pStyle w:val="13"/>
            </w:pPr>
            <w:r>
              <w:t>≤43人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维护办案中心工作网络的合格率</w:t>
            </w:r>
          </w:p>
        </w:tc>
        <w:tc>
          <w:tcPr>
            <w:tcW w:w="5386" w:type="dxa"/>
            <w:vAlign w:val="center"/>
          </w:tcPr>
          <w:p>
            <w:pPr>
              <w:pStyle w:val="13"/>
            </w:pPr>
            <w:r>
              <w:t>维护办案中心工作网络的合格率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及时保障各项日常办公需要</w:t>
            </w:r>
          </w:p>
        </w:tc>
        <w:tc>
          <w:tcPr>
            <w:tcW w:w="2268" w:type="dxa"/>
            <w:vAlign w:val="center"/>
          </w:tcPr>
          <w:p>
            <w:pPr>
              <w:pStyle w:val="13"/>
            </w:pPr>
            <w:r>
              <w:t>及时保障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办案中心安保费用</w:t>
            </w:r>
          </w:p>
        </w:tc>
        <w:tc>
          <w:tcPr>
            <w:tcW w:w="5386" w:type="dxa"/>
            <w:vAlign w:val="center"/>
          </w:tcPr>
          <w:p>
            <w:pPr>
              <w:pStyle w:val="13"/>
            </w:pPr>
            <w:r>
              <w:t>办案中心安保费用</w:t>
            </w:r>
          </w:p>
        </w:tc>
        <w:tc>
          <w:tcPr>
            <w:tcW w:w="2268" w:type="dxa"/>
            <w:vAlign w:val="center"/>
          </w:tcPr>
          <w:p>
            <w:pPr>
              <w:pStyle w:val="13"/>
            </w:pPr>
            <w:r>
              <w:t>≤12.5万元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办案中心办公费、办案工作设备设施维护等费用</w:t>
            </w:r>
          </w:p>
        </w:tc>
        <w:tc>
          <w:tcPr>
            <w:tcW w:w="5386" w:type="dxa"/>
            <w:vAlign w:val="center"/>
          </w:tcPr>
          <w:p>
            <w:pPr>
              <w:pStyle w:val="13"/>
            </w:pPr>
            <w:r>
              <w:t>办案中心办案工作费用</w:t>
            </w:r>
          </w:p>
        </w:tc>
        <w:tc>
          <w:tcPr>
            <w:tcW w:w="2268" w:type="dxa"/>
            <w:vAlign w:val="center"/>
          </w:tcPr>
          <w:p>
            <w:pPr>
              <w:pStyle w:val="13"/>
            </w:pPr>
            <w:r>
              <w:t>≤17.48万元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保障网络的正常运行，工作的正常运转</w:t>
            </w:r>
          </w:p>
        </w:tc>
        <w:tc>
          <w:tcPr>
            <w:tcW w:w="5386" w:type="dxa"/>
            <w:vAlign w:val="center"/>
          </w:tcPr>
          <w:p>
            <w:pPr>
              <w:pStyle w:val="13"/>
            </w:pPr>
            <w:r>
              <w:t>保障网络的正常运行，工作的正常运转</w:t>
            </w:r>
          </w:p>
        </w:tc>
        <w:tc>
          <w:tcPr>
            <w:tcW w:w="2268" w:type="dxa"/>
            <w:vAlign w:val="center"/>
          </w:tcPr>
          <w:p>
            <w:pPr>
              <w:pStyle w:val="13"/>
            </w:pPr>
            <w:r>
              <w:t>保障工作的正常运转</w:t>
            </w:r>
          </w:p>
        </w:tc>
        <w:tc>
          <w:tcPr>
            <w:tcW w:w="1276" w:type="dxa"/>
            <w:vAlign w:val="center"/>
          </w:tcPr>
          <w:p>
            <w:pPr>
              <w:pStyle w:val="13"/>
            </w:pPr>
            <w:r>
              <w:t>冀办发[2017]43号、北办发[2017]2号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冀办发[2017]43号、北办发[2017]2号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7、党风廉政建设宣传经费绩效目标表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13030424P00889411366T</w:t>
            </w:r>
          </w:p>
        </w:tc>
        <w:tc>
          <w:tcPr>
            <w:tcW w:w="2835" w:type="dxa"/>
            <w:vAlign w:val="center"/>
          </w:tcPr>
          <w:p>
            <w:pPr>
              <w:pStyle w:val="11"/>
            </w:pPr>
            <w:r>
              <w:t>项目名称</w:t>
            </w:r>
          </w:p>
        </w:tc>
        <w:tc>
          <w:tcPr>
            <w:tcW w:w="6094" w:type="dxa"/>
            <w:gridSpan w:val="3"/>
            <w:vAlign w:val="center"/>
          </w:tcPr>
          <w:p>
            <w:pPr>
              <w:pStyle w:val="13"/>
            </w:pPr>
            <w:r>
              <w:t>党风廉政建设宣传经费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21.38</w:t>
            </w:r>
          </w:p>
        </w:tc>
        <w:tc>
          <w:tcPr>
            <w:tcW w:w="2835" w:type="dxa"/>
            <w:vAlign w:val="center"/>
          </w:tcPr>
          <w:p>
            <w:pPr>
              <w:pStyle w:val="11"/>
            </w:pPr>
            <w:r>
              <w:t>其中：财政    资金</w:t>
            </w:r>
          </w:p>
        </w:tc>
        <w:tc>
          <w:tcPr>
            <w:tcW w:w="2551" w:type="dxa"/>
            <w:vAlign w:val="center"/>
          </w:tcPr>
          <w:p>
            <w:pPr>
              <w:pStyle w:val="13"/>
            </w:pPr>
            <w:r>
              <w:t>21.38</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用于党风廉政建设宣传工作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1.组织协调全区党风廉政建设和反腐败宣传教育工作，开展对党员、公务员的廉洁自律教育。开展政策理论及重大课题等调查研究工作</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培训参与率</w:t>
            </w:r>
          </w:p>
        </w:tc>
        <w:tc>
          <w:tcPr>
            <w:tcW w:w="5386" w:type="dxa"/>
            <w:vAlign w:val="center"/>
          </w:tcPr>
          <w:p>
            <w:pPr>
              <w:pStyle w:val="13"/>
            </w:pPr>
            <w:r>
              <w:t>实际参加培训人数占培训计划人数的比例</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培训合格的学员数量占培训总学员数量的比率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党风廉政建设宣传经费</w:t>
            </w:r>
          </w:p>
        </w:tc>
        <w:tc>
          <w:tcPr>
            <w:tcW w:w="5386" w:type="dxa"/>
            <w:vAlign w:val="center"/>
          </w:tcPr>
          <w:p>
            <w:pPr>
              <w:pStyle w:val="13"/>
            </w:pPr>
            <w:r>
              <w:t>不超过预算成本</w:t>
            </w:r>
          </w:p>
        </w:tc>
        <w:tc>
          <w:tcPr>
            <w:tcW w:w="2268" w:type="dxa"/>
            <w:vAlign w:val="center"/>
          </w:tcPr>
          <w:p>
            <w:pPr>
              <w:pStyle w:val="13"/>
            </w:pPr>
            <w:r>
              <w:t>21.38万元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通过宣传、教育、培训等进一步扩大影响，降低案件发生</w:t>
            </w:r>
          </w:p>
        </w:tc>
        <w:tc>
          <w:tcPr>
            <w:tcW w:w="5386" w:type="dxa"/>
            <w:vAlign w:val="center"/>
          </w:tcPr>
          <w:p>
            <w:pPr>
              <w:pStyle w:val="13"/>
            </w:pPr>
            <w:r>
              <w:t>通过宣传、教育、培训等进一步扩大影响，降低案件发生</w:t>
            </w:r>
          </w:p>
        </w:tc>
        <w:tc>
          <w:tcPr>
            <w:tcW w:w="2268" w:type="dxa"/>
            <w:vAlign w:val="center"/>
          </w:tcPr>
          <w:p>
            <w:pPr>
              <w:pStyle w:val="13"/>
            </w:pPr>
            <w:r>
              <w:t>进一步扩大影响</w:t>
            </w:r>
          </w:p>
        </w:tc>
        <w:tc>
          <w:tcPr>
            <w:tcW w:w="1276" w:type="dxa"/>
            <w:vAlign w:val="center"/>
          </w:tcPr>
          <w:p>
            <w:pPr>
              <w:pStyle w:val="13"/>
            </w:pPr>
            <w:r>
              <w:t>01743 号文件关于印发《河北省深化监察体制改革试点工作方案》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上级部门及群众满意程度</w:t>
            </w:r>
          </w:p>
        </w:tc>
        <w:tc>
          <w:tcPr>
            <w:tcW w:w="2268" w:type="dxa"/>
            <w:vAlign w:val="center"/>
          </w:tcPr>
          <w:p>
            <w:pPr>
              <w:pStyle w:val="13"/>
            </w:pPr>
            <w:r>
              <w:t>≥95%</w:t>
            </w:r>
          </w:p>
        </w:tc>
        <w:tc>
          <w:tcPr>
            <w:tcW w:w="1276" w:type="dxa"/>
            <w:vAlign w:val="center"/>
          </w:tcPr>
          <w:p>
            <w:pPr>
              <w:pStyle w:val="13"/>
            </w:pPr>
            <w:r>
              <w:t>01743 号文件关于印发《河北省深化监察体制改革试点工作方案》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8、提前下达2024年中央政法纪检监察转移支付资金（秦财行[2023]852号）绩效目标表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13030424P00891210142H</w:t>
            </w:r>
          </w:p>
        </w:tc>
        <w:tc>
          <w:tcPr>
            <w:tcW w:w="2835" w:type="dxa"/>
            <w:vAlign w:val="center"/>
          </w:tcPr>
          <w:p>
            <w:pPr>
              <w:pStyle w:val="11"/>
            </w:pPr>
            <w:r>
              <w:t>项目名称</w:t>
            </w:r>
          </w:p>
        </w:tc>
        <w:tc>
          <w:tcPr>
            <w:tcW w:w="6094" w:type="dxa"/>
            <w:gridSpan w:val="3"/>
            <w:vAlign w:val="center"/>
          </w:tcPr>
          <w:p>
            <w:pPr>
              <w:pStyle w:val="13"/>
            </w:pPr>
            <w:r>
              <w:t>提前下达2024年中央政法纪检监察转移支付资金（秦财行[2023]852号）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纪检监察办案等工作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1.完成工作既定任务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案件办理率</w:t>
            </w:r>
          </w:p>
        </w:tc>
        <w:tc>
          <w:tcPr>
            <w:tcW w:w="5386" w:type="dxa"/>
            <w:vAlign w:val="center"/>
          </w:tcPr>
          <w:p>
            <w:pPr>
              <w:pStyle w:val="13"/>
            </w:pPr>
            <w:r>
              <w:t>符合条件的案件全部办理</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结案审核通过率</w:t>
            </w:r>
          </w:p>
        </w:tc>
        <w:tc>
          <w:tcPr>
            <w:tcW w:w="5386" w:type="dxa"/>
            <w:vAlign w:val="center"/>
          </w:tcPr>
          <w:p>
            <w:pPr>
              <w:pStyle w:val="13"/>
            </w:pPr>
            <w:r>
              <w:t>结案审核通过率</w:t>
            </w:r>
          </w:p>
        </w:tc>
        <w:tc>
          <w:tcPr>
            <w:tcW w:w="2268" w:type="dxa"/>
            <w:vAlign w:val="center"/>
          </w:tcPr>
          <w:p>
            <w:pPr>
              <w:pStyle w:val="13"/>
            </w:pPr>
            <w:r>
              <w:t>≥95%</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案件查处完成及时</w:t>
            </w:r>
          </w:p>
        </w:tc>
        <w:tc>
          <w:tcPr>
            <w:tcW w:w="5386" w:type="dxa"/>
            <w:vAlign w:val="center"/>
          </w:tcPr>
          <w:p>
            <w:pPr>
              <w:pStyle w:val="13"/>
            </w:pPr>
            <w:r>
              <w:t>案件完成进度</w:t>
            </w:r>
          </w:p>
        </w:tc>
        <w:tc>
          <w:tcPr>
            <w:tcW w:w="2268" w:type="dxa"/>
            <w:vAlign w:val="center"/>
          </w:tcPr>
          <w:p>
            <w:pPr>
              <w:pStyle w:val="13"/>
            </w:pPr>
            <w:r>
              <w:t>≥95%</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项目总支出金额</w:t>
            </w:r>
          </w:p>
        </w:tc>
        <w:tc>
          <w:tcPr>
            <w:tcW w:w="5386" w:type="dxa"/>
            <w:vAlign w:val="center"/>
          </w:tcPr>
          <w:p>
            <w:pPr>
              <w:pStyle w:val="13"/>
            </w:pPr>
            <w:r>
              <w:t>项目总支出金额</w:t>
            </w:r>
          </w:p>
        </w:tc>
        <w:tc>
          <w:tcPr>
            <w:tcW w:w="2268" w:type="dxa"/>
            <w:vAlign w:val="center"/>
          </w:tcPr>
          <w:p>
            <w:pPr>
              <w:pStyle w:val="13"/>
            </w:pPr>
            <w:r>
              <w:t>≤11.88万元</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通过宣传、监督检查等进一步扩大影响，降低案件发生</w:t>
            </w:r>
          </w:p>
        </w:tc>
        <w:tc>
          <w:tcPr>
            <w:tcW w:w="5386" w:type="dxa"/>
            <w:vAlign w:val="center"/>
          </w:tcPr>
          <w:p>
            <w:pPr>
              <w:pStyle w:val="13"/>
            </w:pPr>
            <w:r>
              <w:t>通过宣传、监督检查等进一步扩大影响，降低案件发生</w:t>
            </w:r>
          </w:p>
        </w:tc>
        <w:tc>
          <w:tcPr>
            <w:tcW w:w="2268" w:type="dxa"/>
            <w:vAlign w:val="center"/>
          </w:tcPr>
          <w:p>
            <w:pPr>
              <w:pStyle w:val="13"/>
            </w:pPr>
            <w:r>
              <w:t>进一步扩大影响</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上级部门及群众满意程度</w:t>
            </w:r>
          </w:p>
        </w:tc>
        <w:tc>
          <w:tcPr>
            <w:tcW w:w="5386" w:type="dxa"/>
            <w:vAlign w:val="center"/>
          </w:tcPr>
          <w:p>
            <w:pPr>
              <w:pStyle w:val="13"/>
            </w:pPr>
            <w:r>
              <w:t>上级部门及群众满意程度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9、乡镇纪委、街道纪工委办案经费绩效目标表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13030424P00889411163D</w:t>
            </w:r>
          </w:p>
        </w:tc>
        <w:tc>
          <w:tcPr>
            <w:tcW w:w="2835" w:type="dxa"/>
            <w:vAlign w:val="center"/>
          </w:tcPr>
          <w:p>
            <w:pPr>
              <w:pStyle w:val="11"/>
            </w:pPr>
            <w:r>
              <w:t>项目名称</w:t>
            </w:r>
          </w:p>
        </w:tc>
        <w:tc>
          <w:tcPr>
            <w:tcW w:w="6094" w:type="dxa"/>
            <w:gridSpan w:val="3"/>
            <w:vAlign w:val="center"/>
          </w:tcPr>
          <w:p>
            <w:pPr>
              <w:pStyle w:val="13"/>
            </w:pPr>
            <w:r>
              <w:t>乡镇纪委、街道纪工委办案经费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11.88</w:t>
            </w:r>
          </w:p>
        </w:tc>
        <w:tc>
          <w:tcPr>
            <w:tcW w:w="2835" w:type="dxa"/>
            <w:vAlign w:val="center"/>
          </w:tcPr>
          <w:p>
            <w:pPr>
              <w:pStyle w:val="11"/>
            </w:pPr>
            <w:r>
              <w:t>其中：财政    资金</w:t>
            </w:r>
          </w:p>
        </w:tc>
        <w:tc>
          <w:tcPr>
            <w:tcW w:w="2551" w:type="dxa"/>
            <w:vAlign w:val="center"/>
          </w:tcPr>
          <w:p>
            <w:pPr>
              <w:pStyle w:val="13"/>
            </w:pPr>
            <w:r>
              <w:t>11.88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镇、街纪委办案经费。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1.保障五个镇街纪委的办案经费，健全完善乡镇纪检组织，积极推进乡镇纪检干部日常管理。</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案件办理率</w:t>
            </w:r>
          </w:p>
        </w:tc>
        <w:tc>
          <w:tcPr>
            <w:tcW w:w="5386" w:type="dxa"/>
            <w:vAlign w:val="center"/>
          </w:tcPr>
          <w:p>
            <w:pPr>
              <w:pStyle w:val="13"/>
            </w:pPr>
            <w:r>
              <w:t>符合条件的案件全部办理</w:t>
            </w:r>
          </w:p>
        </w:tc>
        <w:tc>
          <w:tcPr>
            <w:tcW w:w="2268" w:type="dxa"/>
            <w:vAlign w:val="center"/>
          </w:tcPr>
          <w:p>
            <w:pPr>
              <w:pStyle w:val="13"/>
            </w:pPr>
            <w:r>
              <w:t>≥100%</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结案审核通过率</w:t>
            </w:r>
          </w:p>
        </w:tc>
        <w:tc>
          <w:tcPr>
            <w:tcW w:w="5386" w:type="dxa"/>
            <w:vAlign w:val="center"/>
          </w:tcPr>
          <w:p>
            <w:pPr>
              <w:pStyle w:val="13"/>
            </w:pPr>
            <w:r>
              <w:t>结案审核通过率</w:t>
            </w:r>
          </w:p>
        </w:tc>
        <w:tc>
          <w:tcPr>
            <w:tcW w:w="2268" w:type="dxa"/>
            <w:vAlign w:val="center"/>
          </w:tcPr>
          <w:p>
            <w:pPr>
              <w:pStyle w:val="13"/>
            </w:pPr>
            <w:r>
              <w:t>≥95%</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案件查处完成及时</w:t>
            </w:r>
          </w:p>
        </w:tc>
        <w:tc>
          <w:tcPr>
            <w:tcW w:w="5386" w:type="dxa"/>
            <w:vAlign w:val="center"/>
          </w:tcPr>
          <w:p>
            <w:pPr>
              <w:pStyle w:val="13"/>
            </w:pPr>
            <w:r>
              <w:t>案件完成进度</w:t>
            </w:r>
          </w:p>
        </w:tc>
        <w:tc>
          <w:tcPr>
            <w:tcW w:w="2268" w:type="dxa"/>
            <w:vAlign w:val="center"/>
          </w:tcPr>
          <w:p>
            <w:pPr>
              <w:pStyle w:val="13"/>
            </w:pPr>
            <w:r>
              <w:t>≥95%</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项目总支出金额</w:t>
            </w:r>
          </w:p>
        </w:tc>
        <w:tc>
          <w:tcPr>
            <w:tcW w:w="5386" w:type="dxa"/>
            <w:vAlign w:val="center"/>
          </w:tcPr>
          <w:p>
            <w:pPr>
              <w:pStyle w:val="13"/>
            </w:pPr>
            <w:r>
              <w:t>项目总支出金额</w:t>
            </w:r>
          </w:p>
        </w:tc>
        <w:tc>
          <w:tcPr>
            <w:tcW w:w="2268" w:type="dxa"/>
            <w:vAlign w:val="center"/>
          </w:tcPr>
          <w:p>
            <w:pPr>
              <w:pStyle w:val="13"/>
            </w:pPr>
            <w:r>
              <w:t>≤11.88万元</w:t>
            </w:r>
          </w:p>
        </w:tc>
        <w:tc>
          <w:tcPr>
            <w:tcW w:w="1276" w:type="dxa"/>
            <w:vAlign w:val="center"/>
          </w:tcPr>
          <w:p>
            <w:pPr>
              <w:pStyle w:val="13"/>
            </w:pPr>
            <w:r>
              <w:t>冀办发[2016]53号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通过宣传、监督检查等进一步扩大影响，降低案件发生</w:t>
            </w:r>
          </w:p>
        </w:tc>
        <w:tc>
          <w:tcPr>
            <w:tcW w:w="5386" w:type="dxa"/>
            <w:vAlign w:val="center"/>
          </w:tcPr>
          <w:p>
            <w:pPr>
              <w:pStyle w:val="13"/>
            </w:pPr>
            <w:r>
              <w:t>通过宣传、监督检查等进一步扩大影响，降低案件发生</w:t>
            </w:r>
          </w:p>
        </w:tc>
        <w:tc>
          <w:tcPr>
            <w:tcW w:w="2268" w:type="dxa"/>
            <w:vAlign w:val="center"/>
          </w:tcPr>
          <w:p>
            <w:pPr>
              <w:pStyle w:val="13"/>
            </w:pPr>
            <w:r>
              <w:t>进一步扩大影响</w:t>
            </w:r>
          </w:p>
        </w:tc>
        <w:tc>
          <w:tcPr>
            <w:tcW w:w="1276" w:type="dxa"/>
            <w:vAlign w:val="center"/>
          </w:tcPr>
          <w:p>
            <w:pPr>
              <w:pStyle w:val="13"/>
            </w:pPr>
            <w:r>
              <w:t>冀办发[2016]53号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上级部门及群众满意程度</w:t>
            </w:r>
          </w:p>
        </w:tc>
        <w:tc>
          <w:tcPr>
            <w:tcW w:w="5386" w:type="dxa"/>
            <w:vAlign w:val="center"/>
          </w:tcPr>
          <w:p>
            <w:pPr>
              <w:pStyle w:val="13"/>
            </w:pPr>
            <w:r>
              <w:t>上级部门及群众满意程度</w:t>
            </w:r>
          </w:p>
        </w:tc>
        <w:tc>
          <w:tcPr>
            <w:tcW w:w="2268" w:type="dxa"/>
            <w:vAlign w:val="center"/>
          </w:tcPr>
          <w:p>
            <w:pPr>
              <w:pStyle w:val="13"/>
            </w:pPr>
            <w:r>
              <w:t>≥95%</w:t>
            </w:r>
          </w:p>
        </w:tc>
        <w:tc>
          <w:tcPr>
            <w:tcW w:w="1276" w:type="dxa"/>
            <w:vAlign w:val="center"/>
          </w:tcPr>
          <w:p>
            <w:pPr>
              <w:pStyle w:val="13"/>
            </w:pPr>
            <w:r>
              <w:t>冀办发[2016]53号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10、巡察工作经费绩效目标表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13030424P008894111641</w:t>
            </w:r>
          </w:p>
        </w:tc>
        <w:tc>
          <w:tcPr>
            <w:tcW w:w="2835" w:type="dxa"/>
            <w:vAlign w:val="center"/>
          </w:tcPr>
          <w:p>
            <w:pPr>
              <w:pStyle w:val="11"/>
            </w:pPr>
            <w:r>
              <w:t>项目名称</w:t>
            </w:r>
          </w:p>
        </w:tc>
        <w:tc>
          <w:tcPr>
            <w:tcW w:w="6094" w:type="dxa"/>
            <w:gridSpan w:val="3"/>
            <w:vAlign w:val="center"/>
          </w:tcPr>
          <w:p>
            <w:pPr>
              <w:pStyle w:val="13"/>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用于巡察工作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1.深化县级纪检监察机构改革，加强巡察监督。</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巡查的次数</w:t>
            </w:r>
          </w:p>
        </w:tc>
        <w:tc>
          <w:tcPr>
            <w:tcW w:w="5386" w:type="dxa"/>
            <w:vAlign w:val="center"/>
          </w:tcPr>
          <w:p>
            <w:pPr>
              <w:pStyle w:val="13"/>
            </w:pPr>
            <w:r>
              <w:t>巡查的次数</w:t>
            </w:r>
          </w:p>
        </w:tc>
        <w:tc>
          <w:tcPr>
            <w:tcW w:w="2268" w:type="dxa"/>
            <w:vAlign w:val="center"/>
          </w:tcPr>
          <w:p>
            <w:pPr>
              <w:pStyle w:val="13"/>
            </w:pPr>
            <w:r>
              <w:t>≥3轮</w:t>
            </w:r>
          </w:p>
        </w:tc>
        <w:tc>
          <w:tcPr>
            <w:tcW w:w="1276" w:type="dxa"/>
            <w:vAlign w:val="center"/>
          </w:tcPr>
          <w:p>
            <w:pPr>
              <w:pStyle w:val="13"/>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巡查覆盖率</w:t>
            </w:r>
          </w:p>
        </w:tc>
        <w:tc>
          <w:tcPr>
            <w:tcW w:w="5386" w:type="dxa"/>
            <w:vAlign w:val="center"/>
          </w:tcPr>
          <w:p>
            <w:pPr>
              <w:pStyle w:val="13"/>
            </w:pPr>
            <w:r>
              <w:t>已巡察单位数量占应巡察单位数量比率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综合巡察业务管理工作完成成本</w:t>
            </w:r>
          </w:p>
        </w:tc>
        <w:tc>
          <w:tcPr>
            <w:tcW w:w="5386" w:type="dxa"/>
            <w:vAlign w:val="center"/>
          </w:tcPr>
          <w:p>
            <w:pPr>
              <w:pStyle w:val="13"/>
            </w:pPr>
            <w:r>
              <w:t>综合巡察业务管理工作完成成本</w:t>
            </w:r>
          </w:p>
        </w:tc>
        <w:tc>
          <w:tcPr>
            <w:tcW w:w="2268" w:type="dxa"/>
            <w:vAlign w:val="center"/>
          </w:tcPr>
          <w:p>
            <w:pPr>
              <w:pStyle w:val="13"/>
            </w:pPr>
            <w:r>
              <w:t>≤18万元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深化县 级纪检监察机构改革，加强巡察监督</w:t>
            </w:r>
          </w:p>
        </w:tc>
        <w:tc>
          <w:tcPr>
            <w:tcW w:w="5386" w:type="dxa"/>
            <w:vAlign w:val="center"/>
          </w:tcPr>
          <w:p>
            <w:pPr>
              <w:pStyle w:val="13"/>
            </w:pPr>
            <w:r>
              <w:t>深化县 级纪检监察机构改革，加强巡察监督</w:t>
            </w:r>
          </w:p>
        </w:tc>
        <w:tc>
          <w:tcPr>
            <w:tcW w:w="2268" w:type="dxa"/>
            <w:vAlign w:val="center"/>
          </w:tcPr>
          <w:p>
            <w:pPr>
              <w:pStyle w:val="13"/>
            </w:pPr>
            <w:r>
              <w:t>比上一年提升</w:t>
            </w:r>
          </w:p>
        </w:tc>
        <w:tc>
          <w:tcPr>
            <w:tcW w:w="1276" w:type="dxa"/>
            <w:vAlign w:val="center"/>
          </w:tcPr>
          <w:p>
            <w:pPr>
              <w:pStyle w:val="13"/>
            </w:pPr>
            <w:r>
              <w:t>冀监改发[ 2017] 1号文件、秦巡办[2017] 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上级部门及群众满意程度</w:t>
            </w:r>
          </w:p>
        </w:tc>
        <w:tc>
          <w:tcPr>
            <w:tcW w:w="5386" w:type="dxa"/>
            <w:vAlign w:val="center"/>
          </w:tcPr>
          <w:p>
            <w:pPr>
              <w:pStyle w:val="13"/>
            </w:pPr>
            <w:r>
              <w:t>上级部门及群众满意程度</w:t>
            </w:r>
          </w:p>
        </w:tc>
        <w:tc>
          <w:tcPr>
            <w:tcW w:w="2268" w:type="dxa"/>
            <w:vAlign w:val="center"/>
          </w:tcPr>
          <w:p>
            <w:pPr>
              <w:pStyle w:val="13"/>
            </w:pPr>
            <w:r>
              <w:t>≥95%</w:t>
            </w:r>
          </w:p>
        </w:tc>
        <w:tc>
          <w:tcPr>
            <w:tcW w:w="1276" w:type="dxa"/>
            <w:vAlign w:val="center"/>
          </w:tcPr>
          <w:p>
            <w:pPr>
              <w:pStyle w:val="13"/>
            </w:pPr>
            <w:r>
              <w:t>冀监改发[ 2017] 1号文件、秦巡办[2017] 46号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222纪律检查委员会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纪律检查委员会（含所属单位）上年末固定资产金额为413.59万元（详见下表）。本年度拟购置固定资产总额为0.00万元，已按要求列入政府采购预算，详见政府采购预算表。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222纪律检查委员会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121.24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579</w:t>
            </w:r>
          </w:p>
        </w:tc>
        <w:tc>
          <w:tcPr>
            <w:tcW w:w="2835" w:type="dxa"/>
            <w:vAlign w:val="center"/>
          </w:tcPr>
          <w:p>
            <w:pPr>
              <w:pStyle w:val="12"/>
            </w:pPr>
            <w:r>
              <w:t>292.35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0708C"/>
    <w:multiLevelType w:val="singleLevel"/>
    <w:tmpl w:val="ACB0708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MxNGM2Y2M3NzQ5MWU0MDYyNmNmYTNlNzRmODYyNTgifQ=="/>
  </w:docVars>
  <w:rsids>
    <w:rsidRoot w:val="00000000"/>
    <w:rsid w:val="0CEC3773"/>
    <w:rsid w:val="1BAA7669"/>
    <w:rsid w:val="3EC96948"/>
    <w:rsid w:val="4FA803B0"/>
    <w:rsid w:val="73B6597F"/>
    <w:rsid w:val="77402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2024-02-02T09:21:19Z</dcterms:created>
  <dcterms:modified xsi:type="dcterms:W3CDTF">2024-02-02T01:21:19Z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2024-02-02T09:21:21Z</dcterms:created>
  <dcterms:modified xsi:type="dcterms:W3CDTF">2024-02-02T01:21:21Z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2024-02-02T09:21:21Z</dcterms:created>
  <dcterms:modified xsi:type="dcterms:W3CDTF">2024-02-02T01:21:21Z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2024-02-02T09:21:21Z</dcterms:created>
  <dcterms:modified xsi:type="dcterms:W3CDTF">2024-02-02T01:21:21Z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2024-02-02T09:21:21Z</dcterms:created>
  <dcterms:modified xsi:type="dcterms:W3CDTF">2024-02-02T01:21:21Z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2024-02-02T09:21:20Z</dcterms:created>
  <dcterms:modified xsi:type="dcterms:W3CDTF">2024-02-02T01:21:20Z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2024-02-02T09:21:20Z</dcterms:created>
  <dcterms:modified xsi:type="dcterms:W3CDTF">2024-02-02T01:21:20Z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2024-02-02T09:21:20Z</dcterms:created>
  <dcterms:modified xsi:type="dcterms:W3CDTF">2024-02-02T01:21:20Z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2024-02-02T09:21:20Z</dcterms:created>
  <dcterms:modified xsi:type="dcterms:W3CDTF">2024-02-02T01:21:20Z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2024-02-02T09:21:14Z</dcterms:created>
  <dcterms:modified xsi:type="dcterms:W3CDTF">2024-02-02T01:21:14Z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2024-02-02T09:21:19Z</dcterms:created>
  <dcterms:modified xsi:type="dcterms:W3CDTF">2024-02-02T01:21:19Z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2024-02-02T09:21:19Z</dcterms:created>
  <dcterms:modified xsi:type="dcterms:W3CDTF">2024-02-02T01:21:19Z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2024-02-02T09:21:19Z</dcterms:created>
  <dcterms:modified xsi:type="dcterms:W3CDTF">2024-02-02T01:21:19Z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2024-02-02T09:21:22Z</dcterms:created>
  <dcterms:modified xsi:type="dcterms:W3CDTF">2024-02-02T01:21:22Z</dcterms:modified>
</cp:coreProperties>
</file>

<file path=customXml/itemProps1.xml><?xml version="1.0" encoding="utf-8"?>
<ds:datastoreItem xmlns:ds="http://schemas.openxmlformats.org/officeDocument/2006/customXml" ds:itemID="{20062d8b-5ec0-4b5c-bd99-53a1b8a3cffe}">
  <ds:schemaRefs/>
</ds:datastoreItem>
</file>

<file path=customXml/itemProps10.xml><?xml version="1.0" encoding="utf-8"?>
<ds:datastoreItem xmlns:ds="http://schemas.openxmlformats.org/officeDocument/2006/customXml" ds:itemID="{c514f49f-7076-4e1a-9d7d-e00903e1530a}">
  <ds:schemaRefs/>
</ds:datastoreItem>
</file>

<file path=customXml/itemProps11.xml><?xml version="1.0" encoding="utf-8"?>
<ds:datastoreItem xmlns:ds="http://schemas.openxmlformats.org/officeDocument/2006/customXml" ds:itemID="{6736151c-27ce-4ae4-93f2-213764ba32f6}">
  <ds:schemaRefs/>
</ds:datastoreItem>
</file>

<file path=customXml/itemProps12.xml><?xml version="1.0" encoding="utf-8"?>
<ds:datastoreItem xmlns:ds="http://schemas.openxmlformats.org/officeDocument/2006/customXml" ds:itemID="{1fa82e1d-b5d3-434a-925c-5cea009706f1}">
  <ds:schemaRefs/>
</ds:datastoreItem>
</file>

<file path=customXml/itemProps13.xml><?xml version="1.0" encoding="utf-8"?>
<ds:datastoreItem xmlns:ds="http://schemas.openxmlformats.org/officeDocument/2006/customXml" ds:itemID="{99de56bf-a002-4275-9e44-2b9b419c750c}">
  <ds:schemaRefs/>
</ds:datastoreItem>
</file>

<file path=customXml/itemProps14.xml><?xml version="1.0" encoding="utf-8"?>
<ds:datastoreItem xmlns:ds="http://schemas.openxmlformats.org/officeDocument/2006/customXml" ds:itemID="{4f666363-95b3-4318-8c59-dd27311e9e64}">
  <ds:schemaRefs/>
</ds:datastoreItem>
</file>

<file path=customXml/itemProps15.xml><?xml version="1.0" encoding="utf-8"?>
<ds:datastoreItem xmlns:ds="http://schemas.openxmlformats.org/officeDocument/2006/customXml" ds:itemID="{78155380-528e-423a-927c-113a90d49b94}">
  <ds:schemaRefs/>
</ds:datastoreItem>
</file>

<file path=customXml/itemProps16.xml><?xml version="1.0" encoding="utf-8"?>
<ds:datastoreItem xmlns:ds="http://schemas.openxmlformats.org/officeDocument/2006/customXml" ds:itemID="{c3e71447-0533-4ad1-81f6-98ddc8538f41}">
  <ds:schemaRefs/>
</ds:datastoreItem>
</file>

<file path=customXml/itemProps17.xml><?xml version="1.0" encoding="utf-8"?>
<ds:datastoreItem xmlns:ds="http://schemas.openxmlformats.org/officeDocument/2006/customXml" ds:itemID="{3bed9ba0-e61b-490c-91fa-006bbcb27201}">
  <ds:schemaRefs/>
</ds:datastoreItem>
</file>

<file path=customXml/itemProps18.xml><?xml version="1.0" encoding="utf-8"?>
<ds:datastoreItem xmlns:ds="http://schemas.openxmlformats.org/officeDocument/2006/customXml" ds:itemID="{e12be9e9-a7ae-46d8-8ad8-38b25a426335}">
  <ds:schemaRefs/>
</ds:datastoreItem>
</file>

<file path=customXml/itemProps19.xml><?xml version="1.0" encoding="utf-8"?>
<ds:datastoreItem xmlns:ds="http://schemas.openxmlformats.org/officeDocument/2006/customXml" ds:itemID="{cd98e694-ccca-4e06-abcb-347363ddcc4a}">
  <ds:schemaRefs/>
</ds:datastoreItem>
</file>

<file path=customXml/itemProps2.xml><?xml version="1.0" encoding="utf-8"?>
<ds:datastoreItem xmlns:ds="http://schemas.openxmlformats.org/officeDocument/2006/customXml" ds:itemID="{75ed52a3-5206-4b17-85d4-46166d4a422d}">
  <ds:schemaRefs/>
</ds:datastoreItem>
</file>

<file path=customXml/itemProps20.xml><?xml version="1.0" encoding="utf-8"?>
<ds:datastoreItem xmlns:ds="http://schemas.openxmlformats.org/officeDocument/2006/customXml" ds:itemID="{2695c7b0-48f7-4e53-9ed7-88661bad3f1f}">
  <ds:schemaRefs/>
</ds:datastoreItem>
</file>

<file path=customXml/itemProps21.xml><?xml version="1.0" encoding="utf-8"?>
<ds:datastoreItem xmlns:ds="http://schemas.openxmlformats.org/officeDocument/2006/customXml" ds:itemID="{fd983371-fe3b-48ad-98b3-8c8afe161f18}">
  <ds:schemaRefs/>
</ds:datastoreItem>
</file>

<file path=customXml/itemProps22.xml><?xml version="1.0" encoding="utf-8"?>
<ds:datastoreItem xmlns:ds="http://schemas.openxmlformats.org/officeDocument/2006/customXml" ds:itemID="{5da2507c-3825-4fa5-b236-2afdef3461e9}">
  <ds:schemaRefs/>
</ds:datastoreItem>
</file>

<file path=customXml/itemProps23.xml><?xml version="1.0" encoding="utf-8"?>
<ds:datastoreItem xmlns:ds="http://schemas.openxmlformats.org/officeDocument/2006/customXml" ds:itemID="{2e739ffc-39e3-43b5-92e3-4a647ca14251}">
  <ds:schemaRefs/>
</ds:datastoreItem>
</file>

<file path=customXml/itemProps24.xml><?xml version="1.0" encoding="utf-8"?>
<ds:datastoreItem xmlns:ds="http://schemas.openxmlformats.org/officeDocument/2006/customXml" ds:itemID="{7ab7b934-2dcd-4a79-ab06-4b78d1e622f2}">
  <ds:schemaRefs/>
</ds:datastoreItem>
</file>

<file path=customXml/itemProps25.xml><?xml version="1.0" encoding="utf-8"?>
<ds:datastoreItem xmlns:ds="http://schemas.openxmlformats.org/officeDocument/2006/customXml" ds:itemID="{549c113c-281b-4af7-a767-ebf48af03a31}">
  <ds:schemaRefs/>
</ds:datastoreItem>
</file>

<file path=customXml/itemProps26.xml><?xml version="1.0" encoding="utf-8"?>
<ds:datastoreItem xmlns:ds="http://schemas.openxmlformats.org/officeDocument/2006/customXml" ds:itemID="{1e038fda-2c2e-4ed1-a288-866fc9780c16}">
  <ds:schemaRefs/>
</ds:datastoreItem>
</file>

<file path=customXml/itemProps27.xml><?xml version="1.0" encoding="utf-8"?>
<ds:datastoreItem xmlns:ds="http://schemas.openxmlformats.org/officeDocument/2006/customXml" ds:itemID="{edb562fb-3e57-4d64-8a48-6448efe989ba}">
  <ds:schemaRefs/>
</ds:datastoreItem>
</file>

<file path=customXml/itemProps28.xml><?xml version="1.0" encoding="utf-8"?>
<ds:datastoreItem xmlns:ds="http://schemas.openxmlformats.org/officeDocument/2006/customXml" ds:itemID="{0aaa84d3-d7b4-4870-8342-4bd89440711b}">
  <ds:schemaRefs/>
</ds:datastoreItem>
</file>

<file path=customXml/itemProps3.xml><?xml version="1.0" encoding="utf-8"?>
<ds:datastoreItem xmlns:ds="http://schemas.openxmlformats.org/officeDocument/2006/customXml" ds:itemID="{1682b636-85a0-44be-be4b-3e5bcccd91ff}">
  <ds:schemaRefs/>
</ds:datastoreItem>
</file>

<file path=customXml/itemProps4.xml><?xml version="1.0" encoding="utf-8"?>
<ds:datastoreItem xmlns:ds="http://schemas.openxmlformats.org/officeDocument/2006/customXml" ds:itemID="{53c4ab7e-4db5-4df8-b9d9-6c40e00814fc}">
  <ds:schemaRefs/>
</ds:datastoreItem>
</file>

<file path=customXml/itemProps5.xml><?xml version="1.0" encoding="utf-8"?>
<ds:datastoreItem xmlns:ds="http://schemas.openxmlformats.org/officeDocument/2006/customXml" ds:itemID="{f02dfb01-1640-4146-a9b0-5d58a55360c7}">
  <ds:schemaRefs/>
</ds:datastoreItem>
</file>

<file path=customXml/itemProps6.xml><?xml version="1.0" encoding="utf-8"?>
<ds:datastoreItem xmlns:ds="http://schemas.openxmlformats.org/officeDocument/2006/customXml" ds:itemID="{4886b79a-830d-4be1-9eb7-de16ad6de1cd}">
  <ds:schemaRefs/>
</ds:datastoreItem>
</file>

<file path=customXml/itemProps7.xml><?xml version="1.0" encoding="utf-8"?>
<ds:datastoreItem xmlns:ds="http://schemas.openxmlformats.org/officeDocument/2006/customXml" ds:itemID="{6e57c72e-d4a6-4710-a4e0-8a1523fc3992}">
  <ds:schemaRefs/>
</ds:datastoreItem>
</file>

<file path=customXml/itemProps8.xml><?xml version="1.0" encoding="utf-8"?>
<ds:datastoreItem xmlns:ds="http://schemas.openxmlformats.org/officeDocument/2006/customXml" ds:itemID="{f9bc451d-8dc6-4772-be45-d96adebb3797}">
  <ds:schemaRefs/>
</ds:datastoreItem>
</file>

<file path=customXml/itemProps9.xml><?xml version="1.0" encoding="utf-8"?>
<ds:datastoreItem xmlns:ds="http://schemas.openxmlformats.org/officeDocument/2006/customXml" ds:itemID="{b88b149a-84fb-4d8d-8ce3-50e12e83c3a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2024-02-02T09:21:00Z</dcterms:created>
  <dc:creator>Administrator</dc:creator>
  <cp:lastModifiedBy>Administrator</cp:lastModifiedBy>
  <dcterms:modified xsi:type="dcterms:W3CDTF">2024-02-04T07:30:46Z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42DA7D1A7B5F4B659F007F77C14637AC_12</vt:lpwstr>
  </property>
</Properties>
</file>