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土地经营权登记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不动产登记，由不动产所在地的登记机构办理。国家对不动产实行统一登记制度。统一登记的范围、登记机构和登记办法，由法律、行政法规规定。第三百四十一条</w:t>
            </w:r>
            <w:r>
              <w:rPr>
                <w:rFonts w:ascii="仿宋_GB2312" w:eastAsia="仿宋_GB2312" w:cs="仿宋_GB2312"/>
                <w:kern w:val="0"/>
                <w:sz w:val="18"/>
                <w:szCs w:val="18"/>
              </w:rPr>
              <w:t>：流转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期限为5年以上</w:t>
            </w:r>
            <w:r>
              <w:rPr>
                <w:rFonts w:ascii="仿宋_GB2312" w:eastAsia="仿宋_GB2312" w:cs="仿宋_GB2312"/>
                <w:kern w:val="0"/>
                <w:sz w:val="18"/>
                <w:szCs w:val="18"/>
              </w:rPr>
              <w:t>的土地经营权，自流转合同生效时设立，当事人可以向登记机构申请土地经营权登记，未经登记，不得对抗善意第三人；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2、《不动产登记暂行条例》第四条 国家实行不动产统一登记制度。第五条 下列不动产权利，依照本条例的规定办理登记：（十）法律规定需要登记的其他不动产权利；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5个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并核发不动产权证书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1、不动产登记申请书及询问表；2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申请人身份证明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，代为申请登记的，还应提交法人授权委托书、代理人身份证等身份证明材料；3、</w:t>
            </w:r>
            <w:r>
              <w:rPr>
                <w:rFonts w:ascii="仿宋" w:hAnsi="仿宋" w:eastAsia="仿宋"/>
                <w:sz w:val="18"/>
                <w:szCs w:val="18"/>
              </w:rPr>
              <w:t>以招标、拍卖、公开协商等方式取得的，提交土地承包合同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；4、</w:t>
            </w:r>
            <w:r>
              <w:rPr>
                <w:rFonts w:ascii="仿宋" w:hAnsi="仿宋" w:eastAsia="仿宋"/>
                <w:sz w:val="18"/>
                <w:szCs w:val="18"/>
              </w:rPr>
              <w:t>以出租（转包）、入股或者其他方式流转土地经营权的，提交《不动产权证书》或者土地承包经营权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凭证</w:t>
            </w:r>
            <w:r>
              <w:rPr>
                <w:rFonts w:ascii="仿宋" w:hAnsi="仿宋" w:eastAsia="仿宋"/>
                <w:sz w:val="18"/>
                <w:szCs w:val="18"/>
              </w:rPr>
              <w:t>和土地经营权流转合同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；5</w:t>
            </w:r>
            <w:r>
              <w:rPr>
                <w:rFonts w:hint="eastAsia" w:ascii="仿宋" w:hAnsi="仿宋" w:eastAsia="仿宋"/>
                <w:color w:val="000000"/>
                <w:spacing w:val="-12"/>
                <w:sz w:val="18"/>
                <w:szCs w:val="18"/>
              </w:rPr>
              <w:t>权籍调查表、宗地图、宗地界址点坐标等不动产权籍调查成果</w:t>
            </w:r>
            <w:r>
              <w:rPr>
                <w:rFonts w:hint="eastAsia" w:ascii="仿宋_GB2312" w:eastAsia="仿宋_GB2312"/>
                <w:color w:val="000000"/>
                <w:spacing w:val="-12"/>
              </w:rPr>
              <w:t>;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7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  <w:p>
            <w:pPr>
              <w:spacing w:line="240" w:lineRule="exact"/>
              <w:rPr>
                <w:rFonts w:ascii="黑体" w:eastAsia="黑体" w:cs="黑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134" w:right="1797" w:bottom="96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512B"/>
    <w:rsid w:val="00146D75"/>
    <w:rsid w:val="0015565C"/>
    <w:rsid w:val="00166EAD"/>
    <w:rsid w:val="00233C39"/>
    <w:rsid w:val="002A2A46"/>
    <w:rsid w:val="00446C84"/>
    <w:rsid w:val="0045451F"/>
    <w:rsid w:val="00460AD1"/>
    <w:rsid w:val="004B378D"/>
    <w:rsid w:val="005721A7"/>
    <w:rsid w:val="00607897"/>
    <w:rsid w:val="00773C6E"/>
    <w:rsid w:val="008D2D2D"/>
    <w:rsid w:val="00914897"/>
    <w:rsid w:val="0091546E"/>
    <w:rsid w:val="009B387B"/>
    <w:rsid w:val="00AC0D24"/>
    <w:rsid w:val="00B834C9"/>
    <w:rsid w:val="00C74275"/>
    <w:rsid w:val="00D033FC"/>
    <w:rsid w:val="00D620BB"/>
    <w:rsid w:val="00D63860"/>
    <w:rsid w:val="00E41C36"/>
    <w:rsid w:val="00F32C27"/>
    <w:rsid w:val="00F4029E"/>
    <w:rsid w:val="00F76E62"/>
    <w:rsid w:val="00F92228"/>
    <w:rsid w:val="00FB7B3A"/>
    <w:rsid w:val="00FE2743"/>
    <w:rsid w:val="12131173"/>
    <w:rsid w:val="374C6617"/>
    <w:rsid w:val="51006C09"/>
    <w:rsid w:val="775F58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211</Words>
  <Characters>1207</Characters>
  <Lines>10</Lines>
  <Paragraphs>2</Paragraphs>
  <TotalTime>0</TotalTime>
  <ScaleCrop>false</ScaleCrop>
  <LinksUpToDate>false</LinksUpToDate>
  <CharactersWithSpaces>1416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2024-02-04T06:21:46Z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