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w:t>
      </w:r>
    </w:p>
    <w:tbl>
      <w:tblPr>
        <w:tblStyle w:val="4"/>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130"/>
        <w:gridCol w:w="180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行政确认</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w:t>
            </w:r>
            <w:r>
              <w:rPr>
                <w:rFonts w:hint="eastAsia" w:ascii="仿宋_GB2312" w:eastAsia="仿宋_GB2312" w:cs="仿宋_GB2312"/>
                <w:color w:val="000000"/>
                <w:kern w:val="0"/>
                <w:sz w:val="18"/>
                <w:szCs w:val="18"/>
              </w:rPr>
              <w:t>资源规划局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widowControl/>
              <w:jc w:val="center"/>
              <w:rPr>
                <w:rFonts w:ascii="仿宋" w:hAnsi="仿宋" w:eastAsia="仿宋" w:cs="宋体"/>
                <w:color w:val="000000"/>
                <w:sz w:val="18"/>
                <w:szCs w:val="18"/>
              </w:rPr>
            </w:pPr>
            <w:r>
              <w:rPr>
                <w:rFonts w:hint="eastAsia" w:ascii="仿宋_GB2312" w:eastAsia="仿宋_GB2312" w:cs="仿宋_GB2312"/>
                <w:kern w:val="0"/>
                <w:sz w:val="18"/>
                <w:szCs w:val="18"/>
              </w:rPr>
              <w:t>自然资源类</w:t>
            </w:r>
            <w:r>
              <w:rPr>
                <w:rFonts w:hint="eastAsia" w:ascii="仿宋" w:hAnsi="仿宋" w:eastAsia="仿宋"/>
                <w:color w:val="000000"/>
                <w:sz w:val="18"/>
                <w:szCs w:val="18"/>
              </w:rPr>
              <w:t>登记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13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widowControl/>
              <w:spacing w:line="240" w:lineRule="exact"/>
              <w:jc w:val="left"/>
              <w:rPr>
                <w:rFonts w:hint="eastAsia" w:ascii="仿宋" w:hAnsi="仿宋" w:eastAsia="仿宋" w:cs="宋体"/>
                <w:kern w:val="0"/>
                <w:sz w:val="18"/>
                <w:szCs w:val="18"/>
                <w:lang w:eastAsia="zh-CN"/>
              </w:rPr>
            </w:pPr>
            <w:r>
              <w:rPr>
                <w:rFonts w:hint="eastAsia" w:ascii="仿宋_GB2312" w:eastAsia="仿宋_GB2312" w:cs="仿宋_GB2312"/>
                <w:kern w:val="0"/>
                <w:sz w:val="18"/>
                <w:szCs w:val="18"/>
              </w:rPr>
              <w:t>1、《民法典》第二百零九条 不动产物权的设立、变更、转让和消灭，经依法登记，发生效力；未经登记，不发生效力，但是另有规定的除外。依法属于国家所有的自然资源，所有权可以不登记。2、《不动产登记暂行条例》第四条 国家实行不动产统一登记制度。第五条 下列不动产权利，依照本条例的规定办理登记：（十）法律规定需要登记的其他不动产权利</w:t>
            </w:r>
            <w:r>
              <w:rPr>
                <w:rFonts w:ascii="仿宋_GB2312" w:eastAsia="仿宋_GB2312" w:cs="仿宋_GB2312"/>
                <w:kern w:val="0"/>
                <w:sz w:val="18"/>
                <w:szCs w:val="18"/>
              </w:rPr>
              <w:t xml:space="preserve"> ;</w:t>
            </w:r>
            <w:r>
              <w:rPr>
                <w:rFonts w:ascii="仿宋" w:hAnsi="仿宋" w:eastAsia="仿宋" w:cs="宋体"/>
                <w:kern w:val="0"/>
                <w:sz w:val="18"/>
                <w:szCs w:val="18"/>
              </w:rPr>
              <w:t>国土资源部 中央编办 财政部 环境保护部 水利部 农业部国家林业局关于印发《自然资源统一确权登记办法（试行）》的通知</w:t>
            </w:r>
            <w:r>
              <w:rPr>
                <w:rFonts w:hint="eastAsia" w:ascii="仿宋" w:hAnsi="仿宋" w:eastAsia="仿宋" w:cs="宋体"/>
                <w:kern w:val="0"/>
                <w:sz w:val="18"/>
                <w:szCs w:val="18"/>
              </w:rPr>
              <w:t>(</w:t>
            </w:r>
            <w:r>
              <w:rPr>
                <w:rFonts w:ascii="仿宋" w:hAnsi="仿宋" w:eastAsia="仿宋" w:cs="宋体"/>
                <w:kern w:val="0"/>
                <w:sz w:val="18"/>
                <w:szCs w:val="18"/>
              </w:rPr>
              <w:t>国土资发〔2016〕192号</w:t>
            </w:r>
            <w:r>
              <w:rPr>
                <w:rFonts w:hint="eastAsia" w:ascii="仿宋" w:hAnsi="仿宋" w:eastAsia="仿宋" w:cs="宋体"/>
                <w:kern w:val="0"/>
                <w:sz w:val="18"/>
                <w:szCs w:val="18"/>
              </w:rPr>
              <w:t>)</w:t>
            </w:r>
            <w:r>
              <w:rPr>
                <w:rFonts w:ascii="仿宋" w:hAnsi="仿宋" w:eastAsia="仿宋"/>
                <w:sz w:val="18"/>
                <w:szCs w:val="18"/>
              </w:rPr>
              <w:t>第三条对水流、森林、山岭、草原、荒地、滩涂以及探明储量的矿产资源等自然资源的所有权统一进行确权登记</w:t>
            </w:r>
            <w:r>
              <w:rPr>
                <w:rFonts w:hint="eastAsia" w:ascii="仿宋" w:hAnsi="仿宋" w:eastAsia="仿宋"/>
                <w:sz w:val="18"/>
                <w:szCs w:val="18"/>
                <w:lang w:eastAsia="zh-CN"/>
              </w:rPr>
              <w:t>。</w:t>
            </w:r>
          </w:p>
          <w:p>
            <w:pPr>
              <w:spacing w:line="240" w:lineRule="exact"/>
              <w:rPr>
                <w:rFonts w:ascii="黑体" w:eastAsia="黑体" w:cs="黑体"/>
                <w:b/>
                <w:bCs/>
                <w:color w:val="000000"/>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697" w:type="dxa"/>
            <w:gridSpan w:val="2"/>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801"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黑体" w:eastAsia="黑体" w:cs="黑体"/>
                <w:color w:val="000000"/>
                <w:sz w:val="18"/>
                <w:szCs w:val="18"/>
              </w:rPr>
            </w:pPr>
            <w:r>
              <w:rPr>
                <w:rFonts w:hint="eastAsia" w:ascii="黑体" w:eastAsia="黑体" w:cs="黑体"/>
                <w:color w:val="000000"/>
                <w:sz w:val="18"/>
                <w:szCs w:val="18"/>
              </w:rPr>
              <w:t>通告</w:t>
            </w:r>
          </w:p>
        </w:tc>
        <w:tc>
          <w:tcPr>
            <w:tcW w:w="5287" w:type="dxa"/>
            <w:gridSpan w:val="5"/>
            <w:tcBorders>
              <w:tl2br w:val="nil"/>
              <w:tr2bl w:val="nil"/>
            </w:tcBorders>
            <w:shd w:val="clear" w:color="auto" w:fill="auto"/>
            <w:vAlign w:val="center"/>
          </w:tcPr>
          <w:p>
            <w:pPr>
              <w:spacing w:line="240" w:lineRule="exact"/>
              <w:rPr>
                <w:rFonts w:hint="eastAsia" w:ascii="仿宋" w:hAnsi="仿宋" w:eastAsia="仿宋" w:cs="黑体"/>
                <w:color w:val="000000"/>
                <w:sz w:val="18"/>
                <w:szCs w:val="18"/>
                <w:lang w:eastAsia="zh-CN"/>
              </w:rPr>
            </w:pPr>
            <w:r>
              <w:rPr>
                <w:rFonts w:hint="eastAsia" w:ascii="仿宋" w:hAnsi="仿宋" w:eastAsia="仿宋"/>
                <w:sz w:val="18"/>
                <w:szCs w:val="18"/>
                <w:lang w:val="en-US" w:eastAsia="zh-CN"/>
              </w:rPr>
              <w:t>根据市级工作方案，区</w:t>
            </w:r>
            <w:r>
              <w:rPr>
                <w:rFonts w:ascii="仿宋" w:hAnsi="仿宋" w:eastAsia="仿宋"/>
                <w:sz w:val="18"/>
                <w:szCs w:val="18"/>
              </w:rPr>
              <w:t>政府成立</w:t>
            </w:r>
            <w:r>
              <w:rPr>
                <w:rFonts w:hint="eastAsia" w:ascii="仿宋" w:hAnsi="仿宋" w:eastAsia="仿宋"/>
                <w:sz w:val="18"/>
                <w:szCs w:val="18"/>
                <w:lang w:val="en-US" w:eastAsia="zh-CN"/>
              </w:rPr>
              <w:t>了</w:t>
            </w:r>
            <w:r>
              <w:rPr>
                <w:rFonts w:ascii="仿宋" w:hAnsi="仿宋" w:eastAsia="仿宋"/>
                <w:sz w:val="18"/>
                <w:szCs w:val="18"/>
              </w:rPr>
              <w:t>自然资源统一确权登记领导小组，组织相关资源管理部门制定登记工作方案并预划登记单元，向社会发布首次登记通告</w:t>
            </w:r>
            <w:r>
              <w:rPr>
                <w:rFonts w:hint="eastAsia" w:ascii="仿宋" w:hAnsi="仿宋" w:eastAsia="仿宋"/>
                <w:sz w:val="18"/>
                <w:szCs w:val="18"/>
                <w:lang w:eastAsia="zh-CN"/>
              </w:rPr>
              <w:t>。</w:t>
            </w:r>
          </w:p>
        </w:tc>
        <w:tc>
          <w:tcPr>
            <w:tcW w:w="697" w:type="dxa"/>
            <w:gridSpan w:val="2"/>
            <w:vMerge w:val="restart"/>
            <w:tcBorders>
              <w:tl2br w:val="nil"/>
              <w:tr2bl w:val="nil"/>
            </w:tcBorders>
            <w:shd w:val="clear" w:color="auto" w:fill="auto"/>
            <w:vAlign w:val="center"/>
          </w:tcPr>
          <w:p>
            <w:pPr>
              <w:spacing w:line="240" w:lineRule="exact"/>
              <w:rPr>
                <w:rFonts w:ascii="仿宋" w:hAnsi="仿宋" w:eastAsia="仿宋" w:cs="黑体"/>
                <w:color w:val="000000"/>
                <w:sz w:val="18"/>
                <w:szCs w:val="18"/>
              </w:rPr>
            </w:pPr>
            <w:r>
              <w:rPr>
                <w:rFonts w:hint="eastAsia" w:ascii="黑体" w:eastAsia="黑体" w:cs="黑体"/>
                <w:color w:val="000000"/>
                <w:sz w:val="18"/>
                <w:szCs w:val="18"/>
              </w:rPr>
              <w:t>30</w:t>
            </w:r>
            <w:r>
              <w:rPr>
                <w:rFonts w:hint="eastAsia" w:ascii="仿宋" w:hAnsi="仿宋" w:eastAsia="仿宋" w:cs="黑体"/>
                <w:color w:val="000000"/>
                <w:sz w:val="18"/>
                <w:szCs w:val="18"/>
              </w:rPr>
              <w:t>个</w:t>
            </w:r>
            <w:r>
              <w:rPr>
                <w:rFonts w:ascii="仿宋" w:hAnsi="仿宋" w:eastAsia="仿宋" w:cs="黑体"/>
                <w:color w:val="000000"/>
                <w:sz w:val="18"/>
                <w:szCs w:val="18"/>
              </w:rPr>
              <w:t>工作日</w:t>
            </w:r>
          </w:p>
        </w:tc>
        <w:tc>
          <w:tcPr>
            <w:tcW w:w="1801" w:type="dxa"/>
            <w:tcBorders>
              <w:tl2br w:val="nil"/>
              <w:tr2bl w:val="nil"/>
            </w:tcBorders>
            <w:shd w:val="clear" w:color="auto" w:fill="auto"/>
            <w:vAlign w:val="center"/>
          </w:tcPr>
          <w:p>
            <w:pPr>
              <w:spacing w:line="240" w:lineRule="exact"/>
              <w:jc w:val="center"/>
              <w:rPr>
                <w:rFonts w:ascii="仿宋" w:hAnsi="仿宋" w:eastAsia="仿宋" w:cs="仿宋_GB2312"/>
                <w:color w:val="000000"/>
                <w:kern w:val="0"/>
                <w:sz w:val="18"/>
                <w:szCs w:val="18"/>
              </w:rPr>
            </w:pPr>
            <w:r>
              <w:rPr>
                <w:rFonts w:hint="eastAsia" w:ascii="仿宋" w:hAnsi="仿宋" w:eastAsia="仿宋"/>
                <w:sz w:val="18"/>
                <w:szCs w:val="18"/>
                <w:lang w:val="en-US" w:eastAsia="zh-CN"/>
              </w:rPr>
              <w:t>区</w:t>
            </w:r>
            <w:r>
              <w:rPr>
                <w:rFonts w:ascii="仿宋" w:hAnsi="仿宋" w:eastAsia="仿宋"/>
                <w:sz w:val="18"/>
                <w:szCs w:val="18"/>
              </w:rPr>
              <w:t>政府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黑体" w:eastAsia="黑体" w:cs="黑体"/>
                <w:color w:val="000000"/>
                <w:sz w:val="18"/>
                <w:szCs w:val="18"/>
              </w:rPr>
            </w:pPr>
            <w:r>
              <w:rPr>
                <w:rFonts w:hint="eastAsia" w:ascii="黑体" w:eastAsia="黑体" w:cs="黑体"/>
                <w:color w:val="000000"/>
                <w:sz w:val="18"/>
                <w:szCs w:val="18"/>
              </w:rPr>
              <w:t>调查</w:t>
            </w:r>
          </w:p>
        </w:tc>
        <w:tc>
          <w:tcPr>
            <w:tcW w:w="5287" w:type="dxa"/>
            <w:gridSpan w:val="5"/>
            <w:tcBorders>
              <w:tl2br w:val="nil"/>
              <w:tr2bl w:val="nil"/>
            </w:tcBorders>
            <w:shd w:val="clear" w:color="auto" w:fill="auto"/>
            <w:vAlign w:val="center"/>
          </w:tcPr>
          <w:p>
            <w:pPr>
              <w:spacing w:line="240" w:lineRule="exact"/>
              <w:rPr>
                <w:rFonts w:hint="eastAsia" w:ascii="仿宋" w:hAnsi="仿宋" w:eastAsia="仿宋" w:cs="黑体"/>
                <w:color w:val="000000"/>
                <w:sz w:val="18"/>
                <w:szCs w:val="18"/>
                <w:lang w:eastAsia="zh-CN"/>
              </w:rPr>
            </w:pPr>
            <w:r>
              <w:rPr>
                <w:rFonts w:hint="eastAsia" w:ascii="仿宋" w:hAnsi="仿宋" w:eastAsia="仿宋"/>
                <w:sz w:val="18"/>
                <w:szCs w:val="18"/>
                <w:lang w:val="en-US" w:eastAsia="zh-CN"/>
              </w:rPr>
              <w:t>区自然资源和规划局</w:t>
            </w:r>
            <w:r>
              <w:rPr>
                <w:rFonts w:ascii="仿宋" w:hAnsi="仿宋" w:eastAsia="仿宋"/>
                <w:sz w:val="18"/>
                <w:szCs w:val="18"/>
              </w:rPr>
              <w:t>会同相关资源管理部门，以</w:t>
            </w:r>
            <w:r>
              <w:rPr>
                <w:color w:val="000000" w:themeColor="text1"/>
                <w:u w:val="none"/>
                <w14:textFill>
                  <w14:solidFill>
                    <w14:schemeClr w14:val="tx1"/>
                  </w14:solidFill>
                </w14:textFill>
              </w:rPr>
              <w:fldChar w:fldCharType="begin"/>
            </w:r>
            <w:r>
              <w:rPr>
                <w:color w:val="000000" w:themeColor="text1"/>
                <w:u w:val="none"/>
                <w14:textFill>
                  <w14:solidFill>
                    <w14:schemeClr w14:val="tx1"/>
                  </w14:solidFill>
                </w14:textFill>
              </w:rPr>
              <w:instrText xml:space="preserve"> HYPERLINK "https://baike.baidu.com/item/%E5%9C%9F%E5%9C%B0%E5%88%A9%E7%94%A8%E7%8E%B0%E7%8A%B6%E8%B0%83%E6%9F%A5/5546165?fromModule=lemma_inlink" \t "_blank" </w:instrText>
            </w:r>
            <w:r>
              <w:rPr>
                <w:color w:val="000000" w:themeColor="text1"/>
                <w:u w:val="none"/>
                <w14:textFill>
                  <w14:solidFill>
                    <w14:schemeClr w14:val="tx1"/>
                  </w14:solidFill>
                </w14:textFill>
              </w:rPr>
              <w:fldChar w:fldCharType="separate"/>
            </w:r>
            <w:r>
              <w:rPr>
                <w:rStyle w:val="6"/>
                <w:rFonts w:ascii="仿宋" w:hAnsi="仿宋" w:eastAsia="仿宋"/>
                <w:color w:val="000000" w:themeColor="text1"/>
                <w:sz w:val="18"/>
                <w:szCs w:val="18"/>
                <w:u w:val="none"/>
                <w14:textFill>
                  <w14:solidFill>
                    <w14:schemeClr w14:val="tx1"/>
                  </w14:solidFill>
                </w14:textFill>
              </w:rPr>
              <w:t>土地利用现状调查</w:t>
            </w:r>
            <w:r>
              <w:rPr>
                <w:rStyle w:val="6"/>
                <w:rFonts w:ascii="仿宋" w:hAnsi="仿宋" w:eastAsia="仿宋"/>
                <w:color w:val="000000" w:themeColor="text1"/>
                <w:sz w:val="18"/>
                <w:szCs w:val="18"/>
                <w:u w:val="none"/>
                <w14:textFill>
                  <w14:solidFill>
                    <w14:schemeClr w14:val="tx1"/>
                  </w14:solidFill>
                </w14:textFill>
              </w:rPr>
              <w:fldChar w:fldCharType="end"/>
            </w:r>
            <w:r>
              <w:rPr>
                <w:rFonts w:ascii="仿宋" w:hAnsi="仿宋" w:eastAsia="仿宋"/>
                <w:sz w:val="18"/>
                <w:szCs w:val="18"/>
              </w:rPr>
              <w:t>成果为底图，结合各类自然资源调查成果，通过实地调查，查清登记单元内各类自然资源的类型、边界、面积、数量和质量等，形成自然资源调查图件和相关调查成果</w:t>
            </w:r>
            <w:r>
              <w:rPr>
                <w:rFonts w:hint="eastAsia" w:ascii="仿宋" w:hAnsi="仿宋" w:eastAsia="仿宋" w:cs="仿宋_GB2312"/>
                <w:color w:val="000000"/>
                <w:kern w:val="0"/>
                <w:sz w:val="18"/>
                <w:szCs w:val="18"/>
                <w:lang w:eastAsia="zh-CN"/>
              </w:rPr>
              <w:t>。</w:t>
            </w:r>
          </w:p>
        </w:tc>
        <w:tc>
          <w:tcPr>
            <w:tcW w:w="697" w:type="dxa"/>
            <w:gridSpan w:val="2"/>
            <w:vMerge w:val="continue"/>
            <w:tcBorders>
              <w:tl2br w:val="nil"/>
              <w:tr2bl w:val="nil"/>
            </w:tcBorders>
            <w:shd w:val="clear" w:color="auto" w:fill="auto"/>
            <w:vAlign w:val="center"/>
          </w:tcPr>
          <w:p>
            <w:pPr>
              <w:spacing w:line="240" w:lineRule="exact"/>
              <w:rPr>
                <w:rFonts w:ascii="仿宋" w:hAnsi="仿宋" w:eastAsia="仿宋" w:cs="黑体"/>
                <w:color w:val="000000"/>
                <w:sz w:val="18"/>
                <w:szCs w:val="18"/>
              </w:rPr>
            </w:pPr>
          </w:p>
        </w:tc>
        <w:tc>
          <w:tcPr>
            <w:tcW w:w="1801" w:type="dxa"/>
            <w:tcBorders>
              <w:tl2br w:val="nil"/>
              <w:tr2bl w:val="nil"/>
            </w:tcBorders>
            <w:shd w:val="clear" w:color="auto" w:fill="auto"/>
            <w:vAlign w:val="center"/>
          </w:tcPr>
          <w:p>
            <w:pPr>
              <w:spacing w:line="240" w:lineRule="exact"/>
              <w:jc w:val="center"/>
              <w:rPr>
                <w:rFonts w:hint="eastAsia" w:ascii="仿宋" w:hAnsi="仿宋" w:eastAsia="仿宋"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区</w:t>
            </w:r>
            <w:r>
              <w:rPr>
                <w:rFonts w:hint="eastAsia" w:ascii="仿宋_GB2312" w:eastAsia="仿宋_GB2312" w:cs="仿宋_GB2312"/>
                <w:color w:val="000000"/>
                <w:kern w:val="0"/>
                <w:sz w:val="18"/>
                <w:szCs w:val="18"/>
              </w:rPr>
              <w:t>资源规划局</w:t>
            </w:r>
            <w:r>
              <w:rPr>
                <w:rFonts w:hint="eastAsia" w:ascii="仿宋_GB2312" w:eastAsia="仿宋_GB2312" w:cs="仿宋_GB2312"/>
                <w:color w:val="000000"/>
                <w:kern w:val="0"/>
                <w:sz w:val="18"/>
                <w:szCs w:val="18"/>
                <w:lang w:val="en-US" w:eastAsia="zh-CN"/>
              </w:rPr>
              <w:t>地籍科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黑体" w:eastAsia="黑体" w:cs="黑体"/>
                <w:color w:val="000000"/>
                <w:sz w:val="18"/>
                <w:szCs w:val="18"/>
              </w:rPr>
            </w:pPr>
            <w:r>
              <w:rPr>
                <w:rFonts w:hint="eastAsia" w:ascii="黑体" w:eastAsia="黑体" w:cs="黑体"/>
                <w:color w:val="000000"/>
                <w:sz w:val="18"/>
                <w:szCs w:val="18"/>
              </w:rPr>
              <w:t>审核</w:t>
            </w:r>
          </w:p>
        </w:tc>
        <w:tc>
          <w:tcPr>
            <w:tcW w:w="5287" w:type="dxa"/>
            <w:gridSpan w:val="5"/>
            <w:tcBorders>
              <w:tl2br w:val="nil"/>
              <w:tr2bl w:val="nil"/>
            </w:tcBorders>
            <w:shd w:val="clear" w:color="auto" w:fill="auto"/>
            <w:vAlign w:val="center"/>
          </w:tcPr>
          <w:p>
            <w:pPr>
              <w:spacing w:line="240" w:lineRule="exact"/>
              <w:rPr>
                <w:rFonts w:hint="eastAsia" w:ascii="仿宋" w:hAnsi="仿宋" w:eastAsia="仿宋" w:cs="黑体"/>
                <w:color w:val="000000"/>
                <w:sz w:val="18"/>
                <w:szCs w:val="18"/>
                <w:lang w:eastAsia="zh-CN"/>
              </w:rPr>
            </w:pPr>
            <w:r>
              <w:rPr>
                <w:rFonts w:ascii="仿宋" w:hAnsi="仿宋" w:eastAsia="仿宋"/>
                <w:sz w:val="18"/>
                <w:szCs w:val="18"/>
              </w:rPr>
              <w:t>依据自然资源调查结果和相关审批文件，结合相关资源管理部门的用途管制、生态保护红线、公共管制及特殊保护规定或政策性文件以及不动产登记结果资料等，对登记的内容进行审核</w:t>
            </w:r>
            <w:r>
              <w:rPr>
                <w:rFonts w:hint="eastAsia" w:ascii="仿宋" w:hAnsi="仿宋" w:eastAsia="仿宋"/>
                <w:sz w:val="18"/>
                <w:szCs w:val="18"/>
                <w:lang w:eastAsia="zh-CN"/>
              </w:rPr>
              <w:t>。</w:t>
            </w:r>
          </w:p>
        </w:tc>
        <w:tc>
          <w:tcPr>
            <w:tcW w:w="697" w:type="dxa"/>
            <w:gridSpan w:val="2"/>
            <w:vMerge w:val="continue"/>
            <w:tcBorders>
              <w:tl2br w:val="nil"/>
              <w:tr2bl w:val="nil"/>
            </w:tcBorders>
            <w:shd w:val="clear" w:color="auto" w:fill="auto"/>
            <w:vAlign w:val="center"/>
          </w:tcPr>
          <w:p>
            <w:pPr>
              <w:spacing w:line="240" w:lineRule="exact"/>
              <w:rPr>
                <w:rFonts w:ascii="黑体" w:eastAsia="黑体" w:cs="黑体"/>
                <w:color w:val="000000"/>
                <w:sz w:val="18"/>
                <w:szCs w:val="18"/>
              </w:rPr>
            </w:pPr>
          </w:p>
        </w:tc>
        <w:tc>
          <w:tcPr>
            <w:tcW w:w="1801" w:type="dxa"/>
            <w:tcBorders>
              <w:tl2br w:val="nil"/>
              <w:tr2bl w:val="nil"/>
            </w:tcBorders>
            <w:shd w:val="clear" w:color="auto" w:fill="auto"/>
            <w:vAlign w:val="center"/>
          </w:tcPr>
          <w:p>
            <w:pPr>
              <w:spacing w:line="240" w:lineRule="exact"/>
              <w:jc w:val="center"/>
              <w:rPr>
                <w:rFonts w:hint="default"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w:t>
            </w:r>
            <w:r>
              <w:rPr>
                <w:rFonts w:hint="eastAsia" w:ascii="仿宋_GB2312" w:eastAsia="仿宋_GB2312" w:cs="仿宋_GB2312"/>
                <w:color w:val="000000"/>
                <w:kern w:val="0"/>
                <w:sz w:val="18"/>
                <w:szCs w:val="18"/>
              </w:rPr>
              <w:t>资源规划局</w:t>
            </w:r>
            <w:r>
              <w:rPr>
                <w:rFonts w:hint="default" w:ascii="仿宋_GB2312" w:eastAsia="仿宋_GB2312" w:cs="仿宋_GB2312"/>
                <w:color w:val="000000"/>
                <w:kern w:val="0"/>
                <w:sz w:val="18"/>
                <w:szCs w:val="18"/>
              </w:rPr>
              <w:t>地籍科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57"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黑体" w:eastAsia="黑体" w:cs="黑体"/>
                <w:color w:val="000000"/>
                <w:sz w:val="18"/>
                <w:szCs w:val="18"/>
              </w:rPr>
            </w:pPr>
            <w:r>
              <w:rPr>
                <w:rFonts w:hint="eastAsia" w:ascii="黑体" w:eastAsia="黑体" w:cs="黑体"/>
                <w:color w:val="000000"/>
                <w:sz w:val="18"/>
                <w:szCs w:val="18"/>
              </w:rPr>
              <w:t>公告</w:t>
            </w:r>
          </w:p>
        </w:tc>
        <w:tc>
          <w:tcPr>
            <w:tcW w:w="5287" w:type="dxa"/>
            <w:gridSpan w:val="5"/>
            <w:tcBorders>
              <w:tl2br w:val="nil"/>
              <w:tr2bl w:val="nil"/>
            </w:tcBorders>
            <w:shd w:val="clear" w:color="auto" w:fill="auto"/>
            <w:vAlign w:val="center"/>
          </w:tcPr>
          <w:p>
            <w:pPr>
              <w:spacing w:line="240" w:lineRule="exact"/>
              <w:rPr>
                <w:rFonts w:hint="eastAsia" w:ascii="仿宋" w:hAnsi="仿宋" w:eastAsia="仿宋" w:cs="仿宋_GB2312"/>
                <w:color w:val="000000"/>
                <w:kern w:val="0"/>
                <w:sz w:val="18"/>
                <w:szCs w:val="18"/>
                <w:lang w:eastAsia="zh-CN"/>
              </w:rPr>
            </w:pPr>
            <w:r>
              <w:rPr>
                <w:rFonts w:ascii="仿宋" w:hAnsi="仿宋" w:eastAsia="仿宋"/>
                <w:sz w:val="18"/>
                <w:szCs w:val="18"/>
              </w:rPr>
              <w:t>登记机构应当在登簿前将自然资源登记事项在所在地政府门户网站及指定场所进行公告，涉及国家秘密的除外。公告期不少于15个工作日。公告期内，相关权利人对登记事项提出异议的，登记机构应当对提出的异议进行调查核实</w:t>
            </w:r>
            <w:r>
              <w:rPr>
                <w:rFonts w:hint="eastAsia" w:ascii="仿宋" w:hAnsi="仿宋" w:eastAsia="仿宋"/>
                <w:sz w:val="18"/>
                <w:szCs w:val="18"/>
                <w:lang w:eastAsia="zh-CN"/>
              </w:rPr>
              <w:t>。</w:t>
            </w:r>
          </w:p>
        </w:tc>
        <w:tc>
          <w:tcPr>
            <w:tcW w:w="697" w:type="dxa"/>
            <w:gridSpan w:val="2"/>
            <w:vMerge w:val="continue"/>
            <w:tcBorders>
              <w:tl2br w:val="nil"/>
              <w:tr2bl w:val="nil"/>
            </w:tcBorders>
            <w:shd w:val="clear" w:color="auto" w:fill="auto"/>
            <w:vAlign w:val="center"/>
          </w:tcPr>
          <w:p>
            <w:pPr>
              <w:spacing w:line="240" w:lineRule="exact"/>
              <w:rPr>
                <w:rFonts w:ascii="仿宋_GB2312" w:eastAsia="仿宋_GB2312" w:cs="仿宋_GB2312"/>
                <w:color w:val="000000"/>
                <w:kern w:val="0"/>
                <w:sz w:val="18"/>
                <w:szCs w:val="18"/>
              </w:rPr>
            </w:pPr>
          </w:p>
        </w:tc>
        <w:tc>
          <w:tcPr>
            <w:tcW w:w="1801" w:type="dxa"/>
            <w:tcBorders>
              <w:tl2br w:val="nil"/>
              <w:tr2bl w:val="nil"/>
            </w:tcBorders>
            <w:shd w:val="clear" w:color="auto" w:fill="auto"/>
            <w:vAlign w:val="center"/>
          </w:tcPr>
          <w:p>
            <w:pPr>
              <w:spacing w:line="240" w:lineRule="exact"/>
              <w:jc w:val="center"/>
              <w:rPr>
                <w:rFonts w:hint="default"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w:t>
            </w:r>
            <w:r>
              <w:rPr>
                <w:rFonts w:hint="eastAsia" w:ascii="仿宋_GB2312" w:eastAsia="仿宋_GB2312" w:cs="仿宋_GB2312"/>
                <w:color w:val="000000"/>
                <w:kern w:val="0"/>
                <w:sz w:val="18"/>
                <w:szCs w:val="18"/>
              </w:rPr>
              <w:t>资源规划局</w:t>
            </w:r>
            <w:r>
              <w:rPr>
                <w:rFonts w:hint="default" w:ascii="仿宋_GB2312" w:eastAsia="仿宋_GB2312" w:cs="仿宋_GB2312"/>
                <w:color w:val="000000"/>
                <w:kern w:val="0"/>
                <w:sz w:val="18"/>
                <w:szCs w:val="18"/>
              </w:rPr>
              <w:t>地籍科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67"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黑体" w:eastAsia="黑体" w:cs="黑体"/>
                <w:color w:val="000000"/>
                <w:sz w:val="18"/>
                <w:szCs w:val="18"/>
              </w:rPr>
            </w:pPr>
            <w:r>
              <w:rPr>
                <w:rFonts w:hint="eastAsia" w:ascii="黑体" w:eastAsia="黑体" w:cs="黑体"/>
                <w:color w:val="000000"/>
                <w:sz w:val="18"/>
                <w:szCs w:val="18"/>
              </w:rPr>
              <w:t>登簿</w:t>
            </w:r>
          </w:p>
        </w:tc>
        <w:tc>
          <w:tcPr>
            <w:tcW w:w="5287" w:type="dxa"/>
            <w:gridSpan w:val="5"/>
            <w:tcBorders>
              <w:tl2br w:val="nil"/>
              <w:tr2bl w:val="nil"/>
            </w:tcBorders>
            <w:shd w:val="clear" w:color="auto" w:fill="auto"/>
            <w:vAlign w:val="center"/>
          </w:tcPr>
          <w:p>
            <w:pPr>
              <w:spacing w:line="240" w:lineRule="exact"/>
              <w:rPr>
                <w:rFonts w:hint="eastAsia" w:ascii="仿宋" w:hAnsi="仿宋" w:eastAsia="仿宋" w:cs="黑体"/>
                <w:color w:val="000000"/>
                <w:sz w:val="18"/>
                <w:szCs w:val="18"/>
                <w:lang w:eastAsia="zh-CN"/>
              </w:rPr>
            </w:pPr>
            <w:r>
              <w:rPr>
                <w:rFonts w:ascii="仿宋" w:hAnsi="仿宋" w:eastAsia="仿宋"/>
                <w:sz w:val="18"/>
                <w:szCs w:val="18"/>
              </w:rPr>
              <w:t>公告期满无异议或者异议不成立的，登记机构应当将登记事项记载于自然资源登记簿</w:t>
            </w:r>
            <w:r>
              <w:rPr>
                <w:rFonts w:hint="eastAsia" w:ascii="仿宋" w:hAnsi="仿宋" w:eastAsia="仿宋"/>
                <w:sz w:val="18"/>
                <w:szCs w:val="18"/>
                <w:lang w:eastAsia="zh-CN"/>
              </w:rPr>
              <w:t>。</w:t>
            </w:r>
          </w:p>
        </w:tc>
        <w:tc>
          <w:tcPr>
            <w:tcW w:w="697" w:type="dxa"/>
            <w:gridSpan w:val="2"/>
            <w:vMerge w:val="continue"/>
            <w:tcBorders>
              <w:tl2br w:val="nil"/>
              <w:tr2bl w:val="nil"/>
            </w:tcBorders>
            <w:shd w:val="clear" w:color="auto" w:fill="auto"/>
            <w:vAlign w:val="center"/>
          </w:tcPr>
          <w:p>
            <w:pPr>
              <w:spacing w:line="240" w:lineRule="exact"/>
              <w:rPr>
                <w:rFonts w:ascii="黑体" w:eastAsia="黑体" w:cs="黑体"/>
                <w:color w:val="000000"/>
                <w:sz w:val="18"/>
                <w:szCs w:val="18"/>
              </w:rPr>
            </w:pPr>
          </w:p>
        </w:tc>
        <w:tc>
          <w:tcPr>
            <w:tcW w:w="1801" w:type="dxa"/>
            <w:tcBorders>
              <w:tl2br w:val="nil"/>
              <w:tr2bl w:val="nil"/>
            </w:tcBorders>
            <w:shd w:val="clear" w:color="auto" w:fill="auto"/>
            <w:vAlign w:val="center"/>
          </w:tcPr>
          <w:p>
            <w:pPr>
              <w:spacing w:line="240" w:lineRule="exact"/>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spacing w:line="240" w:lineRule="exact"/>
              <w:jc w:val="center"/>
              <w:rPr>
                <w:rFonts w:ascii="黑体" w:eastAsia="黑体" w:cs="黑体"/>
                <w:color w:val="000000"/>
                <w:sz w:val="18"/>
                <w:szCs w:val="18"/>
              </w:rPr>
            </w:pPr>
            <w:r>
              <w:rPr>
                <w:rFonts w:hint="eastAsia" w:ascii="黑体" w:eastAsia="黑体" w:cs="黑体"/>
                <w:color w:val="000000"/>
                <w:sz w:val="18"/>
                <w:szCs w:val="18"/>
              </w:rPr>
              <w:t>核发权属证书</w:t>
            </w:r>
          </w:p>
        </w:tc>
        <w:tc>
          <w:tcPr>
            <w:tcW w:w="5287" w:type="dxa"/>
            <w:gridSpan w:val="5"/>
            <w:tcBorders>
              <w:tl2br w:val="nil"/>
              <w:tr2bl w:val="nil"/>
            </w:tcBorders>
            <w:shd w:val="clear" w:color="auto" w:fill="auto"/>
            <w:vAlign w:val="center"/>
          </w:tcPr>
          <w:p>
            <w:pPr>
              <w:spacing w:line="240" w:lineRule="exact"/>
              <w:rPr>
                <w:rFonts w:hint="eastAsia" w:ascii="黑体" w:eastAsia="仿宋_GB2312" w:cs="黑体"/>
                <w:color w:val="000000"/>
                <w:sz w:val="18"/>
                <w:szCs w:val="18"/>
                <w:lang w:eastAsia="zh-CN"/>
              </w:rPr>
            </w:pPr>
            <w:r>
              <w:rPr>
                <w:rFonts w:hint="eastAsia" w:ascii="仿宋_GB2312" w:eastAsia="仿宋_GB2312" w:cs="仿宋_GB2312"/>
                <w:color w:val="000000"/>
                <w:kern w:val="0"/>
                <w:sz w:val="18"/>
                <w:szCs w:val="18"/>
              </w:rPr>
              <w:t>登记事项记载于不动产登记簿后，如实、准确填写并核发不动产权证书</w:t>
            </w:r>
            <w:r>
              <w:rPr>
                <w:rFonts w:hint="eastAsia" w:ascii="仿宋_GB2312" w:eastAsia="仿宋_GB2312" w:cs="仿宋_GB2312"/>
                <w:color w:val="000000"/>
                <w:kern w:val="0"/>
                <w:sz w:val="18"/>
                <w:szCs w:val="18"/>
                <w:lang w:eastAsia="zh-CN"/>
              </w:rPr>
              <w:t>。</w:t>
            </w:r>
          </w:p>
        </w:tc>
        <w:tc>
          <w:tcPr>
            <w:tcW w:w="697" w:type="dxa"/>
            <w:gridSpan w:val="2"/>
            <w:vMerge w:val="continue"/>
            <w:tcBorders>
              <w:tl2br w:val="nil"/>
              <w:tr2bl w:val="nil"/>
            </w:tcBorders>
            <w:shd w:val="clear" w:color="auto" w:fill="auto"/>
            <w:vAlign w:val="center"/>
          </w:tcPr>
          <w:p>
            <w:pPr>
              <w:spacing w:line="240" w:lineRule="exact"/>
              <w:rPr>
                <w:rFonts w:ascii="黑体" w:eastAsia="黑体" w:cs="黑体"/>
                <w:color w:val="000000"/>
                <w:sz w:val="18"/>
                <w:szCs w:val="18"/>
              </w:rPr>
            </w:pPr>
          </w:p>
        </w:tc>
        <w:tc>
          <w:tcPr>
            <w:tcW w:w="1801" w:type="dxa"/>
          </w:tcPr>
          <w:p>
            <w:pPr>
              <w:spacing w:line="240" w:lineRule="exact"/>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区不动产登记中心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spacing w:line="240" w:lineRule="exact"/>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现场办理</w:t>
            </w:r>
          </w:p>
        </w:tc>
        <w:tc>
          <w:tcPr>
            <w:tcW w:w="1701" w:type="dxa"/>
            <w:gridSpan w:val="2"/>
          </w:tcPr>
          <w:p>
            <w:pPr>
              <w:spacing w:line="240" w:lineRule="exact"/>
              <w:jc w:val="center"/>
              <w:rPr>
                <w:rFonts w:ascii="黑体" w:hAnsi="黑体" w:eastAsia="黑体" w:cs="仿宋_GB2312"/>
                <w:b/>
                <w:color w:val="000000"/>
                <w:kern w:val="0"/>
                <w:szCs w:val="21"/>
              </w:rPr>
            </w:pPr>
            <w:r>
              <w:rPr>
                <w:rFonts w:hint="eastAsia" w:ascii="黑体" w:hAnsi="黑体" w:eastAsia="黑体" w:cs="仿宋_GB2312"/>
                <w:b/>
                <w:color w:val="000000"/>
                <w:kern w:val="0"/>
                <w:szCs w:val="21"/>
              </w:rPr>
              <w:t>是否容缺办理</w:t>
            </w:r>
          </w:p>
        </w:tc>
        <w:tc>
          <w:tcPr>
            <w:tcW w:w="2498" w:type="dxa"/>
            <w:gridSpan w:val="3"/>
            <w:tcBorders>
              <w:tl2br w:val="nil"/>
              <w:tr2bl w:val="nil"/>
            </w:tcBorders>
            <w:shd w:val="clear" w:color="auto" w:fill="auto"/>
            <w:vAlign w:val="center"/>
          </w:tcPr>
          <w:p>
            <w:pPr>
              <w:spacing w:line="240" w:lineRule="exact"/>
              <w:jc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spacing w:line="240" w:lineRule="exact"/>
              <w:jc w:val="left"/>
              <w:rPr>
                <w:rFonts w:ascii="仿宋" w:hAnsi="仿宋" w:eastAsia="仿宋" w:cs="仿宋_GB2312"/>
                <w:color w:val="000000"/>
                <w:kern w:val="0"/>
                <w:sz w:val="18"/>
                <w:szCs w:val="18"/>
              </w:rPr>
            </w:pPr>
            <w:r>
              <w:rPr>
                <w:rFonts w:hint="eastAsia" w:ascii="仿宋" w:hAnsi="仿宋" w:eastAsia="仿宋"/>
                <w:color w:val="000000"/>
                <w:sz w:val="18"/>
                <w:szCs w:val="18"/>
              </w:rPr>
              <w:t>1、不动产登记申请书及询问表；2</w:t>
            </w:r>
            <w:r>
              <w:rPr>
                <w:rFonts w:ascii="仿宋" w:hAnsi="仿宋" w:eastAsia="仿宋"/>
                <w:color w:val="000000"/>
                <w:sz w:val="18"/>
                <w:szCs w:val="18"/>
              </w:rPr>
              <w:t>申请人身份证明</w:t>
            </w:r>
            <w:r>
              <w:rPr>
                <w:rFonts w:hint="eastAsia" w:ascii="仿宋" w:hAnsi="仿宋" w:eastAsia="仿宋"/>
                <w:color w:val="000000"/>
                <w:sz w:val="18"/>
                <w:szCs w:val="18"/>
              </w:rPr>
              <w:t>，代为申请登记的，还应提交法人授权委托书、代理人身份证等身份证明材料，境外委托的授权委托书需认证或公证；3、</w:t>
            </w:r>
            <w:r>
              <w:rPr>
                <w:rFonts w:ascii="仿宋" w:hAnsi="仿宋" w:eastAsia="仿宋"/>
                <w:sz w:val="18"/>
                <w:szCs w:val="18"/>
              </w:rPr>
              <w:t>申请登记的森林、林木和林地的权属来源证明材料、有批准权的人民政府或主管部门的批准文件、登记原因证明文件、不动产权属证书</w:t>
            </w:r>
            <w:r>
              <w:rPr>
                <w:rFonts w:hint="eastAsia" w:ascii="仿宋" w:hAnsi="仿宋" w:eastAsia="仿宋"/>
                <w:color w:val="000000"/>
                <w:sz w:val="18"/>
                <w:szCs w:val="18"/>
              </w:rPr>
              <w:t>；4</w:t>
            </w:r>
            <w:r>
              <w:rPr>
                <w:rFonts w:hint="eastAsia" w:ascii="仿宋" w:hAnsi="仿宋" w:eastAsia="仿宋"/>
                <w:color w:val="000000"/>
                <w:spacing w:val="-12"/>
                <w:sz w:val="18"/>
                <w:szCs w:val="18"/>
              </w:rPr>
              <w:t>权籍调查表、宗地图、</w:t>
            </w:r>
            <w:r>
              <w:rPr>
                <w:rFonts w:ascii="仿宋" w:hAnsi="仿宋" w:eastAsia="仿宋"/>
                <w:sz w:val="18"/>
                <w:szCs w:val="18"/>
              </w:rPr>
              <w:t>森林、林木四至范围样式图，林木林地权属界址表</w:t>
            </w:r>
            <w:r>
              <w:rPr>
                <w:rFonts w:hint="eastAsia" w:ascii="仿宋" w:hAnsi="仿宋" w:eastAsia="仿宋"/>
                <w:color w:val="000000"/>
                <w:spacing w:val="-12"/>
                <w:sz w:val="18"/>
                <w:szCs w:val="18"/>
              </w:rPr>
              <w:t>等不动产权籍调查成果;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652"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9"/>
              </w:rPr>
            </w:pPr>
            <w:r>
              <w:rPr>
                <w:rStyle w:val="9"/>
                <w:rFonts w:hint="eastAsia"/>
              </w:rPr>
              <w:t>1、不动产登记机构登记错误给他人造成损害，或者当事人提供虚假材料申请登记给他人造成损害的，依照《中华人民共和国民法典》的规定承担赔偿责任</w:t>
            </w:r>
          </w:p>
          <w:p>
            <w:pPr>
              <w:widowControl/>
              <w:spacing w:line="240" w:lineRule="exact"/>
              <w:jc w:val="left"/>
              <w:textAlignment w:val="center"/>
              <w:rPr>
                <w:rStyle w:val="9"/>
              </w:rPr>
            </w:pPr>
            <w:r>
              <w:rPr>
                <w:rStyle w:val="9"/>
                <w:rFonts w:hint="eastAsia"/>
              </w:rPr>
              <w:t>2、不动产登记机构工作人员进行虚假登记，损毁、伪造不动产登记簿，擅自修改登记事项，或者有其他滥用职权、玩忽职守行为的，依法给予处分，给他人造成损害的，依法承担赔偿责任；构成犯罪的，依法追求刑事责任。不动产登记机构、不动产登记信息共享单位及其工作人员，查询不动产登记资料的单位或者个人违反国家规定，泄露不动产登记资料、登记信息，或者利用不动产登记资料、登记信息进行不正当活动，给他人造成损害的，依法承担赔偿责任；对有关责任人员依法给予处分；有关责任人员构成犯罪的，依法追究刑事责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671"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4281692、4186270</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w:t>
            </w:r>
            <w:bookmarkStart w:id="0" w:name="_GoBack"/>
            <w:r>
              <w:rPr>
                <w:rFonts w:hint="eastAsia" w:ascii="仿宋_GB2312" w:eastAsia="仿宋_GB2312" w:cs="仿宋_GB2312"/>
                <w:color w:val="000000"/>
                <w:kern w:val="0"/>
                <w:sz w:val="18"/>
                <w:szCs w:val="18"/>
              </w:rPr>
              <w:t>举报电话：0335-</w:t>
            </w:r>
            <w:r>
              <w:rPr>
                <w:rFonts w:hint="eastAsia" w:ascii="仿宋_GB2312" w:eastAsia="仿宋_GB2312" w:cs="仿宋_GB2312"/>
                <w:color w:val="000000"/>
                <w:kern w:val="0"/>
                <w:sz w:val="18"/>
                <w:szCs w:val="18"/>
                <w:lang w:val="en-US" w:eastAsia="zh-CN"/>
              </w:rPr>
              <w:t>4281681</w:t>
            </w:r>
          </w:p>
          <w:p>
            <w:pPr>
              <w:widowControl/>
              <w:spacing w:line="240" w:lineRule="exact"/>
              <w:jc w:val="left"/>
              <w:textAlignment w:val="center"/>
              <w:rPr>
                <w:rFonts w:hint="default" w:ascii="黑体" w:eastAsia="仿宋_GB2312" w:cs="黑体"/>
                <w:color w:val="000000"/>
                <w:szCs w:val="21"/>
                <w:lang w:val="en-US" w:eastAsia="zh-CN"/>
              </w:rPr>
            </w:pPr>
            <w:r>
              <w:rPr>
                <w:rFonts w:hint="eastAsia" w:ascii="仿宋_GB2312" w:eastAsia="仿宋_GB2312" w:cs="仿宋_GB2312"/>
                <w:color w:val="000000"/>
                <w:kern w:val="0"/>
                <w:sz w:val="18"/>
                <w:szCs w:val="18"/>
              </w:rPr>
              <w:t>3.纪检监察投诉电话：0335-</w:t>
            </w:r>
            <w:r>
              <w:rPr>
                <w:rFonts w:hint="eastAsia" w:ascii="仿宋_GB2312" w:eastAsia="仿宋_GB2312" w:cs="仿宋_GB2312"/>
                <w:color w:val="000000"/>
                <w:kern w:val="0"/>
                <w:sz w:val="18"/>
                <w:szCs w:val="18"/>
                <w:lang w:val="en-US" w:eastAsia="zh-CN"/>
              </w:rPr>
              <w:t>4281688</w:t>
            </w:r>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3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rPr>
              <w:t>1．公民、</w:t>
            </w:r>
            <w:r>
              <w:rPr>
                <w:rFonts w:ascii="仿宋_GB2312" w:eastAsia="仿宋_GB2312" w:cs="仿宋_GB2312"/>
                <w:color w:val="000000"/>
                <w:kern w:val="0"/>
                <w:sz w:val="18"/>
                <w:szCs w:val="18"/>
              </w:rPr>
              <w:t>法人或其他组织</w:t>
            </w:r>
            <w:r>
              <w:rPr>
                <w:rFonts w:hint="eastAsia" w:ascii="仿宋_GB2312" w:eastAsia="仿宋_GB2312" w:cs="仿宋_GB2312"/>
                <w:color w:val="000000"/>
                <w:kern w:val="0"/>
                <w:sz w:val="18"/>
                <w:szCs w:val="18"/>
              </w:rPr>
              <w:t>认为登记</w:t>
            </w:r>
            <w:r>
              <w:rPr>
                <w:rFonts w:ascii="仿宋" w:hAnsi="仿宋" w:eastAsia="仿宋"/>
                <w:sz w:val="18"/>
                <w:szCs w:val="18"/>
              </w:rPr>
              <w:t>行为侵犯其合法权益的</w:t>
            </w:r>
            <w:r>
              <w:t>，</w:t>
            </w:r>
            <w:r>
              <w:rPr>
                <w:rFonts w:hint="eastAsia" w:ascii="仿宋_GB2312" w:eastAsia="仿宋_GB2312" w:cs="仿宋_GB2312"/>
                <w:color w:val="000000"/>
                <w:kern w:val="0"/>
                <w:sz w:val="18"/>
                <w:szCs w:val="18"/>
              </w:rPr>
              <w:t>自知道</w:t>
            </w:r>
            <w:r>
              <w:rPr>
                <w:rFonts w:ascii="仿宋_GB2312" w:eastAsia="仿宋_GB2312" w:cs="仿宋_GB2312"/>
                <w:color w:val="000000"/>
                <w:kern w:val="0"/>
                <w:sz w:val="18"/>
                <w:szCs w:val="18"/>
              </w:rPr>
              <w:t>登记行为</w:t>
            </w:r>
            <w:r>
              <w:rPr>
                <w:rFonts w:hint="eastAsia" w:ascii="仿宋_GB2312" w:eastAsia="仿宋_GB2312" w:cs="仿宋_GB2312"/>
                <w:color w:val="000000"/>
                <w:kern w:val="0"/>
                <w:sz w:val="18"/>
                <w:szCs w:val="18"/>
              </w:rPr>
              <w:t>之日起六十日内向行政复议机关提出行政复议。</w:t>
            </w:r>
          </w:p>
          <w:p>
            <w:pPr>
              <w:widowControl/>
              <w:spacing w:line="240" w:lineRule="exact"/>
              <w:jc w:val="left"/>
              <w:textAlignment w:val="center"/>
              <w:rPr>
                <w:rFonts w:ascii="黑体" w:eastAsia="黑体" w:cs="黑体"/>
                <w:color w:val="000000"/>
                <w:sz w:val="24"/>
              </w:rPr>
            </w:pPr>
            <w:r>
              <w:rPr>
                <w:rFonts w:hint="eastAsia" w:ascii="仿宋_GB2312" w:eastAsia="仿宋_GB2312" w:cs="仿宋_GB2312"/>
                <w:color w:val="000000"/>
                <w:kern w:val="0"/>
                <w:sz w:val="18"/>
                <w:szCs w:val="18"/>
              </w:rPr>
              <w:t>2．公民、</w:t>
            </w:r>
            <w:r>
              <w:rPr>
                <w:rFonts w:ascii="仿宋_GB2312" w:eastAsia="仿宋_GB2312" w:cs="仿宋_GB2312"/>
                <w:color w:val="000000"/>
                <w:kern w:val="0"/>
                <w:sz w:val="18"/>
                <w:szCs w:val="18"/>
              </w:rPr>
              <w:t>法人或其他组织</w:t>
            </w:r>
            <w:r>
              <w:rPr>
                <w:rFonts w:hint="eastAsia" w:ascii="仿宋_GB2312" w:eastAsia="仿宋_GB2312" w:cs="仿宋_GB2312"/>
                <w:color w:val="000000"/>
                <w:kern w:val="0"/>
                <w:sz w:val="18"/>
                <w:szCs w:val="18"/>
              </w:rPr>
              <w:t>认为登记</w:t>
            </w:r>
            <w:r>
              <w:rPr>
                <w:rFonts w:ascii="仿宋" w:hAnsi="仿宋" w:eastAsia="仿宋"/>
                <w:sz w:val="18"/>
                <w:szCs w:val="18"/>
              </w:rPr>
              <w:t>行为侵犯其合法权益的</w:t>
            </w:r>
            <w:r>
              <w:t>，</w:t>
            </w:r>
            <w:r>
              <w:rPr>
                <w:rFonts w:hint="eastAsia" w:ascii="仿宋_GB2312" w:eastAsia="仿宋_GB2312" w:cs="仿宋_GB2312"/>
                <w:color w:val="000000"/>
                <w:kern w:val="0"/>
                <w:sz w:val="18"/>
                <w:szCs w:val="18"/>
              </w:rPr>
              <w:t>自知道</w:t>
            </w:r>
            <w:r>
              <w:rPr>
                <w:rFonts w:ascii="仿宋_GB2312" w:eastAsia="仿宋_GB2312" w:cs="仿宋_GB2312"/>
                <w:color w:val="000000"/>
                <w:kern w:val="0"/>
                <w:sz w:val="18"/>
                <w:szCs w:val="18"/>
              </w:rPr>
              <w:t>登记行为</w:t>
            </w:r>
            <w:r>
              <w:rPr>
                <w:rFonts w:hint="eastAsia" w:ascii="仿宋_GB2312" w:eastAsia="仿宋_GB2312" w:cs="仿宋_GB2312"/>
                <w:color w:val="000000"/>
                <w:kern w:val="0"/>
                <w:sz w:val="18"/>
                <w:szCs w:val="18"/>
              </w:rPr>
              <w:t>之日起六个月内向人民法院提起行政诉讼。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3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spacing w:line="240" w:lineRule="exact"/>
              <w:jc w:val="left"/>
              <w:textAlignment w:val="center"/>
              <w:rPr>
                <w:rFonts w:ascii="黑体" w:eastAsia="黑体" w:cs="黑体"/>
                <w:b/>
                <w:bCs/>
                <w:color w:val="000000"/>
                <w:szCs w:val="21"/>
              </w:rPr>
            </w:pPr>
          </w:p>
        </w:tc>
      </w:tr>
    </w:tbl>
    <w:p/>
    <w:sectPr>
      <w:pgSz w:w="11906" w:h="16838"/>
      <w:pgMar w:top="567" w:right="1797" w:bottom="45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12B"/>
    <w:rsid w:val="0002512B"/>
    <w:rsid w:val="000B67E3"/>
    <w:rsid w:val="001426AA"/>
    <w:rsid w:val="001B7E09"/>
    <w:rsid w:val="002E2477"/>
    <w:rsid w:val="00303D51"/>
    <w:rsid w:val="003B5118"/>
    <w:rsid w:val="003D3DA8"/>
    <w:rsid w:val="0045451F"/>
    <w:rsid w:val="00460AD1"/>
    <w:rsid w:val="004A004E"/>
    <w:rsid w:val="00506B06"/>
    <w:rsid w:val="00571C90"/>
    <w:rsid w:val="005721A7"/>
    <w:rsid w:val="005D489A"/>
    <w:rsid w:val="00716DBF"/>
    <w:rsid w:val="007977A8"/>
    <w:rsid w:val="00914897"/>
    <w:rsid w:val="009C14B2"/>
    <w:rsid w:val="00A65B9B"/>
    <w:rsid w:val="00A714B3"/>
    <w:rsid w:val="00A7348B"/>
    <w:rsid w:val="00A92882"/>
    <w:rsid w:val="00AC30A9"/>
    <w:rsid w:val="00B20325"/>
    <w:rsid w:val="00B2154C"/>
    <w:rsid w:val="00B834C9"/>
    <w:rsid w:val="00C74275"/>
    <w:rsid w:val="00CD1DB2"/>
    <w:rsid w:val="00D620BB"/>
    <w:rsid w:val="00DB1B64"/>
    <w:rsid w:val="00E22A40"/>
    <w:rsid w:val="00E94CD1"/>
    <w:rsid w:val="00EB06A7"/>
    <w:rsid w:val="00F21CED"/>
    <w:rsid w:val="00F4029E"/>
    <w:rsid w:val="00FE2743"/>
    <w:rsid w:val="064B55CF"/>
    <w:rsid w:val="0EB05CDF"/>
    <w:rsid w:val="16986DB4"/>
    <w:rsid w:val="327A7C53"/>
    <w:rsid w:val="38A61C41"/>
    <w:rsid w:val="44E773E7"/>
    <w:rsid w:val="603D68F1"/>
    <w:rsid w:val="69D00671"/>
    <w:rsid w:val="6BEF7FB0"/>
    <w:rsid w:val="6FD2671A"/>
    <w:rsid w:val="7CFC63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Hyperlink"/>
    <w:basedOn w:val="5"/>
    <w:semiHidden/>
    <w:unhideWhenUsed/>
    <w:qFormat/>
    <w:uiPriority w:val="99"/>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font112"/>
    <w:basedOn w:val="5"/>
    <w:qFormat/>
    <w:uiPriority w:val="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282</Words>
  <Characters>1608</Characters>
  <Lines>13</Lines>
  <Paragraphs>3</Paragraphs>
  <TotalTime>0</TotalTime>
  <ScaleCrop>false</ScaleCrop>
  <LinksUpToDate>false</LinksUpToDate>
  <CharactersWithSpaces>1887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2023-08-17T08:16:00Z</dcterms:created>
  <dc:creator>微软用户</dc:creator>
  <cp:lastModifiedBy>Administrator</cp:lastModifiedBy>
  <dcterms:modified xsi:type="dcterms:W3CDTF">2024-02-04T03:48:04Z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9DDC40A8317E4E0497512C51DEF3AB6A</vt:lpwstr>
  </property>
</Properties>
</file>