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textAlignment w:val="center"/>
        <w:rPr>
          <w:rFonts w:asci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  <w:t>履职行权规程</w:t>
      </w:r>
    </w:p>
    <w:tbl>
      <w:tblPr>
        <w:tblStyle w:val="4"/>
        <w:tblW w:w="1029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63"/>
        <w:gridCol w:w="1050"/>
        <w:gridCol w:w="641"/>
        <w:gridCol w:w="1691"/>
        <w:gridCol w:w="1254"/>
        <w:gridCol w:w="709"/>
        <w:gridCol w:w="992"/>
        <w:gridCol w:w="567"/>
        <w:gridCol w:w="130"/>
        <w:gridCol w:w="180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权力类型</w:t>
            </w:r>
          </w:p>
        </w:tc>
        <w:tc>
          <w:tcPr>
            <w:tcW w:w="196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行政确认</w:t>
            </w:r>
          </w:p>
        </w:tc>
        <w:tc>
          <w:tcPr>
            <w:tcW w:w="15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实施主体</w:t>
            </w:r>
          </w:p>
        </w:tc>
        <w:tc>
          <w:tcPr>
            <w:tcW w:w="193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区资源规划局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事项名称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海域使用权登记以及其他法定需要的不动产权利登记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履职依据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hAnsi="黑体" w:eastAsia="黑体" w:cs="仿宋_GB2312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【法律法规】</w:t>
            </w:r>
          </w:p>
          <w:p>
            <w:pPr>
              <w:spacing w:line="240" w:lineRule="exact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1、《民法典》第二百零九条 不动产物权的设立、变更、转让和消灭，经依法登记，发生效力；未经登记，不发生效力，但是另有规定的除外。依法属于国家所有的自然资源，所有权可以不登记。第二百一十条 不动产登记，由不动产所在地的登记机构办理。国家对不动产实行统一登记制度。统一登记的范围、登记机构和登记办法，由法律、行政法规规定。2、《不动产登记暂行条例》第四条 国家实行不动产统一登记制度。第五条 下列不动产权利，依照本条例的规定办理登记：（七）海域使用权；（十）法律规定需要登记的其他不动产权利。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46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履职流程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办理环节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办理内容</w:t>
            </w:r>
          </w:p>
        </w:tc>
        <w:tc>
          <w:tcPr>
            <w:tcW w:w="6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办理时限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责任科室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受理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不动产登记机构依法查验申请主体、申请材料，询问登记事项、录入相关信息、依法受理或不予受理(不予受理应当告知理由,一次性告知补正材料</w:t>
            </w:r>
          </w:p>
        </w:tc>
        <w:tc>
          <w:tcPr>
            <w:tcW w:w="69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个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工作日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审核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不动产登记机构受理申请人的申请后，根据申请登记事项，按照有关法律、行政法规对申请事项及申请材料做进一步审查，并决定是否予以登记。需要时可调查并实地查看.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登簿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经审核符合登记条件的，将申请登记事项及时记载于不动产登记簿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核发证书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登记事项记载于不动产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登记簿后，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如实、准确填写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并核发不动产权证书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办理渠道</w:t>
            </w:r>
          </w:p>
        </w:tc>
        <w:tc>
          <w:tcPr>
            <w:tcW w:w="463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现场办理</w:t>
            </w:r>
          </w:p>
        </w:tc>
        <w:tc>
          <w:tcPr>
            <w:tcW w:w="1701" w:type="dxa"/>
            <w:gridSpan w:val="2"/>
          </w:tcPr>
          <w:p>
            <w:pPr>
              <w:spacing w:line="240" w:lineRule="exact"/>
              <w:jc w:val="center"/>
              <w:rPr>
                <w:rFonts w:ascii="黑体" w:hAnsi="黑体" w:eastAsia="黑体" w:cs="仿宋_GB2312"/>
                <w:b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b/>
                <w:color w:val="000000"/>
                <w:kern w:val="0"/>
                <w:szCs w:val="21"/>
              </w:rPr>
              <w:t>是否容缺办理</w:t>
            </w:r>
          </w:p>
        </w:tc>
        <w:tc>
          <w:tcPr>
            <w:tcW w:w="24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eastAsia="黑体" w:cs="黑体"/>
                <w:b/>
                <w:bCs/>
                <w:kern w:val="0"/>
                <w:szCs w:val="21"/>
              </w:rPr>
              <w:t>所需资料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1、不动产登记申请书及询问表；2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申请人身份证明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，代为申请登记的，还应提交法人授权委托书、代理人身份证等身份证明材料，境外委托的授权委托书需认证或公证；3、项目用海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批准文件或海域使用权出让合同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；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4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海域使用金缴纳或减免凭证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5</w:t>
            </w:r>
            <w:r>
              <w:rPr>
                <w:rFonts w:hint="eastAsia" w:ascii="仿宋_GB2312" w:eastAsia="仿宋_GB2312"/>
                <w:color w:val="000000"/>
                <w:spacing w:val="-12"/>
                <w:sz w:val="18"/>
                <w:szCs w:val="18"/>
              </w:rPr>
              <w:t>权籍调查表、宗海图（宗海位置图</w:t>
            </w:r>
            <w:r>
              <w:rPr>
                <w:rFonts w:ascii="仿宋_GB2312" w:eastAsia="仿宋_GB2312"/>
                <w:color w:val="000000"/>
                <w:spacing w:val="-12"/>
                <w:sz w:val="18"/>
                <w:szCs w:val="18"/>
              </w:rPr>
              <w:t>、界址图）</w:t>
            </w:r>
            <w:r>
              <w:rPr>
                <w:rFonts w:hint="eastAsia" w:ascii="仿宋_GB2312" w:eastAsia="仿宋_GB2312"/>
                <w:color w:val="000000"/>
                <w:spacing w:val="-12"/>
                <w:sz w:val="18"/>
                <w:szCs w:val="18"/>
              </w:rPr>
              <w:t>、宗海界址点坐标等不动产权籍调查成果;</w:t>
            </w:r>
            <w:r>
              <w:rPr>
                <w:rFonts w:ascii="仿宋_GB2312" w:eastAsia="仿宋_GB2312"/>
                <w:color w:val="000000"/>
                <w:spacing w:val="-12"/>
                <w:sz w:val="18"/>
                <w:szCs w:val="18"/>
              </w:rPr>
              <w:t>6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建筑物构筑物符合规划的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材料和已经竣工的材料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8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追责情形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1、不动产登记机构登记错误给他人造成损害，或者当事人提供虚假材料申请登记给他人造成损害的，依照《中华人民共和国民法典》的规定承担赔偿责任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2、不动产登记机构工作人员进行虚假登记，损毁、伪造不动产登记簿，擅自修改登记事项，或者有其他滥用职权、玩忽职守行为的，依法给予处分，给他人造成损害的，依法承担赔偿责任；构成犯罪的，依法追求刑事责任。不动产登记机构、不动产登记信息共享单位及其工作人员，查询不动产登记资料的单位或者个人违反国家规定，泄露不动产登记资料、登记信息，或者利用不动产登记资料、登记信息进行不正当活动，给他人造成损害的，依法承担赔偿责任；对有关责任人员依法给予处分；有关责任人员构成犯罪的，依法追究刑事责任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4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监督方式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1.业务咨询：0335-4186270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2.投诉举报电话：0335-4186378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3.纪检监察投诉：0335-4281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688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6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法定救济途径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之日起六十日内向行政复议机关提</w:t>
            </w:r>
            <w:bookmarkStart w:id="0" w:name="_GoBack"/>
            <w:bookmarkEnd w:id="0"/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出行政复议。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之日起六个月内向人民法院提起行政诉讼。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12B"/>
    <w:rsid w:val="0002512B"/>
    <w:rsid w:val="000308A7"/>
    <w:rsid w:val="00197AD0"/>
    <w:rsid w:val="001F009B"/>
    <w:rsid w:val="002149A6"/>
    <w:rsid w:val="003934BF"/>
    <w:rsid w:val="003F2E17"/>
    <w:rsid w:val="0045451F"/>
    <w:rsid w:val="00460AD1"/>
    <w:rsid w:val="004F6158"/>
    <w:rsid w:val="00566519"/>
    <w:rsid w:val="005721A7"/>
    <w:rsid w:val="00576093"/>
    <w:rsid w:val="006A198D"/>
    <w:rsid w:val="00720458"/>
    <w:rsid w:val="00747E60"/>
    <w:rsid w:val="007B5EDC"/>
    <w:rsid w:val="007C21C3"/>
    <w:rsid w:val="0091266C"/>
    <w:rsid w:val="00914897"/>
    <w:rsid w:val="009D71D7"/>
    <w:rsid w:val="00A20386"/>
    <w:rsid w:val="00B12B9B"/>
    <w:rsid w:val="00B6099B"/>
    <w:rsid w:val="00B834C9"/>
    <w:rsid w:val="00B95202"/>
    <w:rsid w:val="00BB66E6"/>
    <w:rsid w:val="00C74275"/>
    <w:rsid w:val="00D07841"/>
    <w:rsid w:val="00D620BB"/>
    <w:rsid w:val="00EA6B57"/>
    <w:rsid w:val="00F4029E"/>
    <w:rsid w:val="00FE2743"/>
    <w:rsid w:val="03133644"/>
    <w:rsid w:val="3F2E6AE7"/>
    <w:rsid w:val="459B2A7D"/>
    <w:rsid w:val="58C1339B"/>
    <w:rsid w:val="61914F3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112"/>
    <w:basedOn w:val="5"/>
    <w:qFormat/>
    <w:uiPriority w:val="0"/>
    <w:rPr>
      <w:rFonts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204</Words>
  <Characters>1165</Characters>
  <Lines>9</Lines>
  <Paragraphs>2</Paragraphs>
  <TotalTime>0</TotalTime>
  <ScaleCrop>false</ScaleCrop>
  <LinksUpToDate>false</LinksUpToDate>
  <CharactersWithSpaces>1367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2023-08-17T08:16:00Z</dcterms:created>
  <dc:creator>微软用户</dc:creator>
  <cp:lastModifiedBy>Administrator</cp:lastModifiedBy>
  <dcterms:modified xsi:type="dcterms:W3CDTF">2024-02-04T03:52:21Z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