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textAlignment w:val="center"/>
        <w:rPr>
          <w:rFonts w:asci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000000"/>
          <w:kern w:val="0"/>
          <w:sz w:val="44"/>
          <w:szCs w:val="44"/>
        </w:rPr>
        <w:t>履职行权规程</w:t>
      </w:r>
    </w:p>
    <w:tbl>
      <w:tblPr>
        <w:tblStyle w:val="4"/>
        <w:tblW w:w="10298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63"/>
        <w:gridCol w:w="1050"/>
        <w:gridCol w:w="641"/>
        <w:gridCol w:w="1691"/>
        <w:gridCol w:w="1254"/>
        <w:gridCol w:w="709"/>
        <w:gridCol w:w="992"/>
        <w:gridCol w:w="567"/>
        <w:gridCol w:w="130"/>
        <w:gridCol w:w="180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4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编号</w:t>
            </w:r>
          </w:p>
        </w:tc>
        <w:tc>
          <w:tcPr>
            <w:tcW w:w="169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  <w:tc>
          <w:tcPr>
            <w:tcW w:w="16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权力类型</w:t>
            </w:r>
          </w:p>
        </w:tc>
        <w:tc>
          <w:tcPr>
            <w:tcW w:w="196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行政确认</w:t>
            </w:r>
          </w:p>
        </w:tc>
        <w:tc>
          <w:tcPr>
            <w:tcW w:w="155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实施主体</w:t>
            </w:r>
          </w:p>
        </w:tc>
        <w:tc>
          <w:tcPr>
            <w:tcW w:w="1931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区资源规划局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事项名称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000000"/>
                <w:sz w:val="18"/>
                <w:szCs w:val="18"/>
              </w:rPr>
              <w:t>国有林地使用权登记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3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履职依据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黑体" w:hAnsi="黑体" w:eastAsia="黑体" w:cs="仿宋_GB2312"/>
                <w:kern w:val="0"/>
                <w:sz w:val="18"/>
                <w:szCs w:val="18"/>
              </w:rPr>
            </w:pPr>
            <w:r>
              <w:rPr>
                <w:rFonts w:hint="eastAsia" w:ascii="黑体" w:hAnsi="黑体" w:eastAsia="黑体" w:cs="仿宋_GB2312"/>
                <w:kern w:val="0"/>
                <w:sz w:val="18"/>
                <w:szCs w:val="18"/>
              </w:rPr>
              <w:t>【法律法规】</w:t>
            </w:r>
          </w:p>
          <w:p>
            <w:pPr>
              <w:spacing w:line="240" w:lineRule="exact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kern w:val="0"/>
                <w:sz w:val="18"/>
                <w:szCs w:val="18"/>
              </w:rPr>
              <w:t>1、《民法典》第二百零九条 不动产物权的设立、变更、转让和消灭，经依法登记，发生效力；未经登记，不发生效力，但是另有规定的除外。依法属于国家所有的自然资源，所有权可以不登记。第二百一十条 不动产登记，由不动产所在地的登记机构办理。国家对不动产实行统一登记制度。统一登记的范围、登记机构和登记办法，由法律、行政法规规定。2、《不动产登记暂行条例实施细则》</w:t>
            </w:r>
            <w:r>
              <w:rPr>
                <w:rFonts w:ascii="仿宋" w:hAnsi="仿宋" w:eastAsia="仿宋"/>
                <w:sz w:val="18"/>
                <w:szCs w:val="18"/>
              </w:rPr>
              <w:t>第五十三条国有林地使用权登记，应当提交有批准权的人民政府或者主管部门的批准文件，地上森林、林木一并登记。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1463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履职流程</w:t>
            </w:r>
          </w:p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办理环节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办理内容</w:t>
            </w:r>
          </w:p>
        </w:tc>
        <w:tc>
          <w:tcPr>
            <w:tcW w:w="697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szCs w:val="21"/>
              </w:rPr>
              <w:t>办理时限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责任科室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受理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不动产登记机构依法查验申请主体、申请材料，询问登记事项、录入相关信息、依法受理或不予受理(不予受理应当告知理由,一次性告知补正材料</w:t>
            </w:r>
          </w:p>
        </w:tc>
        <w:tc>
          <w:tcPr>
            <w:tcW w:w="69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个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工作日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5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审核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不动产登记机构受理申请人的申请后，根据申请登记事项，按照有关法律、行政法规对申请事项及申请材料做进一步审查，并决定是否予以登记。需要时可调查并实地查看.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登簿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经审核符合登记条件的，将申请登记事项及时记载于不动产登记簿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黑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463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/>
        </w:tc>
        <w:tc>
          <w:tcPr>
            <w:tcW w:w="10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eastAsia="黑体" w:cs="黑体"/>
                <w:color w:val="000000"/>
                <w:sz w:val="18"/>
                <w:szCs w:val="18"/>
              </w:rPr>
              <w:t>核发证书</w:t>
            </w:r>
          </w:p>
        </w:tc>
        <w:tc>
          <w:tcPr>
            <w:tcW w:w="5287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登记事项记载于不动产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登记簿后，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如实、准确填写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并核发不动产权证书</w:t>
            </w:r>
          </w:p>
        </w:tc>
        <w:tc>
          <w:tcPr>
            <w:tcW w:w="697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0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区不动产登记中心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hAnsi="黑体" w:eastAsia="黑体"/>
                <w:b/>
              </w:rPr>
              <w:t>办理渠道</w:t>
            </w:r>
          </w:p>
        </w:tc>
        <w:tc>
          <w:tcPr>
            <w:tcW w:w="4636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现场办理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黑体" w:hAnsi="黑体" w:eastAsia="黑体" w:cs="仿宋_GB2312"/>
                <w:b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仿宋_GB2312"/>
                <w:b/>
                <w:color w:val="000000"/>
                <w:kern w:val="0"/>
                <w:szCs w:val="21"/>
              </w:rPr>
              <w:t>是否容缺办理</w:t>
            </w:r>
          </w:p>
        </w:tc>
        <w:tc>
          <w:tcPr>
            <w:tcW w:w="2498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黑体" w:hAnsi="黑体" w:eastAsia="黑体"/>
                <w:b/>
              </w:rPr>
            </w:pPr>
            <w:r>
              <w:rPr>
                <w:rFonts w:hint="eastAsia" w:ascii="黑体" w:eastAsia="黑体" w:cs="黑体"/>
                <w:b/>
                <w:bCs/>
                <w:kern w:val="0"/>
                <w:szCs w:val="21"/>
              </w:rPr>
              <w:t>所需资料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1、不动产登记申请书及询问表；2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申请人身份证明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，代为申请登记的，还应提交法人授权委托书、代理人身份证等身份证明材料；3、有批准权的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人民政府或主管部门的批准文件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；4、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森林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、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林木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所有权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及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使用权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的其他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必要</w:t>
            </w:r>
            <w:r>
              <w:rPr>
                <w:rFonts w:ascii="仿宋_GB2312" w:eastAsia="仿宋_GB2312"/>
                <w:color w:val="000000"/>
                <w:sz w:val="18"/>
                <w:szCs w:val="18"/>
              </w:rPr>
              <w:t>材料</w:t>
            </w:r>
            <w:r>
              <w:rPr>
                <w:rFonts w:hint="eastAsia" w:ascii="仿宋_GB2312" w:eastAsia="仿宋_GB2312"/>
                <w:color w:val="000000"/>
                <w:sz w:val="18"/>
                <w:szCs w:val="18"/>
              </w:rPr>
              <w:t>5</w:t>
            </w:r>
            <w:r>
              <w:rPr>
                <w:rFonts w:hint="eastAsia" w:ascii="仿宋_GB2312" w:eastAsia="仿宋_GB2312"/>
                <w:color w:val="000000"/>
                <w:spacing w:val="-12"/>
                <w:sz w:val="18"/>
                <w:szCs w:val="18"/>
              </w:rPr>
              <w:t>权籍调查表、宗地图、宗地界址点坐标等不动产权籍调查成果。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82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kern w:val="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追责情形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1、不动产登记机构登记错误给他人造成损害，或者当事人提供虚假材料申请登记给他人造成损害的，依照《中华人民共和国民法典》的规定承担赔偿责任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Style w:val="8"/>
              </w:rPr>
            </w:pPr>
            <w:r>
              <w:rPr>
                <w:rStyle w:val="8"/>
                <w:rFonts w:hint="eastAsia"/>
              </w:rPr>
              <w:t>2、不动产登记机构工作人员进行虚假登记，损毁、伪造不动产登记簿，擅自修改登记事项，或者有其他滥用职权、玩忽职守行为的，依法给予处分，给他人造成损害的，依法承担赔偿责任；构成犯罪的，依法追求刑事责任。不动产登记机构、不动产登记信息共享单位及其工作人员，查询不动产登记资料的单位或者个人违反国家规定，泄露不动产登记资料、登记信息，或者利用不动产登记资料、登记信息进行不正当活动，给他人造成损害的，依法承担赔偿责任；对有关责任人员依法给予处分；有关责任人员构成犯罪的，依法追究刑事责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0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监督方式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1.业务咨询：0335-4186270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2.投诉举报电话：0335-4186378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Cs w:val="21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3.纪检监察投诉：0335-4281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  <w:lang w:val="en-US" w:eastAsia="zh-CN"/>
              </w:rPr>
              <w:t>688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法定救济途径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1．公民、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之日起六十日内向行政复议机关提出行政复议。</w:t>
            </w:r>
          </w:p>
          <w:p>
            <w:pPr>
              <w:widowControl/>
              <w:spacing w:line="240" w:lineRule="exact"/>
              <w:jc w:val="left"/>
              <w:textAlignment w:val="center"/>
              <w:rPr>
                <w:rFonts w:ascii="黑体" w:eastAsia="黑体" w:cs="黑体"/>
                <w:color w:val="000000"/>
                <w:sz w:val="24"/>
              </w:rPr>
            </w:pP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2．公民、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法人或其他组织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认为登记</w:t>
            </w:r>
            <w:r>
              <w:rPr>
                <w:rFonts w:ascii="仿宋" w:hAnsi="仿宋" w:eastAsia="仿宋"/>
                <w:sz w:val="18"/>
                <w:szCs w:val="18"/>
              </w:rPr>
              <w:t>行为侵犯其合法权益的</w:t>
            </w:r>
            <w:r>
              <w:t>，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自知道</w:t>
            </w:r>
            <w:r>
              <w:rPr>
                <w:rFonts w:ascii="仿宋_GB2312" w:eastAsia="仿宋_GB2312" w:cs="仿宋_GB2312"/>
                <w:color w:val="000000"/>
                <w:kern w:val="0"/>
                <w:sz w:val="18"/>
                <w:szCs w:val="18"/>
              </w:rPr>
              <w:t>登记行为</w:t>
            </w:r>
            <w:r>
              <w:rPr>
                <w:rFonts w:hint="eastAsia" w:ascii="仿宋_GB2312" w:eastAsia="仿宋_GB2312" w:cs="仿宋_GB2312"/>
                <w:color w:val="000000"/>
                <w:kern w:val="0"/>
                <w:sz w:val="18"/>
                <w:szCs w:val="18"/>
              </w:rPr>
              <w:t>之日起六个月内向人民法院提起行政诉讼。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7" w:hRule="atLeast"/>
          <w:jc w:val="center"/>
        </w:trPr>
        <w:tc>
          <w:tcPr>
            <w:tcW w:w="14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  <w:r>
              <w:rPr>
                <w:rFonts w:hint="eastAsia" w:ascii="黑体" w:eastAsia="黑体" w:cs="黑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835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黑体" w:eastAsia="黑体" w:cs="黑体"/>
                <w:b/>
                <w:bCs/>
                <w:color w:val="000000"/>
                <w:szCs w:val="21"/>
              </w:rPr>
            </w:pPr>
          </w:p>
        </w:tc>
      </w:tr>
    </w:tbl>
    <w:p/>
    <w:sectPr>
      <w:pgSz w:w="11906" w:h="16838"/>
      <w:pgMar w:top="1247" w:right="1797" w:bottom="107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2B"/>
    <w:rsid w:val="0002512B"/>
    <w:rsid w:val="00084102"/>
    <w:rsid w:val="001503D7"/>
    <w:rsid w:val="00151CA9"/>
    <w:rsid w:val="0024693A"/>
    <w:rsid w:val="002B04CC"/>
    <w:rsid w:val="002D45F7"/>
    <w:rsid w:val="002F1FCC"/>
    <w:rsid w:val="00362E98"/>
    <w:rsid w:val="0045451F"/>
    <w:rsid w:val="00460AD1"/>
    <w:rsid w:val="004B7F16"/>
    <w:rsid w:val="004F14F1"/>
    <w:rsid w:val="00554C1F"/>
    <w:rsid w:val="005721A7"/>
    <w:rsid w:val="005C4859"/>
    <w:rsid w:val="00663B4C"/>
    <w:rsid w:val="0068542B"/>
    <w:rsid w:val="006F0479"/>
    <w:rsid w:val="00765135"/>
    <w:rsid w:val="007B07D5"/>
    <w:rsid w:val="00801965"/>
    <w:rsid w:val="00804AF1"/>
    <w:rsid w:val="00914897"/>
    <w:rsid w:val="00A51F8D"/>
    <w:rsid w:val="00A63F4A"/>
    <w:rsid w:val="00B3048A"/>
    <w:rsid w:val="00B834C9"/>
    <w:rsid w:val="00C53BD7"/>
    <w:rsid w:val="00C74275"/>
    <w:rsid w:val="00D620BB"/>
    <w:rsid w:val="00E10795"/>
    <w:rsid w:val="00F4029E"/>
    <w:rsid w:val="00F97831"/>
    <w:rsid w:val="00FE2743"/>
    <w:rsid w:val="22D77F59"/>
    <w:rsid w:val="28B03069"/>
    <w:rsid w:val="57007DB0"/>
    <w:rsid w:val="7F371C8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112"/>
    <w:basedOn w:val="5"/>
    <w:qFormat/>
    <w:uiPriority w:val="0"/>
    <w:rPr>
      <w:rFonts w:ascii="仿宋_GB2312" w:eastAsia="仿宋_GB2312" w:cs="仿宋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193</Words>
  <Characters>1104</Characters>
  <Lines>9</Lines>
  <Paragraphs>2</Paragraphs>
  <TotalTime>0</TotalTime>
  <ScaleCrop>false</ScaleCrop>
  <LinksUpToDate>false</LinksUpToDate>
  <CharactersWithSpaces>1295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2023-08-17T08:16:00Z</dcterms:created>
  <dc:creator>微软用户</dc:creator>
  <cp:lastModifiedBy>Administrator</cp:lastModifiedBy>
  <dcterms:modified xsi:type="dcterms:W3CDTF">2024-02-04T03:52:37Z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