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1276"/>
        <w:gridCol w:w="283"/>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行政裁决</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土地权属争议调处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autoSpaceDE w:val="0"/>
              <w:autoSpaceDN w:val="0"/>
              <w:adjustRightInd w:val="0"/>
              <w:spacing w:line="220" w:lineRule="exact"/>
              <w:ind w:firstLine="270" w:firstLineChars="150"/>
              <w:rPr>
                <w:rFonts w:ascii="仿宋_GB2312" w:eastAsia="仿宋_GB2312" w:cs="黑体"/>
                <w:kern w:val="0"/>
                <w:sz w:val="18"/>
                <w:szCs w:val="18"/>
              </w:rPr>
            </w:pPr>
            <w:r>
              <w:rPr>
                <w:rFonts w:hint="eastAsia" w:ascii="仿宋_GB2312" w:eastAsia="仿宋_GB2312" w:cs="仿宋_GB2312"/>
                <w:kern w:val="0"/>
                <w:sz w:val="18"/>
                <w:szCs w:val="18"/>
              </w:rPr>
              <w:t>1.</w:t>
            </w:r>
            <w:r>
              <w:rPr>
                <w:rFonts w:hint="eastAsia" w:ascii="仿宋_GB2312" w:eastAsia="仿宋_GB2312" w:cs="黑体"/>
                <w:kern w:val="0"/>
                <w:sz w:val="18"/>
                <w:szCs w:val="18"/>
              </w:rPr>
              <w:t xml:space="preserve"> 《中华人民共和国土地管理法》（主席令第28号）第十四条 土地所有权和使用权争议，由当事人协商解决；协商不成的，由人民政府处理...由乡级人民政府或者县级以上人民政府处理...在土地所有权和使用权争议解决前，任何一方不得改变土地利用现状。</w:t>
            </w:r>
          </w:p>
          <w:p>
            <w:pPr>
              <w:autoSpaceDE w:val="0"/>
              <w:autoSpaceDN w:val="0"/>
              <w:adjustRightInd w:val="0"/>
              <w:spacing w:line="220" w:lineRule="exact"/>
              <w:ind w:firstLine="180" w:firstLineChars="100"/>
              <w:rPr>
                <w:rFonts w:ascii="仿宋_GB2312" w:eastAsia="仿宋_GB2312" w:cs="仿宋_GB2312"/>
                <w:kern w:val="0"/>
                <w:sz w:val="18"/>
                <w:szCs w:val="18"/>
              </w:rPr>
            </w:pPr>
            <w:r>
              <w:rPr>
                <w:rFonts w:hint="eastAsia" w:ascii="仿宋_GB2312" w:eastAsia="仿宋_GB2312" w:cs="仿宋_GB2312"/>
                <w:kern w:val="0"/>
                <w:sz w:val="18"/>
                <w:szCs w:val="18"/>
              </w:rPr>
              <w:t>2.《土地权属争议调处处理办法》（国土资源部第17号令）第四条 “县级以上国土资源行政主管部门负责土地权属争议案件的调查和调解工作，对需要依法作出处理决定的，拟定处理意见，报同级人民政府作出处理决定。</w:t>
            </w:r>
          </w:p>
          <w:p>
            <w:pPr>
              <w:autoSpaceDE w:val="0"/>
              <w:autoSpaceDN w:val="0"/>
              <w:adjustRightInd w:val="0"/>
              <w:spacing w:line="220" w:lineRule="exact"/>
              <w:rPr>
                <w:rFonts w:ascii="黑体" w:eastAsia="黑体" w:cs="黑体"/>
                <w:b/>
                <w:bCs/>
                <w:color w:val="000000"/>
                <w:szCs w:val="21"/>
              </w:rPr>
            </w:pPr>
            <w:r>
              <w:rPr>
                <w:rFonts w:hint="eastAsia" w:ascii="仿宋_GB2312" w:eastAsia="仿宋_GB2312" w:cs="仿宋_GB2312"/>
                <w:kern w:val="0"/>
                <w:sz w:val="18"/>
                <w:szCs w:val="18"/>
              </w:rPr>
              <w:t>县级以上国土资源主管们可以指定专门机构或者人员负责办理争议案件有关事宜。</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571"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05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hint="eastAsia" w:ascii="仿宋" w:hAnsi="仿宋" w:eastAsia="仿宋" w:cs="黑体"/>
                <w:color w:val="000000"/>
                <w:sz w:val="18"/>
                <w:szCs w:val="18"/>
              </w:rPr>
              <w:t>受理</w:t>
            </w:r>
          </w:p>
        </w:tc>
        <w:tc>
          <w:tcPr>
            <w:tcW w:w="5571" w:type="dxa"/>
            <w:gridSpan w:val="5"/>
            <w:tcBorders>
              <w:tl2br w:val="nil"/>
              <w:tr2bl w:val="nil"/>
            </w:tcBorders>
            <w:shd w:val="clear" w:color="auto" w:fill="auto"/>
            <w:vAlign w:val="center"/>
          </w:tcPr>
          <w:p>
            <w:pPr>
              <w:spacing w:line="240" w:lineRule="exact"/>
              <w:rPr>
                <w:rFonts w:ascii="仿宋" w:hAnsi="仿宋" w:eastAsia="仿宋" w:cs="黑体"/>
                <w:color w:val="000000"/>
                <w:sz w:val="18"/>
                <w:szCs w:val="18"/>
              </w:rPr>
            </w:pPr>
            <w:r>
              <w:rPr>
                <w:rFonts w:hint="eastAsia" w:ascii="仿宋" w:hAnsi="仿宋" w:eastAsia="仿宋" w:cs="仿宋_GB2312"/>
                <w:color w:val="000000"/>
                <w:kern w:val="0"/>
                <w:sz w:val="18"/>
                <w:szCs w:val="18"/>
              </w:rPr>
              <w:t>依法受理或不予受理，并一次性告之不予受理理由或需补充提供的相关材料目录</w:t>
            </w:r>
          </w:p>
        </w:tc>
        <w:tc>
          <w:tcPr>
            <w:tcW w:w="1055" w:type="dxa"/>
            <w:gridSpan w:val="2"/>
            <w:vMerge w:val="restart"/>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180个工作日</w:t>
            </w:r>
          </w:p>
        </w:tc>
        <w:tc>
          <w:tcPr>
            <w:tcW w:w="1159" w:type="dxa"/>
            <w:tcBorders>
              <w:tl2br w:val="nil"/>
              <w:tr2bl w:val="nil"/>
            </w:tcBorders>
            <w:shd w:val="clear" w:color="auto" w:fill="auto"/>
            <w:vAlign w:val="center"/>
          </w:tcPr>
          <w:p>
            <w:pPr>
              <w:spacing w:line="240" w:lineRule="exact"/>
              <w:jc w:val="center"/>
              <w:rPr>
                <w:rFonts w:hint="eastAsia" w:ascii="仿宋" w:hAnsi="仿宋" w:eastAsia="仿宋" w:cs="仿宋_GB2312"/>
                <w:color w:val="000000"/>
                <w:kern w:val="0"/>
                <w:sz w:val="18"/>
                <w:szCs w:val="18"/>
                <w:lang w:eastAsia="zh-CN"/>
              </w:rPr>
            </w:pPr>
            <w:r>
              <w:rPr>
                <w:rFonts w:hint="eastAsia" w:ascii="仿宋" w:hAnsi="仿宋" w:eastAsia="仿宋" w:cs="仿宋_GB2312"/>
                <w:color w:val="000000"/>
                <w:kern w:val="0"/>
                <w:sz w:val="18"/>
                <w:szCs w:val="18"/>
                <w:lang w:eastAsia="zh-CN"/>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hint="eastAsia" w:ascii="仿宋" w:hAnsi="仿宋" w:eastAsia="仿宋" w:cs="黑体"/>
                <w:color w:val="000000"/>
                <w:sz w:val="18"/>
                <w:szCs w:val="18"/>
              </w:rPr>
              <w:t>提交材料</w:t>
            </w:r>
          </w:p>
        </w:tc>
        <w:tc>
          <w:tcPr>
            <w:tcW w:w="5571" w:type="dxa"/>
            <w:gridSpan w:val="5"/>
            <w:tcBorders>
              <w:tl2br w:val="nil"/>
              <w:tr2bl w:val="nil"/>
            </w:tcBorders>
            <w:shd w:val="clear" w:color="auto" w:fill="auto"/>
            <w:vAlign w:val="center"/>
          </w:tcPr>
          <w:p>
            <w:pPr>
              <w:spacing w:line="240" w:lineRule="exact"/>
              <w:rPr>
                <w:rFonts w:ascii="仿宋" w:hAnsi="仿宋" w:eastAsia="仿宋" w:cs="黑体"/>
                <w:color w:val="000000"/>
                <w:sz w:val="18"/>
                <w:szCs w:val="18"/>
              </w:rPr>
            </w:pPr>
            <w:r>
              <w:rPr>
                <w:rFonts w:hint="eastAsia" w:ascii="仿宋" w:hAnsi="仿宋" w:eastAsia="仿宋" w:cs="仿宋_GB2312"/>
                <w:color w:val="000000"/>
                <w:kern w:val="0"/>
                <w:sz w:val="18"/>
                <w:szCs w:val="18"/>
              </w:rPr>
              <w:t>被申请人在接到申请书副本后，交答辩书和证据资料。</w:t>
            </w:r>
          </w:p>
        </w:tc>
        <w:tc>
          <w:tcPr>
            <w:tcW w:w="1055" w:type="dxa"/>
            <w:gridSpan w:val="2"/>
            <w:vMerge w:val="continue"/>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p>
        </w:tc>
        <w:tc>
          <w:tcPr>
            <w:tcW w:w="1159" w:type="dxa"/>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lang w:eastAsia="zh-CN"/>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37"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hint="eastAsia" w:ascii="仿宋" w:hAnsi="仿宋" w:eastAsia="仿宋" w:cs="黑体"/>
                <w:color w:val="000000"/>
                <w:sz w:val="18"/>
                <w:szCs w:val="18"/>
              </w:rPr>
              <w:t>调查</w:t>
            </w:r>
          </w:p>
        </w:tc>
        <w:tc>
          <w:tcPr>
            <w:tcW w:w="5571" w:type="dxa"/>
            <w:gridSpan w:val="5"/>
            <w:tcBorders>
              <w:tl2br w:val="nil"/>
              <w:tr2bl w:val="nil"/>
            </w:tcBorders>
            <w:shd w:val="clear" w:color="auto" w:fill="auto"/>
            <w:vAlign w:val="center"/>
          </w:tcPr>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调查取证</w:t>
            </w:r>
          </w:p>
        </w:tc>
        <w:tc>
          <w:tcPr>
            <w:tcW w:w="1055" w:type="dxa"/>
            <w:gridSpan w:val="2"/>
            <w:vMerge w:val="continue"/>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p>
        </w:tc>
        <w:tc>
          <w:tcPr>
            <w:tcW w:w="1159" w:type="dxa"/>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lang w:eastAsia="zh-CN"/>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hint="eastAsia" w:ascii="仿宋" w:hAnsi="仿宋" w:eastAsia="仿宋" w:cs="黑体"/>
                <w:color w:val="000000"/>
                <w:sz w:val="18"/>
                <w:szCs w:val="18"/>
              </w:rPr>
              <w:t>调解</w:t>
            </w:r>
          </w:p>
        </w:tc>
        <w:tc>
          <w:tcPr>
            <w:tcW w:w="5571" w:type="dxa"/>
            <w:gridSpan w:val="5"/>
            <w:tcBorders>
              <w:tl2br w:val="nil"/>
              <w:tr2bl w:val="nil"/>
            </w:tcBorders>
            <w:shd w:val="clear" w:color="auto" w:fill="auto"/>
            <w:vAlign w:val="center"/>
          </w:tcPr>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达成调解协议的制作调解书，送达当事人，同时抄报上一级自然资源主管部门；</w:t>
            </w:r>
          </w:p>
          <w:p>
            <w:pPr>
              <w:spacing w:line="240" w:lineRule="exact"/>
              <w:rPr>
                <w:rFonts w:ascii="仿宋" w:hAnsi="仿宋" w:eastAsia="仿宋" w:cs="黑体"/>
                <w:color w:val="000000"/>
                <w:sz w:val="18"/>
                <w:szCs w:val="18"/>
              </w:rPr>
            </w:pPr>
            <w:r>
              <w:rPr>
                <w:rFonts w:hint="eastAsia" w:ascii="仿宋" w:hAnsi="仿宋" w:eastAsia="仿宋" w:cs="仿宋_GB2312"/>
                <w:color w:val="000000"/>
                <w:kern w:val="0"/>
                <w:sz w:val="18"/>
                <w:szCs w:val="18"/>
              </w:rPr>
              <w:t>调解未达成协议的，自受理后提出调查处理意见，在5个工作日内报送同级人民政府，由人民政府下达处理决定，同时将处理意见抄报上一级自然资源主管部门。</w:t>
            </w:r>
          </w:p>
        </w:tc>
        <w:tc>
          <w:tcPr>
            <w:tcW w:w="1055" w:type="dxa"/>
            <w:gridSpan w:val="2"/>
            <w:vMerge w:val="continue"/>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p>
        </w:tc>
        <w:tc>
          <w:tcPr>
            <w:tcW w:w="1159" w:type="dxa"/>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lang w:eastAsia="zh-CN"/>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ascii="仿宋" w:hAnsi="仿宋" w:eastAsia="仿宋" w:cs="黑体"/>
                <w:color w:val="000000"/>
                <w:sz w:val="18"/>
                <w:szCs w:val="18"/>
              </w:rPr>
              <w:t>归档</w:t>
            </w:r>
          </w:p>
        </w:tc>
        <w:tc>
          <w:tcPr>
            <w:tcW w:w="5571" w:type="dxa"/>
            <w:gridSpan w:val="5"/>
            <w:tcBorders>
              <w:tl2br w:val="nil"/>
              <w:tr2bl w:val="nil"/>
            </w:tcBorders>
            <w:shd w:val="clear" w:color="auto" w:fill="auto"/>
            <w:vAlign w:val="center"/>
          </w:tcPr>
          <w:p>
            <w:pPr>
              <w:spacing w:line="240" w:lineRule="exact"/>
              <w:rPr>
                <w:rFonts w:ascii="仿宋" w:hAnsi="仿宋" w:eastAsia="仿宋" w:cs="黑体"/>
                <w:color w:val="000000"/>
                <w:sz w:val="18"/>
                <w:szCs w:val="18"/>
              </w:rPr>
            </w:pPr>
            <w:r>
              <w:rPr>
                <w:rFonts w:ascii="仿宋" w:hAnsi="仿宋" w:eastAsia="仿宋" w:cs="仿宋_GB2312"/>
                <w:color w:val="000000"/>
                <w:kern w:val="0"/>
                <w:sz w:val="18"/>
                <w:szCs w:val="18"/>
              </w:rPr>
              <w:t>对审批后的组卷材料进行归档处理，统一留存</w:t>
            </w:r>
            <w:r>
              <w:rPr>
                <w:rFonts w:hint="eastAsia" w:ascii="仿宋" w:hAnsi="仿宋" w:eastAsia="仿宋" w:cs="仿宋_GB2312"/>
                <w:color w:val="000000"/>
                <w:kern w:val="0"/>
                <w:sz w:val="18"/>
                <w:szCs w:val="18"/>
              </w:rPr>
              <w:t>。</w:t>
            </w:r>
          </w:p>
        </w:tc>
        <w:tc>
          <w:tcPr>
            <w:tcW w:w="1055" w:type="dxa"/>
            <w:gridSpan w:val="2"/>
            <w:vMerge w:val="continue"/>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p>
        </w:tc>
        <w:tc>
          <w:tcPr>
            <w:tcW w:w="1159" w:type="dxa"/>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lang w:eastAsia="zh-CN"/>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3"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985"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214"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1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rFonts w:ascii="仿宋" w:hAnsi="仿宋" w:eastAsia="仿宋"/>
                <w:color w:val="auto"/>
              </w:rPr>
            </w:pPr>
            <w:r>
              <w:rPr>
                <w:rStyle w:val="7"/>
                <w:rFonts w:hint="eastAsia" w:ascii="仿宋" w:hAnsi="仿宋" w:eastAsia="仿宋"/>
                <w:color w:val="auto"/>
              </w:rPr>
              <w:t>主体资格证明、土地权属争议申请书、权属争议证据材料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08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rFonts w:ascii="仿宋" w:hAnsi="仿宋" w:eastAsia="仿宋"/>
              </w:rPr>
            </w:pPr>
            <w:r>
              <w:rPr>
                <w:rStyle w:val="7"/>
                <w:rFonts w:ascii="仿宋" w:hAnsi="仿宋" w:eastAsia="仿宋"/>
              </w:rPr>
              <w:t>因不履行或不正确履行行政职责，有下列情形的，行政机关及相关工作人员应承担相应责任：</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1.对符合条件的权属争议裁决申请不予受理、裁决的；</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2.对不符合法定条件的权属争议裁决申请受理、裁决的；</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3.因裁决不当给行政相对人造成损失的；</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4.没有法律和事实依据进行行政裁决的；</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5.在权属争议裁决工作中玩忽职守、滥用职权的；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6.在行政裁决过程中发生腐败行为的；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7.其他违反法律法规规章文件规定的行为。。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0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1.业务咨询：0335-4186270</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2.投诉举报电话：0335-4186378</w:t>
            </w:r>
          </w:p>
          <w:p>
            <w:pPr>
              <w:widowControl/>
              <w:spacing w:line="240" w:lineRule="exact"/>
              <w:jc w:val="left"/>
              <w:textAlignment w:val="center"/>
              <w:rPr>
                <w:rFonts w:ascii="仿宋" w:hAnsi="仿宋" w:eastAsia="仿宋" w:cs="仿宋_GB2312"/>
                <w:color w:val="000000"/>
                <w:kern w:val="0"/>
                <w:sz w:val="18"/>
                <w:szCs w:val="18"/>
              </w:rPr>
            </w:pPr>
            <w:r>
              <w:rPr>
                <w:rFonts w:hint="eastAsia" w:ascii="仿宋_GB2312" w:eastAsia="仿宋_GB2312" w:cs="仿宋_GB2312"/>
                <w:color w:val="000000"/>
                <w:kern w:val="0"/>
                <w:sz w:val="18"/>
                <w:szCs w:val="18"/>
              </w:rPr>
              <w:t>3.纪检监察投诉：0335-4281</w:t>
            </w:r>
            <w:r>
              <w:rPr>
                <w:rFonts w:hint="eastAsia" w:ascii="仿宋_GB2312" w:eastAsia="仿宋_GB2312" w:cs="仿宋_GB2312"/>
                <w:color w:val="000000"/>
                <w:kern w:val="0"/>
                <w:sz w:val="18"/>
                <w:szCs w:val="18"/>
                <w:lang w:val="en-US" w:eastAsia="zh-CN"/>
              </w:rPr>
              <w:t>688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0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1．不服许可决定自知道该具体行政行为之日起六十日内向</w:t>
            </w:r>
            <w:r>
              <w:rPr>
                <w:rFonts w:hint="eastAsia" w:ascii="仿宋" w:hAnsi="仿宋" w:eastAsia="仿宋" w:cs="仿宋_GB2312"/>
                <w:color w:val="000000"/>
                <w:kern w:val="0"/>
                <w:sz w:val="18"/>
                <w:szCs w:val="18"/>
                <w:lang w:eastAsia="zh-CN"/>
              </w:rPr>
              <w:t>区</w:t>
            </w:r>
            <w:r>
              <w:rPr>
                <w:rFonts w:hint="eastAsia" w:ascii="仿宋" w:hAnsi="仿宋" w:eastAsia="仿宋" w:cs="仿宋_GB2312"/>
                <w:color w:val="000000"/>
                <w:kern w:val="0"/>
                <w:sz w:val="18"/>
                <w:szCs w:val="18"/>
              </w:rPr>
              <w:t>政府申请行政复议。</w:t>
            </w:r>
          </w:p>
          <w:p>
            <w:pPr>
              <w:widowControl/>
              <w:jc w:val="left"/>
              <w:textAlignment w:val="center"/>
              <w:rPr>
                <w:rFonts w:ascii="仿宋" w:hAnsi="仿宋" w:eastAsia="仿宋" w:cs="黑体"/>
                <w:b/>
                <w:bCs/>
                <w:color w:val="000000"/>
                <w:szCs w:val="21"/>
              </w:rPr>
            </w:pPr>
            <w:r>
              <w:rPr>
                <w:rFonts w:hint="eastAsia" w:ascii="仿宋" w:hAnsi="仿宋" w:eastAsia="仿宋" w:cs="仿宋_GB2312"/>
                <w:color w:val="000000"/>
                <w:kern w:val="0"/>
                <w:sz w:val="18"/>
                <w:szCs w:val="18"/>
              </w:rPr>
              <w:t>2．不服许可决定应当自知道或者应当知道作出行政行为之日起六个月内提出向北戴河区人民法院提起行政诉讼。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6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ED"/>
    <w:rsid w:val="000C0BFD"/>
    <w:rsid w:val="000C2E81"/>
    <w:rsid w:val="000D1BAD"/>
    <w:rsid w:val="00115221"/>
    <w:rsid w:val="00130D96"/>
    <w:rsid w:val="002455E6"/>
    <w:rsid w:val="00252F81"/>
    <w:rsid w:val="00276DC4"/>
    <w:rsid w:val="002F371C"/>
    <w:rsid w:val="00314A1C"/>
    <w:rsid w:val="003D0C6A"/>
    <w:rsid w:val="003E269F"/>
    <w:rsid w:val="00416605"/>
    <w:rsid w:val="004C722E"/>
    <w:rsid w:val="00526E1F"/>
    <w:rsid w:val="00547FA1"/>
    <w:rsid w:val="0055560C"/>
    <w:rsid w:val="00646AB2"/>
    <w:rsid w:val="00655917"/>
    <w:rsid w:val="00682557"/>
    <w:rsid w:val="006A7DFC"/>
    <w:rsid w:val="0073198C"/>
    <w:rsid w:val="00741F2B"/>
    <w:rsid w:val="007A1B03"/>
    <w:rsid w:val="007B3AB4"/>
    <w:rsid w:val="00830524"/>
    <w:rsid w:val="008442FA"/>
    <w:rsid w:val="008872DD"/>
    <w:rsid w:val="008E7E4E"/>
    <w:rsid w:val="00915FB0"/>
    <w:rsid w:val="009A0D43"/>
    <w:rsid w:val="00A13AAF"/>
    <w:rsid w:val="00A52FD2"/>
    <w:rsid w:val="00BD2AF6"/>
    <w:rsid w:val="00CA20EC"/>
    <w:rsid w:val="00CB16B4"/>
    <w:rsid w:val="00D24BC2"/>
    <w:rsid w:val="00DB558F"/>
    <w:rsid w:val="00E454F1"/>
    <w:rsid w:val="00E70A89"/>
    <w:rsid w:val="00EF269E"/>
    <w:rsid w:val="00F03CB5"/>
    <w:rsid w:val="00F124E3"/>
    <w:rsid w:val="00F35FED"/>
    <w:rsid w:val="00F81182"/>
    <w:rsid w:val="00F8578D"/>
    <w:rsid w:val="19626C6B"/>
    <w:rsid w:val="24781A96"/>
    <w:rsid w:val="4285625B"/>
    <w:rsid w:val="7F0324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uiPriority w:val="99"/>
    <w:rPr>
      <w:rFonts w:ascii="Calibri" w:hAnsi="Calibri" w:eastAsia="宋体" w:cs="Arial"/>
      <w:sz w:val="18"/>
      <w:szCs w:val="18"/>
    </w:rPr>
  </w:style>
  <w:style w:type="character" w:customStyle="1" w:styleId="9">
    <w:name w:val="页眉 Char"/>
    <w:basedOn w:val="6"/>
    <w:link w:val="4"/>
    <w:semiHidden/>
    <w:qFormat/>
    <w:uiPriority w:val="99"/>
    <w:rPr>
      <w:rFonts w:ascii="Calibri" w:hAnsi="Calibri" w:eastAsia="宋体" w:cs="Arial"/>
      <w:sz w:val="18"/>
      <w:szCs w:val="18"/>
    </w:rPr>
  </w:style>
  <w:style w:type="character" w:customStyle="1" w:styleId="10">
    <w:name w:val="页脚 Char"/>
    <w:basedOn w:val="6"/>
    <w:link w:val="3"/>
    <w:semiHidden/>
    <w:qFormat/>
    <w:uiPriority w:val="99"/>
    <w:rPr>
      <w:rFonts w:ascii="Calibri" w:hAnsi="Calibri" w:eastAsia="宋体" w:cs="Arial"/>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160</Words>
  <Characters>912</Characters>
  <Lines>7</Lines>
  <Paragraphs>2</Paragraphs>
  <TotalTime>0</TotalTime>
  <ScaleCrop>false</ScaleCrop>
  <LinksUpToDate>false</LinksUpToDate>
  <CharactersWithSpaces>1070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Administrator</cp:lastModifiedBy>
  <cp:lastPrinted>2023-10-16T08:04:00Z</cp:lastPrinted>
  <dcterms:modified xsi:type="dcterms:W3CDTF">2024-02-04T06:10:56Z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