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tabs>
          <w:tab w:val="left" w:pos="1657"/>
          <w:tab w:val="center" w:pos="7421"/>
        </w:tabs>
        <w:spacing w:before="0" w:after="0" w:line="240" w:lineRule="auto"/>
        <w:ind w:firstLine="0"/>
        <w:jc w:val="left"/>
        <w:outlineLvl w:val="9"/>
      </w:pPr>
      <w:r>
        <w:rPr>
          <w:rFonts w:hint="eastAsia" w:ascii="黑体" w:hAnsi="黑体" w:eastAsia="黑体" w:cs="黑体"/>
          <w:b/>
          <w:color w:val="000000"/>
          <w:sz w:val="30"/>
          <w:lang w:eastAsia="zh-CN"/>
        </w:rPr>
        <w:tab/>
        <w:t/>
      </w:r>
      <w:r>
        <w:rPr>
          <w:rFonts w:hint="eastAsia" w:ascii="黑体" w:hAnsi="黑体" w:eastAsia="黑体" w:cs="黑体"/>
          <w:b/>
          <w:color w:val="000000"/>
          <w:sz w:val="30"/>
          <w:lang w:eastAsia="zh-CN"/>
        </w:rPr>
        <w:tab/>
      </w: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1530.68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1302.20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1530.68</w:t>
            </w:r>
          </w:p>
        </w:tc>
        <w:tc>
          <w:tcPr>
            <w:tcW w:w="4535" w:type="dxa"/>
            <w:vAlign w:val="center"/>
          </w:tcPr>
          <w:p>
            <w:pPr>
              <w:pStyle w:val="16"/>
            </w:pPr>
            <w:r>
              <w:t>本年支出合计</w:t>
            </w:r>
          </w:p>
        </w:tc>
        <w:tc>
          <w:tcPr>
            <w:tcW w:w="2126" w:type="dxa"/>
            <w:vAlign w:val="center"/>
          </w:tcPr>
          <w:p>
            <w:pPr>
              <w:pStyle w:val="17"/>
            </w:pPr>
            <w:r>
              <w:t>1530.68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1530.68</w:t>
            </w:r>
          </w:p>
        </w:tc>
        <w:tc>
          <w:tcPr>
            <w:tcW w:w="4535" w:type="dxa"/>
            <w:vAlign w:val="center"/>
          </w:tcPr>
          <w:p>
            <w:pPr>
              <w:pStyle w:val="16"/>
            </w:pPr>
            <w:r>
              <w:t>支出总计</w:t>
            </w:r>
          </w:p>
        </w:tc>
        <w:tc>
          <w:tcPr>
            <w:tcW w:w="2126" w:type="dxa"/>
            <w:vAlign w:val="center"/>
          </w:tcPr>
          <w:p>
            <w:pPr>
              <w:pStyle w:val="17"/>
            </w:pPr>
            <w:r>
              <w:t>1530.68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1530.68</w:t>
            </w:r>
          </w:p>
        </w:tc>
        <w:tc>
          <w:tcPr>
            <w:tcW w:w="1134" w:type="dxa"/>
            <w:vAlign w:val="center"/>
          </w:tcPr>
          <w:p>
            <w:pPr>
              <w:pStyle w:val="17"/>
            </w:pPr>
            <w:r>
              <w:t>1530.68</w:t>
            </w:r>
          </w:p>
        </w:tc>
        <w:tc>
          <w:tcPr>
            <w:tcW w:w="1134" w:type="dxa"/>
            <w:vAlign w:val="center"/>
          </w:tcPr>
          <w:p>
            <w:pPr>
              <w:pStyle w:val="17"/>
            </w:pPr>
            <w:r>
              <w:t>1530.68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2050299</w:t>
            </w:r>
          </w:p>
        </w:tc>
        <w:tc>
          <w:tcPr>
            <w:tcW w:w="1559" w:type="dxa"/>
            <w:vAlign w:val="center"/>
          </w:tcPr>
          <w:p>
            <w:pPr>
              <w:pStyle w:val="14"/>
            </w:pPr>
            <w:r>
              <w:t>其他普通教育支出</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1302.20</w:t>
            </w:r>
          </w:p>
        </w:tc>
        <w:tc>
          <w:tcPr>
            <w:tcW w:w="1134" w:type="dxa"/>
            <w:vAlign w:val="center"/>
          </w:tcPr>
          <w:p>
            <w:pPr>
              <w:pStyle w:val="13"/>
            </w:pPr>
            <w:r>
              <w:t>1302.20</w:t>
            </w:r>
          </w:p>
        </w:tc>
        <w:tc>
          <w:tcPr>
            <w:tcW w:w="1134" w:type="dxa"/>
            <w:vAlign w:val="center"/>
          </w:tcPr>
          <w:p>
            <w:pPr>
              <w:pStyle w:val="13"/>
            </w:pPr>
            <w:r>
              <w:t>1302.20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852.09</w:t>
            </w:r>
          </w:p>
        </w:tc>
        <w:tc>
          <w:tcPr>
            <w:tcW w:w="1134" w:type="dxa"/>
            <w:vAlign w:val="center"/>
          </w:tcPr>
          <w:p>
            <w:pPr>
              <w:pStyle w:val="13"/>
            </w:pPr>
            <w:r>
              <w:t>852.09</w:t>
            </w:r>
          </w:p>
        </w:tc>
        <w:tc>
          <w:tcPr>
            <w:tcW w:w="1134" w:type="dxa"/>
            <w:vAlign w:val="center"/>
          </w:tcPr>
          <w:p>
            <w:pPr>
              <w:pStyle w:val="13"/>
            </w:pPr>
            <w:r>
              <w:t>852.09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815.77</w:t>
            </w:r>
          </w:p>
        </w:tc>
        <w:tc>
          <w:tcPr>
            <w:tcW w:w="1134" w:type="dxa"/>
            <w:vAlign w:val="center"/>
          </w:tcPr>
          <w:p>
            <w:pPr>
              <w:pStyle w:val="13"/>
            </w:pPr>
            <w:r>
              <w:t>815.77</w:t>
            </w:r>
          </w:p>
        </w:tc>
        <w:tc>
          <w:tcPr>
            <w:tcW w:w="1134" w:type="dxa"/>
            <w:vAlign w:val="center"/>
          </w:tcPr>
          <w:p>
            <w:pPr>
              <w:pStyle w:val="13"/>
            </w:pPr>
            <w:r>
              <w:t>815.77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36.32</w:t>
            </w:r>
          </w:p>
        </w:tc>
        <w:tc>
          <w:tcPr>
            <w:tcW w:w="1134" w:type="dxa"/>
            <w:vAlign w:val="center"/>
          </w:tcPr>
          <w:p>
            <w:pPr>
              <w:pStyle w:val="13"/>
            </w:pPr>
            <w:r>
              <w:t>36.32</w:t>
            </w:r>
          </w:p>
        </w:tc>
        <w:tc>
          <w:tcPr>
            <w:tcW w:w="1134" w:type="dxa"/>
            <w:vAlign w:val="center"/>
          </w:tcPr>
          <w:p>
            <w:pPr>
              <w:pStyle w:val="13"/>
            </w:pPr>
            <w:r>
              <w:t>36.32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49.74</w:t>
            </w:r>
          </w:p>
        </w:tc>
        <w:tc>
          <w:tcPr>
            <w:tcW w:w="1134" w:type="dxa"/>
            <w:vAlign w:val="center"/>
          </w:tcPr>
          <w:p>
            <w:pPr>
              <w:pStyle w:val="13"/>
            </w:pPr>
            <w:r>
              <w:t>49.74</w:t>
            </w:r>
          </w:p>
        </w:tc>
        <w:tc>
          <w:tcPr>
            <w:tcW w:w="1134" w:type="dxa"/>
            <w:vAlign w:val="center"/>
          </w:tcPr>
          <w:p>
            <w:pPr>
              <w:pStyle w:val="13"/>
            </w:pPr>
            <w:r>
              <w:t>49.74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80.37</w:t>
            </w:r>
          </w:p>
        </w:tc>
        <w:tc>
          <w:tcPr>
            <w:tcW w:w="1134" w:type="dxa"/>
            <w:vAlign w:val="center"/>
          </w:tcPr>
          <w:p>
            <w:pPr>
              <w:pStyle w:val="13"/>
            </w:pPr>
            <w:r>
              <w:t>80.37</w:t>
            </w:r>
          </w:p>
        </w:tc>
        <w:tc>
          <w:tcPr>
            <w:tcW w:w="1134" w:type="dxa"/>
            <w:vAlign w:val="center"/>
          </w:tcPr>
          <w:p>
            <w:pPr>
              <w:pStyle w:val="13"/>
            </w:pPr>
            <w:r>
              <w:t>80.37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r>
              <w:t>320.00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74.04</w:t>
            </w:r>
          </w:p>
        </w:tc>
        <w:tc>
          <w:tcPr>
            <w:tcW w:w="1134" w:type="dxa"/>
            <w:vAlign w:val="center"/>
          </w:tcPr>
          <w:p>
            <w:pPr>
              <w:pStyle w:val="13"/>
            </w:pPr>
            <w:r>
              <w:t>74.04</w:t>
            </w:r>
          </w:p>
        </w:tc>
        <w:tc>
          <w:tcPr>
            <w:tcW w:w="1134" w:type="dxa"/>
            <w:vAlign w:val="center"/>
          </w:tcPr>
          <w:p>
            <w:pPr>
              <w:pStyle w:val="13"/>
            </w:pPr>
            <w:r>
              <w:t>74.04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74.04</w:t>
            </w:r>
          </w:p>
        </w:tc>
        <w:tc>
          <w:tcPr>
            <w:tcW w:w="1134" w:type="dxa"/>
            <w:vAlign w:val="center"/>
          </w:tcPr>
          <w:p>
            <w:pPr>
              <w:pStyle w:val="13"/>
            </w:pPr>
            <w:r>
              <w:t>74.04</w:t>
            </w:r>
          </w:p>
        </w:tc>
        <w:tc>
          <w:tcPr>
            <w:tcW w:w="1134" w:type="dxa"/>
            <w:vAlign w:val="center"/>
          </w:tcPr>
          <w:p>
            <w:pPr>
              <w:pStyle w:val="13"/>
            </w:pPr>
            <w:r>
              <w:t>74.04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30.78</w:t>
            </w:r>
          </w:p>
        </w:tc>
        <w:tc>
          <w:tcPr>
            <w:tcW w:w="1134" w:type="dxa"/>
            <w:vAlign w:val="center"/>
          </w:tcPr>
          <w:p>
            <w:pPr>
              <w:pStyle w:val="13"/>
            </w:pPr>
            <w:r>
              <w:t>30.78</w:t>
            </w:r>
          </w:p>
        </w:tc>
        <w:tc>
          <w:tcPr>
            <w:tcW w:w="1134" w:type="dxa"/>
            <w:vAlign w:val="center"/>
          </w:tcPr>
          <w:p>
            <w:pPr>
              <w:pStyle w:val="13"/>
            </w:pPr>
            <w:r>
              <w:t>30.78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43.26</w:t>
            </w:r>
          </w:p>
        </w:tc>
        <w:tc>
          <w:tcPr>
            <w:tcW w:w="1134" w:type="dxa"/>
            <w:vAlign w:val="center"/>
          </w:tcPr>
          <w:p>
            <w:pPr>
              <w:pStyle w:val="13"/>
            </w:pPr>
            <w:r>
              <w:t>43.26</w:t>
            </w:r>
          </w:p>
        </w:tc>
        <w:tc>
          <w:tcPr>
            <w:tcW w:w="1134" w:type="dxa"/>
            <w:vAlign w:val="center"/>
          </w:tcPr>
          <w:p>
            <w:pPr>
              <w:pStyle w:val="13"/>
            </w:pPr>
            <w:r>
              <w:t>43.26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r>
              <w:t>64.44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1530.68</w:t>
            </w:r>
          </w:p>
        </w:tc>
        <w:tc>
          <w:tcPr>
            <w:tcW w:w="1361" w:type="dxa"/>
            <w:vAlign w:val="center"/>
          </w:tcPr>
          <w:p>
            <w:pPr>
              <w:pStyle w:val="17"/>
            </w:pPr>
            <w:r>
              <w:t>1084.36</w:t>
            </w:r>
          </w:p>
        </w:tc>
        <w:tc>
          <w:tcPr>
            <w:tcW w:w="1361" w:type="dxa"/>
            <w:vAlign w:val="center"/>
          </w:tcPr>
          <w:p>
            <w:pPr>
              <w:pStyle w:val="17"/>
            </w:pPr>
            <w:r>
              <w:t>446.32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2050299</w:t>
            </w:r>
          </w:p>
        </w:tc>
        <w:tc>
          <w:tcPr>
            <w:tcW w:w="4535" w:type="dxa"/>
            <w:vAlign w:val="center"/>
          </w:tcPr>
          <w:p>
            <w:pPr>
              <w:pStyle w:val="14"/>
            </w:pPr>
            <w:r>
              <w:t>其他普通教育支出</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1302.20</w:t>
            </w:r>
          </w:p>
        </w:tc>
        <w:tc>
          <w:tcPr>
            <w:tcW w:w="1361" w:type="dxa"/>
            <w:vAlign w:val="center"/>
          </w:tcPr>
          <w:p>
            <w:pPr>
              <w:pStyle w:val="13"/>
            </w:pPr>
            <w:r>
              <w:t>945.88</w:t>
            </w:r>
          </w:p>
        </w:tc>
        <w:tc>
          <w:tcPr>
            <w:tcW w:w="1361" w:type="dxa"/>
            <w:vAlign w:val="center"/>
          </w:tcPr>
          <w:p>
            <w:pPr>
              <w:pStyle w:val="13"/>
            </w:pPr>
            <w:r>
              <w:t>356.32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852.09</w:t>
            </w:r>
          </w:p>
        </w:tc>
        <w:tc>
          <w:tcPr>
            <w:tcW w:w="1361" w:type="dxa"/>
            <w:vAlign w:val="center"/>
          </w:tcPr>
          <w:p>
            <w:pPr>
              <w:pStyle w:val="13"/>
            </w:pPr>
            <w:r>
              <w:t>815.77</w:t>
            </w:r>
          </w:p>
        </w:tc>
        <w:tc>
          <w:tcPr>
            <w:tcW w:w="1361" w:type="dxa"/>
            <w:vAlign w:val="center"/>
          </w:tcPr>
          <w:p>
            <w:pPr>
              <w:pStyle w:val="13"/>
            </w:pPr>
            <w:r>
              <w:t>36.32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815.77</w:t>
            </w:r>
          </w:p>
        </w:tc>
        <w:tc>
          <w:tcPr>
            <w:tcW w:w="1361" w:type="dxa"/>
            <w:vAlign w:val="center"/>
          </w:tcPr>
          <w:p>
            <w:pPr>
              <w:pStyle w:val="13"/>
            </w:pPr>
            <w:r>
              <w:t>815.77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36.32</w:t>
            </w:r>
          </w:p>
        </w:tc>
        <w:tc>
          <w:tcPr>
            <w:tcW w:w="1361" w:type="dxa"/>
            <w:vAlign w:val="center"/>
          </w:tcPr>
          <w:p>
            <w:pPr>
              <w:pStyle w:val="13"/>
            </w:pPr>
          </w:p>
        </w:tc>
        <w:tc>
          <w:tcPr>
            <w:tcW w:w="1361" w:type="dxa"/>
            <w:vAlign w:val="center"/>
          </w:tcPr>
          <w:p>
            <w:pPr>
              <w:pStyle w:val="13"/>
            </w:pPr>
            <w:r>
              <w:t>36.32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130.11</w:t>
            </w:r>
          </w:p>
        </w:tc>
        <w:tc>
          <w:tcPr>
            <w:tcW w:w="1361" w:type="dxa"/>
            <w:vAlign w:val="center"/>
          </w:tcPr>
          <w:p>
            <w:pPr>
              <w:pStyle w:val="13"/>
            </w:pPr>
            <w:r>
              <w:t>130.11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49.74</w:t>
            </w:r>
          </w:p>
        </w:tc>
        <w:tc>
          <w:tcPr>
            <w:tcW w:w="1361" w:type="dxa"/>
            <w:vAlign w:val="center"/>
          </w:tcPr>
          <w:p>
            <w:pPr>
              <w:pStyle w:val="13"/>
            </w:pPr>
            <w:r>
              <w:t>49.74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80.37</w:t>
            </w:r>
          </w:p>
        </w:tc>
        <w:tc>
          <w:tcPr>
            <w:tcW w:w="1361" w:type="dxa"/>
            <w:vAlign w:val="center"/>
          </w:tcPr>
          <w:p>
            <w:pPr>
              <w:pStyle w:val="13"/>
            </w:pPr>
            <w:r>
              <w:t>80.37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r>
              <w:t>320.00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74.04</w:t>
            </w:r>
          </w:p>
        </w:tc>
        <w:tc>
          <w:tcPr>
            <w:tcW w:w="1361" w:type="dxa"/>
            <w:vAlign w:val="center"/>
          </w:tcPr>
          <w:p>
            <w:pPr>
              <w:pStyle w:val="13"/>
            </w:pPr>
            <w:r>
              <w:t>74.04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74.04</w:t>
            </w:r>
          </w:p>
        </w:tc>
        <w:tc>
          <w:tcPr>
            <w:tcW w:w="1361" w:type="dxa"/>
            <w:vAlign w:val="center"/>
          </w:tcPr>
          <w:p>
            <w:pPr>
              <w:pStyle w:val="13"/>
            </w:pPr>
            <w:r>
              <w:t>74.04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30.78</w:t>
            </w:r>
          </w:p>
        </w:tc>
        <w:tc>
          <w:tcPr>
            <w:tcW w:w="1361" w:type="dxa"/>
            <w:vAlign w:val="center"/>
          </w:tcPr>
          <w:p>
            <w:pPr>
              <w:pStyle w:val="13"/>
            </w:pPr>
            <w:r>
              <w:t>30.78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43.26</w:t>
            </w:r>
          </w:p>
        </w:tc>
        <w:tc>
          <w:tcPr>
            <w:tcW w:w="1361" w:type="dxa"/>
            <w:vAlign w:val="center"/>
          </w:tcPr>
          <w:p>
            <w:pPr>
              <w:pStyle w:val="13"/>
            </w:pPr>
            <w:r>
              <w:t>43.26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64.44</w:t>
            </w:r>
          </w:p>
        </w:tc>
        <w:tc>
          <w:tcPr>
            <w:tcW w:w="1361" w:type="dxa"/>
            <w:vAlign w:val="center"/>
          </w:tcPr>
          <w:p>
            <w:pPr>
              <w:pStyle w:val="13"/>
            </w:pPr>
            <w:r>
              <w:t>64.44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64.44</w:t>
            </w:r>
          </w:p>
        </w:tc>
        <w:tc>
          <w:tcPr>
            <w:tcW w:w="1361" w:type="dxa"/>
            <w:vAlign w:val="center"/>
          </w:tcPr>
          <w:p>
            <w:pPr>
              <w:pStyle w:val="13"/>
            </w:pPr>
            <w:r>
              <w:t>64.44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64.44</w:t>
            </w:r>
          </w:p>
        </w:tc>
        <w:tc>
          <w:tcPr>
            <w:tcW w:w="1361" w:type="dxa"/>
            <w:vAlign w:val="center"/>
          </w:tcPr>
          <w:p>
            <w:pPr>
              <w:pStyle w:val="13"/>
            </w:pPr>
            <w:r>
              <w:t>64.44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1530.68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90.00</w:t>
            </w:r>
          </w:p>
        </w:tc>
        <w:tc>
          <w:tcPr>
            <w:tcW w:w="1474" w:type="dxa"/>
            <w:vAlign w:val="center"/>
          </w:tcPr>
          <w:p>
            <w:pPr>
              <w:pStyle w:val="13"/>
            </w:pPr>
            <w:r>
              <w:t>90.00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1302.20</w:t>
            </w:r>
          </w:p>
        </w:tc>
        <w:tc>
          <w:tcPr>
            <w:tcW w:w="1474" w:type="dxa"/>
            <w:vAlign w:val="center"/>
          </w:tcPr>
          <w:p>
            <w:pPr>
              <w:pStyle w:val="13"/>
            </w:pPr>
            <w:r>
              <w:t>1302.20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74.04</w:t>
            </w:r>
          </w:p>
        </w:tc>
        <w:tc>
          <w:tcPr>
            <w:tcW w:w="1474" w:type="dxa"/>
            <w:vAlign w:val="center"/>
          </w:tcPr>
          <w:p>
            <w:pPr>
              <w:pStyle w:val="13"/>
            </w:pPr>
            <w:r>
              <w:t>74.04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64.44</w:t>
            </w:r>
          </w:p>
        </w:tc>
        <w:tc>
          <w:tcPr>
            <w:tcW w:w="1474" w:type="dxa"/>
            <w:vAlign w:val="center"/>
          </w:tcPr>
          <w:p>
            <w:pPr>
              <w:pStyle w:val="13"/>
            </w:pPr>
            <w:r>
              <w:t>64.44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1530.68</w:t>
            </w:r>
          </w:p>
        </w:tc>
        <w:tc>
          <w:tcPr>
            <w:tcW w:w="3402" w:type="dxa"/>
            <w:vAlign w:val="center"/>
          </w:tcPr>
          <w:p>
            <w:pPr>
              <w:pStyle w:val="16"/>
            </w:pPr>
            <w:r>
              <w:t>本年支出合计</w:t>
            </w:r>
          </w:p>
        </w:tc>
        <w:tc>
          <w:tcPr>
            <w:tcW w:w="1474" w:type="dxa"/>
            <w:vAlign w:val="center"/>
          </w:tcPr>
          <w:p>
            <w:pPr>
              <w:pStyle w:val="17"/>
            </w:pPr>
            <w:r>
              <w:t>1530.68</w:t>
            </w:r>
          </w:p>
        </w:tc>
        <w:tc>
          <w:tcPr>
            <w:tcW w:w="1474" w:type="dxa"/>
            <w:vAlign w:val="center"/>
          </w:tcPr>
          <w:p>
            <w:pPr>
              <w:pStyle w:val="17"/>
            </w:pPr>
            <w:r>
              <w:t>1530.68</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1530.68</w:t>
            </w:r>
          </w:p>
        </w:tc>
        <w:tc>
          <w:tcPr>
            <w:tcW w:w="3402" w:type="dxa"/>
            <w:vAlign w:val="center"/>
          </w:tcPr>
          <w:p>
            <w:pPr>
              <w:pStyle w:val="16"/>
            </w:pPr>
            <w:r>
              <w:t>支出总计</w:t>
            </w:r>
          </w:p>
        </w:tc>
        <w:tc>
          <w:tcPr>
            <w:tcW w:w="1474" w:type="dxa"/>
            <w:vAlign w:val="center"/>
          </w:tcPr>
          <w:p>
            <w:pPr>
              <w:pStyle w:val="17"/>
            </w:pPr>
            <w:r>
              <w:t>1530.68</w:t>
            </w:r>
          </w:p>
        </w:tc>
        <w:tc>
          <w:tcPr>
            <w:tcW w:w="1474" w:type="dxa"/>
            <w:vAlign w:val="center"/>
          </w:tcPr>
          <w:p>
            <w:pPr>
              <w:pStyle w:val="17"/>
            </w:pPr>
            <w:r>
              <w:t>1530.68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1530.68</w:t>
            </w:r>
          </w:p>
        </w:tc>
        <w:tc>
          <w:tcPr>
            <w:tcW w:w="2551" w:type="dxa"/>
            <w:vAlign w:val="center"/>
          </w:tcPr>
          <w:p>
            <w:pPr>
              <w:pStyle w:val="17"/>
            </w:pPr>
            <w:r>
              <w:t>1084.36</w:t>
            </w:r>
          </w:p>
        </w:tc>
        <w:tc>
          <w:tcPr>
            <w:tcW w:w="2551" w:type="dxa"/>
            <w:vAlign w:val="center"/>
          </w:tcPr>
          <w:p>
            <w:pPr>
              <w:pStyle w:val="17"/>
            </w:pPr>
            <w:r>
              <w:t>446.32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2050299</w:t>
            </w:r>
          </w:p>
        </w:tc>
        <w:tc>
          <w:tcPr>
            <w:tcW w:w="4535" w:type="dxa"/>
            <w:vAlign w:val="center"/>
          </w:tcPr>
          <w:p>
            <w:pPr>
              <w:pStyle w:val="14"/>
            </w:pPr>
            <w:r>
              <w:t>其他普通教育支出</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1302.20</w:t>
            </w:r>
          </w:p>
        </w:tc>
        <w:tc>
          <w:tcPr>
            <w:tcW w:w="2551" w:type="dxa"/>
            <w:vAlign w:val="center"/>
          </w:tcPr>
          <w:p>
            <w:pPr>
              <w:pStyle w:val="13"/>
            </w:pPr>
            <w:r>
              <w:t>945.88</w:t>
            </w:r>
          </w:p>
        </w:tc>
        <w:tc>
          <w:tcPr>
            <w:tcW w:w="2551" w:type="dxa"/>
            <w:vAlign w:val="center"/>
          </w:tcPr>
          <w:p>
            <w:pPr>
              <w:pStyle w:val="13"/>
            </w:pPr>
            <w:r>
              <w:t>356.32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852.09</w:t>
            </w:r>
          </w:p>
        </w:tc>
        <w:tc>
          <w:tcPr>
            <w:tcW w:w="2551" w:type="dxa"/>
            <w:vAlign w:val="center"/>
          </w:tcPr>
          <w:p>
            <w:pPr>
              <w:pStyle w:val="13"/>
            </w:pPr>
            <w:r>
              <w:t>815.77</w:t>
            </w:r>
          </w:p>
        </w:tc>
        <w:tc>
          <w:tcPr>
            <w:tcW w:w="2551" w:type="dxa"/>
            <w:vAlign w:val="center"/>
          </w:tcPr>
          <w:p>
            <w:pPr>
              <w:pStyle w:val="13"/>
            </w:pPr>
            <w:r>
              <w:t>36.32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815.77</w:t>
            </w:r>
          </w:p>
        </w:tc>
        <w:tc>
          <w:tcPr>
            <w:tcW w:w="2551" w:type="dxa"/>
            <w:vAlign w:val="center"/>
          </w:tcPr>
          <w:p>
            <w:pPr>
              <w:pStyle w:val="13"/>
            </w:pPr>
            <w:r>
              <w:t>815.77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36.32</w:t>
            </w:r>
          </w:p>
        </w:tc>
        <w:tc>
          <w:tcPr>
            <w:tcW w:w="2551" w:type="dxa"/>
            <w:vAlign w:val="center"/>
          </w:tcPr>
          <w:p>
            <w:pPr>
              <w:pStyle w:val="13"/>
            </w:pPr>
          </w:p>
        </w:tc>
        <w:tc>
          <w:tcPr>
            <w:tcW w:w="2551" w:type="dxa"/>
            <w:vAlign w:val="center"/>
          </w:tcPr>
          <w:p>
            <w:pPr>
              <w:pStyle w:val="13"/>
            </w:pPr>
            <w:r>
              <w:t>36.32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130.11</w:t>
            </w:r>
          </w:p>
        </w:tc>
        <w:tc>
          <w:tcPr>
            <w:tcW w:w="2551" w:type="dxa"/>
            <w:vAlign w:val="center"/>
          </w:tcPr>
          <w:p>
            <w:pPr>
              <w:pStyle w:val="13"/>
            </w:pPr>
            <w:r>
              <w:t>130.11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49.74</w:t>
            </w:r>
          </w:p>
        </w:tc>
        <w:tc>
          <w:tcPr>
            <w:tcW w:w="2551" w:type="dxa"/>
            <w:vAlign w:val="center"/>
          </w:tcPr>
          <w:p>
            <w:pPr>
              <w:pStyle w:val="13"/>
            </w:pPr>
            <w:r>
              <w:t>49.74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80.37</w:t>
            </w:r>
          </w:p>
        </w:tc>
        <w:tc>
          <w:tcPr>
            <w:tcW w:w="2551" w:type="dxa"/>
            <w:vAlign w:val="center"/>
          </w:tcPr>
          <w:p>
            <w:pPr>
              <w:pStyle w:val="13"/>
            </w:pPr>
            <w:r>
              <w:t>80.37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320.00</w:t>
            </w:r>
          </w:p>
        </w:tc>
        <w:tc>
          <w:tcPr>
            <w:tcW w:w="2551" w:type="dxa"/>
            <w:vAlign w:val="center"/>
          </w:tcPr>
          <w:p>
            <w:pPr>
              <w:pStyle w:val="13"/>
            </w:pPr>
          </w:p>
        </w:tc>
        <w:tc>
          <w:tcPr>
            <w:tcW w:w="2551" w:type="dxa"/>
            <w:vAlign w:val="center"/>
          </w:tcPr>
          <w:p>
            <w:pPr>
              <w:pStyle w:val="13"/>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320.00</w:t>
            </w:r>
          </w:p>
        </w:tc>
        <w:tc>
          <w:tcPr>
            <w:tcW w:w="2551" w:type="dxa"/>
            <w:vAlign w:val="center"/>
          </w:tcPr>
          <w:p>
            <w:pPr>
              <w:pStyle w:val="13"/>
            </w:pPr>
          </w:p>
        </w:tc>
        <w:tc>
          <w:tcPr>
            <w:tcW w:w="2551" w:type="dxa"/>
            <w:vAlign w:val="center"/>
          </w:tcPr>
          <w:p>
            <w:pPr>
              <w:pStyle w:val="13"/>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74.04</w:t>
            </w:r>
          </w:p>
        </w:tc>
        <w:tc>
          <w:tcPr>
            <w:tcW w:w="2551" w:type="dxa"/>
            <w:vAlign w:val="center"/>
          </w:tcPr>
          <w:p>
            <w:pPr>
              <w:pStyle w:val="13"/>
            </w:pPr>
            <w:r>
              <w:t>74.04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74.04</w:t>
            </w:r>
          </w:p>
        </w:tc>
        <w:tc>
          <w:tcPr>
            <w:tcW w:w="2551" w:type="dxa"/>
            <w:vAlign w:val="center"/>
          </w:tcPr>
          <w:p>
            <w:pPr>
              <w:pStyle w:val="13"/>
            </w:pPr>
            <w:r>
              <w:t>74.04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30.78</w:t>
            </w:r>
          </w:p>
        </w:tc>
        <w:tc>
          <w:tcPr>
            <w:tcW w:w="2551" w:type="dxa"/>
            <w:vAlign w:val="center"/>
          </w:tcPr>
          <w:p>
            <w:pPr>
              <w:pStyle w:val="13"/>
            </w:pPr>
            <w:r>
              <w:t>30.78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43.26</w:t>
            </w:r>
          </w:p>
        </w:tc>
        <w:tc>
          <w:tcPr>
            <w:tcW w:w="2551" w:type="dxa"/>
            <w:vAlign w:val="center"/>
          </w:tcPr>
          <w:p>
            <w:pPr>
              <w:pStyle w:val="13"/>
            </w:pPr>
            <w:r>
              <w:t>43.26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64.44</w:t>
            </w:r>
          </w:p>
        </w:tc>
        <w:tc>
          <w:tcPr>
            <w:tcW w:w="2551" w:type="dxa"/>
            <w:vAlign w:val="center"/>
          </w:tcPr>
          <w:p>
            <w:pPr>
              <w:pStyle w:val="13"/>
            </w:pPr>
            <w:r>
              <w:t>64.44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64.44</w:t>
            </w:r>
          </w:p>
        </w:tc>
        <w:tc>
          <w:tcPr>
            <w:tcW w:w="2551" w:type="dxa"/>
            <w:vAlign w:val="center"/>
          </w:tcPr>
          <w:p>
            <w:pPr>
              <w:pStyle w:val="13"/>
            </w:pPr>
            <w:r>
              <w:t>64.44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64.44</w:t>
            </w:r>
          </w:p>
        </w:tc>
        <w:tc>
          <w:tcPr>
            <w:tcW w:w="2551" w:type="dxa"/>
            <w:vAlign w:val="center"/>
          </w:tcPr>
          <w:p>
            <w:pPr>
              <w:pStyle w:val="13"/>
            </w:pPr>
            <w:r>
              <w:t>64.44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1084.36</w:t>
            </w:r>
          </w:p>
        </w:tc>
        <w:tc>
          <w:tcPr>
            <w:tcW w:w="2551" w:type="dxa"/>
            <w:vAlign w:val="center"/>
          </w:tcPr>
          <w:p>
            <w:pPr>
              <w:pStyle w:val="17"/>
            </w:pPr>
            <w:r>
              <w:t>996.18</w:t>
            </w:r>
          </w:p>
        </w:tc>
        <w:tc>
          <w:tcPr>
            <w:tcW w:w="2551" w:type="dxa"/>
            <w:vAlign w:val="center"/>
          </w:tcPr>
          <w:p>
            <w:pPr>
              <w:pStyle w:val="17"/>
            </w:pPr>
            <w:r>
              <w:t>88.18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949.10</w:t>
            </w:r>
          </w:p>
        </w:tc>
        <w:tc>
          <w:tcPr>
            <w:tcW w:w="2551" w:type="dxa"/>
            <w:vAlign w:val="center"/>
          </w:tcPr>
          <w:p>
            <w:pPr>
              <w:pStyle w:val="13"/>
            </w:pPr>
            <w:r>
              <w:t>949.10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241.56</w:t>
            </w:r>
          </w:p>
        </w:tc>
        <w:tc>
          <w:tcPr>
            <w:tcW w:w="2551" w:type="dxa"/>
            <w:vAlign w:val="center"/>
          </w:tcPr>
          <w:p>
            <w:pPr>
              <w:pStyle w:val="13"/>
            </w:pPr>
            <w:r>
              <w:t>241.56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79.68</w:t>
            </w:r>
          </w:p>
        </w:tc>
        <w:tc>
          <w:tcPr>
            <w:tcW w:w="2551" w:type="dxa"/>
            <w:vAlign w:val="center"/>
          </w:tcPr>
          <w:p>
            <w:pPr>
              <w:pStyle w:val="13"/>
            </w:pPr>
            <w:r>
              <w:t>79.68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23.95</w:t>
            </w:r>
          </w:p>
        </w:tc>
        <w:tc>
          <w:tcPr>
            <w:tcW w:w="2551" w:type="dxa"/>
            <w:vAlign w:val="center"/>
          </w:tcPr>
          <w:p>
            <w:pPr>
              <w:pStyle w:val="13"/>
            </w:pPr>
            <w:r>
              <w:t>23.95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237.18</w:t>
            </w:r>
          </w:p>
        </w:tc>
        <w:tc>
          <w:tcPr>
            <w:tcW w:w="2551" w:type="dxa"/>
            <w:vAlign w:val="center"/>
          </w:tcPr>
          <w:p>
            <w:pPr>
              <w:pStyle w:val="13"/>
            </w:pPr>
            <w:r>
              <w:t>237.18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80.37</w:t>
            </w:r>
          </w:p>
        </w:tc>
        <w:tc>
          <w:tcPr>
            <w:tcW w:w="2551" w:type="dxa"/>
            <w:vAlign w:val="center"/>
          </w:tcPr>
          <w:p>
            <w:pPr>
              <w:pStyle w:val="13"/>
            </w:pPr>
            <w:r>
              <w:t>80.37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30.78</w:t>
            </w:r>
          </w:p>
        </w:tc>
        <w:tc>
          <w:tcPr>
            <w:tcW w:w="2551" w:type="dxa"/>
            <w:vAlign w:val="center"/>
          </w:tcPr>
          <w:p>
            <w:pPr>
              <w:pStyle w:val="13"/>
            </w:pPr>
            <w:r>
              <w:t>30.78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43.26</w:t>
            </w:r>
          </w:p>
        </w:tc>
        <w:tc>
          <w:tcPr>
            <w:tcW w:w="2551" w:type="dxa"/>
            <w:vAlign w:val="center"/>
          </w:tcPr>
          <w:p>
            <w:pPr>
              <w:pStyle w:val="13"/>
            </w:pPr>
            <w:r>
              <w:t>43.26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64.44</w:t>
            </w:r>
          </w:p>
        </w:tc>
        <w:tc>
          <w:tcPr>
            <w:tcW w:w="2551" w:type="dxa"/>
            <w:vAlign w:val="center"/>
          </w:tcPr>
          <w:p>
            <w:pPr>
              <w:pStyle w:val="13"/>
            </w:pPr>
            <w:r>
              <w:t>64.44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142.42</w:t>
            </w:r>
          </w:p>
        </w:tc>
        <w:tc>
          <w:tcPr>
            <w:tcW w:w="2551" w:type="dxa"/>
            <w:vAlign w:val="center"/>
          </w:tcPr>
          <w:p>
            <w:pPr>
              <w:pStyle w:val="13"/>
            </w:pPr>
            <w:r>
              <w:t>142.42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88.18</w:t>
            </w:r>
          </w:p>
        </w:tc>
        <w:tc>
          <w:tcPr>
            <w:tcW w:w="2551" w:type="dxa"/>
            <w:vAlign w:val="center"/>
          </w:tcPr>
          <w:p>
            <w:pPr>
              <w:pStyle w:val="13"/>
            </w:pPr>
          </w:p>
        </w:tc>
        <w:tc>
          <w:tcPr>
            <w:tcW w:w="2551" w:type="dxa"/>
            <w:vAlign w:val="center"/>
          </w:tcPr>
          <w:p>
            <w:pPr>
              <w:pStyle w:val="13"/>
            </w:pPr>
            <w:r>
              <w:t>88.18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13.96</w:t>
            </w:r>
          </w:p>
        </w:tc>
        <w:tc>
          <w:tcPr>
            <w:tcW w:w="2551" w:type="dxa"/>
            <w:vAlign w:val="center"/>
          </w:tcPr>
          <w:p>
            <w:pPr>
              <w:pStyle w:val="13"/>
            </w:pPr>
          </w:p>
        </w:tc>
        <w:tc>
          <w:tcPr>
            <w:tcW w:w="2551" w:type="dxa"/>
            <w:vAlign w:val="center"/>
          </w:tcPr>
          <w:p>
            <w:pPr>
              <w:pStyle w:val="13"/>
            </w:pPr>
            <w:r>
              <w:t>13.96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5.28</w:t>
            </w:r>
          </w:p>
        </w:tc>
        <w:tc>
          <w:tcPr>
            <w:tcW w:w="2551" w:type="dxa"/>
            <w:vAlign w:val="center"/>
          </w:tcPr>
          <w:p>
            <w:pPr>
              <w:pStyle w:val="13"/>
            </w:pPr>
          </w:p>
        </w:tc>
        <w:tc>
          <w:tcPr>
            <w:tcW w:w="2551" w:type="dxa"/>
            <w:vAlign w:val="center"/>
          </w:tcPr>
          <w:p>
            <w:pPr>
              <w:pStyle w:val="13"/>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12.63</w:t>
            </w:r>
          </w:p>
        </w:tc>
        <w:tc>
          <w:tcPr>
            <w:tcW w:w="2551" w:type="dxa"/>
            <w:vAlign w:val="center"/>
          </w:tcPr>
          <w:p>
            <w:pPr>
              <w:pStyle w:val="13"/>
            </w:pPr>
          </w:p>
        </w:tc>
        <w:tc>
          <w:tcPr>
            <w:tcW w:w="2551" w:type="dxa"/>
            <w:vAlign w:val="center"/>
          </w:tcPr>
          <w:p>
            <w:pPr>
              <w:pStyle w:val="13"/>
            </w:pPr>
            <w:r>
              <w:t>12.63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6.78</w:t>
            </w:r>
          </w:p>
        </w:tc>
        <w:tc>
          <w:tcPr>
            <w:tcW w:w="2551" w:type="dxa"/>
            <w:vAlign w:val="center"/>
          </w:tcPr>
          <w:p>
            <w:pPr>
              <w:pStyle w:val="13"/>
            </w:pPr>
          </w:p>
        </w:tc>
        <w:tc>
          <w:tcPr>
            <w:tcW w:w="2551" w:type="dxa"/>
            <w:vAlign w:val="center"/>
          </w:tcPr>
          <w:p>
            <w:pPr>
              <w:pStyle w:val="13"/>
            </w:pPr>
            <w:r>
              <w:t>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9.83</w:t>
            </w:r>
          </w:p>
        </w:tc>
        <w:tc>
          <w:tcPr>
            <w:tcW w:w="2551" w:type="dxa"/>
            <w:vAlign w:val="center"/>
          </w:tcPr>
          <w:p>
            <w:pPr>
              <w:pStyle w:val="13"/>
            </w:pPr>
          </w:p>
        </w:tc>
        <w:tc>
          <w:tcPr>
            <w:tcW w:w="2551" w:type="dxa"/>
            <w:vAlign w:val="center"/>
          </w:tcPr>
          <w:p>
            <w:pPr>
              <w:pStyle w:val="13"/>
            </w:pPr>
            <w:r>
              <w:t>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6.79</w:t>
            </w:r>
          </w:p>
        </w:tc>
        <w:tc>
          <w:tcPr>
            <w:tcW w:w="2551" w:type="dxa"/>
            <w:vAlign w:val="center"/>
          </w:tcPr>
          <w:p>
            <w:pPr>
              <w:pStyle w:val="13"/>
            </w:pPr>
          </w:p>
        </w:tc>
        <w:tc>
          <w:tcPr>
            <w:tcW w:w="2551" w:type="dxa"/>
            <w:vAlign w:val="center"/>
          </w:tcPr>
          <w:p>
            <w:pPr>
              <w:pStyle w:val="13"/>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6.06</w:t>
            </w:r>
          </w:p>
        </w:tc>
        <w:tc>
          <w:tcPr>
            <w:tcW w:w="2551" w:type="dxa"/>
            <w:vAlign w:val="center"/>
          </w:tcPr>
          <w:p>
            <w:pPr>
              <w:pStyle w:val="13"/>
            </w:pPr>
          </w:p>
        </w:tc>
        <w:tc>
          <w:tcPr>
            <w:tcW w:w="2551" w:type="dxa"/>
            <w:vAlign w:val="center"/>
          </w:tcPr>
          <w:p>
            <w:pPr>
              <w:pStyle w:val="13"/>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47.08</w:t>
            </w:r>
          </w:p>
        </w:tc>
        <w:tc>
          <w:tcPr>
            <w:tcW w:w="2551" w:type="dxa"/>
            <w:vAlign w:val="center"/>
          </w:tcPr>
          <w:p>
            <w:pPr>
              <w:pStyle w:val="13"/>
            </w:pPr>
            <w:r>
              <w:t>47.08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47.08</w:t>
            </w:r>
          </w:p>
        </w:tc>
        <w:tc>
          <w:tcPr>
            <w:tcW w:w="2551" w:type="dxa"/>
            <w:vAlign w:val="center"/>
          </w:tcPr>
          <w:p>
            <w:pPr>
              <w:pStyle w:val="13"/>
            </w:pPr>
            <w:r>
              <w:t>47.08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秦皇岛市北戴河区人力资源和社会保障局2025年部门预算信息公开情况说明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秦皇岛市北戴河区人力资源和社会保障局2025年部门预算信息公开情况说明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按照《中华人民共和国预算法》、《地方预决算公开操作规程》和《关于进一步推进预算公开工作的实施意见》规定，现将秦皇岛市北戴河区人力资源和社会保障局2025年部门预算公开如下：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1.拟订全区人力资源和社会保障事业发展政策、规划，起草人力资源和社会保障规范性文件并组织实施。 </w:t>
      </w:r>
    </w:p>
    <w:p>
      <w:pPr>
        <w:pStyle w:val="19"/>
      </w:pPr>
      <w:r>
        <w:t xml:space="preserve">2.拟订人力资源市场发展规划和人力资源服务业发展、人力资源流动政策，促进人力资源合理流动、有效配置。按照管理权限拟订人员（不含公务员）调配政策和特殊人员安置政策。 </w:t>
      </w:r>
    </w:p>
    <w:p>
      <w:pPr>
        <w:pStyle w:val="19"/>
      </w:pPr>
      <w:r>
        <w:t xml:space="preserve">3.负责促进就业创业工作，落实统筹城乡的就业发展规划和促进就业创业扶持政策，完善公共就业服务体系，促进公平就业，统筹建立面向城乡劳动者的职业技能培训制度，落实全区技工学校、职业培训机构发展规划和管理规则。加强就业服务和就业培训，执行就业援助制度，贯彻落实高校毕业生就业政策，按规定负责中专以上毕业生（非师范类）的就业工作。 </w:t>
      </w:r>
    </w:p>
    <w:p>
      <w:pPr>
        <w:pStyle w:val="19"/>
      </w:pPr>
      <w:r>
        <w:t xml:space="preserve">4.统筹推进建立覆盖城乡的多层次社会保障体系。落实养老、失业等社会保险及其补充保险政策和标准。落实养老保险省级统筹办法和全省统一的养老、失业保险关系转续办法和基金统筹办法，组织拟订养老、失业等社会保险及其补充保险基金管理和监督制度，审核汇总相关社会保险基金预决算草案，落实企业年金和职业年金政策。会同有关部门实施全民参保计划，推广市级社会保险公共服务平台。 </w:t>
      </w:r>
    </w:p>
    <w:p>
      <w:pPr>
        <w:pStyle w:val="19"/>
      </w:pPr>
      <w:r>
        <w:t xml:space="preserve">5.负责就业、失业和养老保险基金预测预警和信息引导，拟订应对预案，实施预防、调节和控制，保持就业形势稳定和社会保险基金总体收支平衡。 </w:t>
      </w:r>
    </w:p>
    <w:p>
      <w:pPr>
        <w:pStyle w:val="19"/>
      </w:pPr>
      <w:r>
        <w:t xml:space="preserve">6.贯彻执行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 </w:t>
      </w:r>
    </w:p>
    <w:p>
      <w:pPr>
        <w:pStyle w:val="19"/>
      </w:pPr>
      <w:r>
        <w:t xml:space="preserve">7.拟订人才工作有关目标，参与全区人才工作的指导、组织、协调和管理，承办有关人才工作。推动建立健全市场化、社会化的人才管理服务体系。负责人事考试工作。负责人才分类评价机制推进实施，牵头推进深化职称制度改革，落实全区专业技术人员管理、继续教育和博士后管理等政策，负责相关高层次专业技术人才选拔和培养，落实吸引留学人员来秦（回国）工作或定居政策。组织拟订技能人才培养、评价、使用制度。落实技能人才激励制度、职业资格制度和职业技能多元化评价政策。 </w:t>
      </w:r>
    </w:p>
    <w:p>
      <w:pPr>
        <w:pStyle w:val="19"/>
      </w:pPr>
      <w:r>
        <w:t xml:space="preserve">8.会同有关部门指导事业单位人事制度改革，按照管理权限负责规范事业单位岗位设置、公开招聘、聘用合同等人事综合管理工作，贯彻落实事业单位工作人员和机关工勤人员管理政策。 </w:t>
      </w:r>
    </w:p>
    <w:p>
      <w:pPr>
        <w:pStyle w:val="19"/>
      </w:pPr>
      <w:r>
        <w:t xml:space="preserve">9.负责全区评比达标表彰和创建示范工作的综合管理、审核上报、监督检查。会同有关部门落实全省表彰奖励办法（不含中国共产党党内表彰、公务员奖励）。负责全区功勋荣誉表彰奖励获得者管理，落实享受待遇的相关政策。 </w:t>
      </w:r>
    </w:p>
    <w:p>
      <w:pPr>
        <w:pStyle w:val="19"/>
      </w:pPr>
      <w:r>
        <w:t xml:space="preserve">10.会同有关部门拟订全区事业单位人员工资收入分配政策。建立全区企事业单位人员工资决定、正常增长和支付保障机制。拟订全区企事业单位人员福利和离退休政策，并负责组织实施和监督检查。 </w:t>
      </w:r>
    </w:p>
    <w:p>
      <w:pPr>
        <w:pStyle w:val="19"/>
      </w:pPr>
      <w:r>
        <w:t xml:space="preserve">11.拟订农民工工作综合性政策和规划，推动相关政策的落实，协调解决重点难点问题，维护农民工合法权益。 </w:t>
      </w:r>
    </w:p>
    <w:p>
      <w:pPr>
        <w:pStyle w:val="19"/>
      </w:pPr>
      <w:r>
        <w:t xml:space="preserve">12.负责机关及所属单位国际交流与合作。 </w:t>
      </w:r>
    </w:p>
    <w:p>
      <w:pPr>
        <w:pStyle w:val="19"/>
      </w:pPr>
      <w:r>
        <w:t xml:space="preserve">13.落实行业主管部门的安全生产监管职责，各股室落实各自分管领域的安全生产监管职责。 </w:t>
      </w:r>
    </w:p>
    <w:p>
      <w:pPr>
        <w:pStyle w:val="19"/>
        <w:rPr>
          <w:rFonts w:hint="eastAsia" w:eastAsia="方正仿宋_GBK"/>
          <w:lang w:eastAsia="zh-CN"/>
        </w:rPr>
      </w:pPr>
      <w:r>
        <w:t>14.完成区委、区政府交办的其他事项</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秦皇岛市北戴河区人力资源和社会保障局(本级）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按照预算管理有关规定，目前部门预算的编制实行综合预算管理，即全部收入和支出都反映在预算中。秦皇岛市北戴河区人力资源和社会保障局机关及所属事业单位的收支包含在部门预算中。</w:t>
      </w:r>
    </w:p>
    <w:p>
      <w:pPr>
        <w:pStyle w:val="20"/>
      </w:pPr>
      <w:r>
        <w:t>1、收入说明</w:t>
      </w:r>
    </w:p>
    <w:p>
      <w:pPr>
        <w:pStyle w:val="20"/>
      </w:pPr>
      <w:r>
        <w:t>反映本部门当年全部收入。2025年预算收入1530.68万元，其中：一般公共预算收入1530.68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秦皇岛市北戴河区人力资源和社会保障局年度部门预算中支出预算的总体情况。2025年支出预算1530.68万元，其中基本支出1084.36万元，包括人员经费996.18万元和日常公用经费88.18万元；项目支出446.32万元，主要为(1）代发原民办代课教师教龄补贴68万元；（2）办公辅助（服务）28.1万元；（3）关于提前下达2025年原农村民办代课教师教龄补助省和市级资金预算的通知(秦财教[2024]612号)22万元；（4）关于提前下达2025年中央就业补助资金预算的通知（2024）659号320万元；（5）企业社会化退管服务经费0.72万元；（6）网络运行维护费7.5万元。</w:t>
      </w:r>
    </w:p>
    <w:p>
      <w:pPr>
        <w:pStyle w:val="20"/>
      </w:pPr>
      <w:r>
        <w:t>3、比上年增减情况</w:t>
      </w:r>
    </w:p>
    <w:p>
      <w:pPr>
        <w:pStyle w:val="20"/>
        <w:rPr>
          <w:rFonts w:hint="eastAsia" w:eastAsia="方正仿宋_GBK"/>
          <w:lang w:eastAsia="zh-CN"/>
        </w:rPr>
      </w:pPr>
      <w:r>
        <w:t>2025年预算收支安排1530.68万元，较2024年预算增加103.48万元，其中：基本支出增加167.48万元，主要为包括人事代理人员及公用经费项目支出减少64.00万元，主要为代发原民办代课教师教龄补贴减少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2025年，我部门机关运行经费共计安排88.18万元，主要用于日常维修、办公用房水电费、办公用房取暖费、办公用房物业管理费等日常运行支出。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3.00万元，其中因公出国（境）费0.00万元；公务用车购置及运维费3.00万元（其中：公务用车购置费为0.00万元，公务用车运维费3.00万元)；公务接待费0.00万元。与2024年相比减少1.00万元，增减变化的主要原因是借用车辆退回原单位。</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在区委、区政府的正确领导下，区人社局深入学习贯彻落实</w:t>
      </w:r>
      <w:r>
        <w:rPr>
          <w:rFonts w:hint="eastAsia"/>
          <w:lang w:val="en-US" w:eastAsia="zh-CN"/>
        </w:rPr>
        <w:t>党的</w:t>
      </w:r>
      <w:r>
        <w:t>二十大</w:t>
      </w:r>
      <w:bookmarkStart w:id="20" w:name="_GoBack"/>
      <w:bookmarkEnd w:id="20"/>
      <w:r>
        <w:t>精神，紧扣“民生为本、就业优先”工作主线，全力打造“温暖人社·费心为民”服务品牌，实现了全区人社事业总体稳定较快发展，紧紧围绕上级工作要求和区人社工作实际，积极进取，开拓创新，扎实落实就业政策，强化各项社会保障，构建和谐劳动关系，做好人事人才管理，以更加充分更高质量的就业推动高质量发展，以更加稳定的收入更为可靠的保障支撑高品质生活，以更加快捷更为便利的人社服务推进高效能治理，着力抓重点、补短板、强弱项、防风险，解放思想、奋发进取，推动全区人社工作全面提档升级，为建设国际一流旅游城市先行示范区，为奋力谱写中国式现代化建设河北篇章贡献人社力量。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eastAsia="方正仿宋_GBK"/>
          <w:lang w:eastAsia="zh-CN"/>
        </w:rPr>
      </w:pPr>
      <w:r>
        <w:t>1.</w:t>
      </w:r>
      <w:r>
        <w:rPr>
          <w:rFonts w:hint="eastAsia"/>
          <w:lang w:val="en-US" w:eastAsia="zh-CN"/>
        </w:rPr>
        <w:t>办公辅助（服务）</w:t>
      </w:r>
    </w:p>
    <w:p>
      <w:pPr>
        <w:pStyle w:val="24"/>
      </w:pPr>
      <w:r>
        <w:t>绩效目标：资金合理使用，保障业务正常开展。</w:t>
      </w:r>
    </w:p>
    <w:p>
      <w:pPr>
        <w:pStyle w:val="24"/>
      </w:pPr>
      <w:r>
        <w:t>绩效指标：保障不少于6名劳务派遣人员工资及保险费按时发放，保障工作正常开展。</w:t>
      </w:r>
    </w:p>
    <w:p>
      <w:pPr>
        <w:pStyle w:val="24"/>
        <w:ind w:left="0" w:leftChars="0" w:firstLine="560" w:firstLineChars="200"/>
      </w:pPr>
      <w:r>
        <w:rPr>
          <w:rFonts w:hint="eastAsia"/>
          <w:lang w:val="en-US" w:eastAsia="zh-CN"/>
        </w:rPr>
        <w:t>2</w:t>
      </w:r>
      <w:r>
        <w:t>.代发原民办代课教师教龄补贴</w:t>
      </w:r>
    </w:p>
    <w:p>
      <w:pPr>
        <w:pStyle w:val="24"/>
      </w:pPr>
      <w:r>
        <w:t>绩效目标：资金合理使用，政策落实到位。</w:t>
      </w:r>
    </w:p>
    <w:p>
      <w:pPr>
        <w:pStyle w:val="24"/>
      </w:pPr>
      <w:r>
        <w:t>绩效指标：代发不少于200名原民办代课教师教龄补贴，保障教龄民办代课教师权益。</w:t>
      </w:r>
    </w:p>
    <w:p>
      <w:pPr>
        <w:pStyle w:val="24"/>
      </w:pPr>
      <w:r>
        <w:rPr>
          <w:rFonts w:hint="eastAsia"/>
          <w:lang w:val="en-US" w:eastAsia="zh-CN"/>
        </w:rPr>
        <w:t>3</w:t>
      </w:r>
      <w:r>
        <w:t>.企业社会化退管服务经费</w:t>
      </w:r>
    </w:p>
    <w:p>
      <w:pPr>
        <w:pStyle w:val="24"/>
      </w:pPr>
      <w:r>
        <w:t>绩效目标：资金合理使用，保障业务正常开展。</w:t>
      </w:r>
    </w:p>
    <w:p>
      <w:pPr>
        <w:pStyle w:val="24"/>
      </w:pPr>
      <w:r>
        <w:t>绩效指标：保障不少于4000人企业退休人员服务经费发放，服务对象满意。</w:t>
      </w:r>
    </w:p>
    <w:p>
      <w:pPr>
        <w:pStyle w:val="24"/>
      </w:pPr>
      <w:r>
        <w:rPr>
          <w:rFonts w:hint="eastAsia"/>
          <w:lang w:val="en-US" w:eastAsia="zh-CN"/>
        </w:rPr>
        <w:t>4</w:t>
      </w:r>
      <w:r>
        <w:t>.网络运行维护费</w:t>
      </w:r>
    </w:p>
    <w:p>
      <w:pPr>
        <w:pStyle w:val="24"/>
      </w:pPr>
      <w:r>
        <w:t>绩效目标：资金合理使用，保障业务正常开展。</w:t>
      </w:r>
    </w:p>
    <w:p>
      <w:pPr>
        <w:pStyle w:val="24"/>
      </w:pPr>
      <w:r>
        <w:t>绩效指标：保证网络可以正常使用，网络稳定率超过95%，保障业务正常开展。</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3"/>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sz w:val="28"/>
          <w:szCs w:val="28"/>
          <w:lang w:val="en-US" w:eastAsia="zh-CN"/>
        </w:rPr>
      </w:pPr>
      <w:bookmarkStart w:id="14" w:name="_Toc_3_3_0000000015"/>
      <w:r>
        <w:rPr>
          <w:rFonts w:hint="eastAsia" w:ascii="仿宋_GB2312" w:hAnsi="仿宋_GB2312" w:eastAsia="仿宋_GB2312" w:cs="仿宋_GB2312"/>
          <w:b/>
          <w:bCs/>
          <w:sz w:val="28"/>
          <w:szCs w:val="28"/>
          <w:lang w:val="en-US" w:eastAsia="zh-CN"/>
        </w:rPr>
        <w:t>（一）全面落实优惠政策，提高就业创业质量。</w:t>
      </w:r>
      <w:r>
        <w:rPr>
          <w:rFonts w:hint="eastAsia" w:ascii="仿宋_GB2312" w:hAnsi="仿宋_GB2312" w:eastAsia="仿宋_GB2312" w:cs="仿宋_GB2312"/>
          <w:sz w:val="28"/>
          <w:szCs w:val="28"/>
          <w:lang w:val="en-US" w:eastAsia="zh-CN"/>
        </w:rPr>
        <w:t>一是不折不扣地贯彻执行各项扶持政策。二是继续加大职业培训力度。三是认真组织开展线上招聘工作。四是积极稳妥抓好创业担保贷款发放与回收。‎</w:t>
      </w:r>
    </w:p>
    <w:p>
      <w:pPr>
        <w:pStyle w:val="3"/>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‎（二）提升管理服务水平，完善社保体系建设。</w:t>
      </w:r>
      <w:r>
        <w:rPr>
          <w:rFonts w:hint="eastAsia" w:ascii="仿宋_GB2312" w:hAnsi="仿宋_GB2312" w:eastAsia="仿宋_GB2312" w:cs="仿宋_GB2312"/>
          <w:sz w:val="28"/>
          <w:szCs w:val="28"/>
          <w:lang w:val="en-US" w:eastAsia="zh-CN"/>
        </w:rPr>
        <w:t>坚持把社会保障体系建设摆在突出位置，推进社会保险精准扩面，理顺社会保险经办管理制度机制，严格落实好社保基金预算管理，确保基金运行安全。认真落实好社会保险待遇政策，按时足额发放各项社会保险待遇，让政策红利普惠各家各户。</w:t>
      </w:r>
    </w:p>
    <w:p>
      <w:pPr>
        <w:pStyle w:val="3"/>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（三）强劲科技支撑，创新引才育才用才。</w:t>
      </w:r>
      <w:r>
        <w:rPr>
          <w:rFonts w:hint="eastAsia" w:ascii="仿宋_GB2312" w:hAnsi="仿宋_GB2312" w:eastAsia="仿宋_GB2312" w:cs="仿宋_GB2312"/>
          <w:sz w:val="28"/>
          <w:szCs w:val="28"/>
          <w:lang w:val="en-US" w:eastAsia="zh-CN"/>
        </w:rPr>
        <w:t>加强高层次专业技术人才队伍、技能人才队伍建设工作，确保“招得来”、“稳得住”。坚持“招商引资”与“招才引智”并举，通过“双招双引”助力北戴河发展，推动人才链、产业链、创新链三链融合。紧密围绕康养产业，依托兴龙集团光年里康养度假中心、燕山大学、秦皇岛职业技术学院，挂牌成立北戴河康养产业人才培育校地企合作基地，大力培养康养产业发展所需的专业技术实用性人才。‎</w:t>
      </w:r>
    </w:p>
    <w:p>
      <w:pPr>
        <w:pStyle w:val="3"/>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bCs/>
          <w:sz w:val="28"/>
          <w:szCs w:val="28"/>
          <w:lang w:val="en-US" w:eastAsia="zh-CN"/>
        </w:rPr>
        <w:t>（四）健全劳动维权机制，构建和谐劳动关系。</w:t>
      </w:r>
      <w:r>
        <w:rPr>
          <w:rFonts w:hint="eastAsia" w:ascii="仿宋_GB2312" w:hAnsi="仿宋_GB2312" w:eastAsia="仿宋_GB2312" w:cs="仿宋_GB2312"/>
          <w:sz w:val="28"/>
          <w:szCs w:val="28"/>
          <w:lang w:val="en-US" w:eastAsia="zh-CN"/>
        </w:rPr>
        <w:t>‎‎完善劳动保障监察机制，进一步落实全区建设领域农民工工资支付保证金和应急周转金制度；积极探索建设劳动关系主体自主协调与调解、仲裁、劳动监察等外部调节相结合的劳动关系协调机制；进一步加强劳动人事争议调解仲裁机构和企业调解网络建设，促进劳动人事争议调解处理工作健康发展。‎</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完善制度建设。包括制定完善预算绩效管理制度、资金管理办法、工作保障制度等，为全年预算绩效目标的实现奠定制度基础。</w:t>
      </w:r>
    </w:p>
    <w:p>
      <w:pPr>
        <w:pStyle w:val="25"/>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加强支出管理。通过优化支出结构、编细编实预算、加快履行政府采购手续、尽快启动项目、及时支付资金、6月底前细化代编预算、按规定及时下达资金等多种措施，确保支出进度达标。</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加强绩效运行监控。按要求开展绩效运行监控，发现问题及时采取措施，确保绩效目标如期保质实现。</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做好绩效自评。按要求开展上年度部门预算绩效自评和重点评价工作，对评价中发现的问题及时整改，调整优化支出结构，提高财政资金使用效益。</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规范财务资产管理。完善财务管理制度，严格审批程序，加强固定资产登记、使用和报废处置管理，做到支出合理，物尽其用。</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5"/>
        <w:rPr>
          <w:rFonts w:hint="eastAsia" w:ascii="仿宋_GB2312" w:hAnsi="仿宋_GB2312" w:eastAsia="仿宋_GB2312" w:cs="仿宋_GB2312"/>
          <w:sz w:val="28"/>
          <w:szCs w:val="28"/>
        </w:r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13030425P00000410200C</w:t>
            </w:r>
          </w:p>
        </w:tc>
        <w:tc>
          <w:tcPr>
            <w:tcW w:w="2835" w:type="dxa"/>
            <w:vAlign w:val="center"/>
          </w:tcPr>
          <w:p>
            <w:pPr>
              <w:pStyle w:val="12"/>
            </w:pPr>
            <w:r>
              <w:t>项目名称</w:t>
            </w:r>
          </w:p>
        </w:tc>
        <w:tc>
          <w:tcPr>
            <w:tcW w:w="6095" w:type="dxa"/>
            <w:gridSpan w:val="3"/>
            <w:vAlign w:val="center"/>
          </w:tcPr>
          <w:p>
            <w:pPr>
              <w:pStyle w:val="14"/>
            </w:pPr>
            <w:r>
              <w:t>办公辅助（服务）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28.10</w:t>
            </w:r>
          </w:p>
        </w:tc>
        <w:tc>
          <w:tcPr>
            <w:tcW w:w="2835" w:type="dxa"/>
            <w:vAlign w:val="center"/>
          </w:tcPr>
          <w:p>
            <w:pPr>
              <w:pStyle w:val="12"/>
            </w:pPr>
            <w:r>
              <w:t>其中：财政    资金</w:t>
            </w:r>
          </w:p>
        </w:tc>
        <w:tc>
          <w:tcPr>
            <w:tcW w:w="2551" w:type="dxa"/>
            <w:vAlign w:val="center"/>
          </w:tcPr>
          <w:p>
            <w:pPr>
              <w:pStyle w:val="14"/>
            </w:pPr>
            <w:r>
              <w:t>28.10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办公辅助（服务）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1.保障发放及时率达到90%以上，保障工作正常开展。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5386" w:type="dxa"/>
            <w:vAlign w:val="center"/>
          </w:tcPr>
          <w:p>
            <w:pPr>
              <w:pStyle w:val="14"/>
            </w:pPr>
            <w:r>
              <w:t>保障办公人数</w:t>
            </w:r>
          </w:p>
        </w:tc>
        <w:tc>
          <w:tcPr>
            <w:tcW w:w="2268" w:type="dxa"/>
            <w:vAlign w:val="center"/>
          </w:tcPr>
          <w:p>
            <w:pPr>
              <w:pStyle w:val="14"/>
            </w:pPr>
            <w:r>
              <w:t>6人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资金发放准确率</w:t>
            </w:r>
          </w:p>
        </w:tc>
        <w:tc>
          <w:tcPr>
            <w:tcW w:w="5386" w:type="dxa"/>
            <w:vAlign w:val="center"/>
          </w:tcPr>
          <w:p>
            <w:pPr>
              <w:pStyle w:val="14"/>
            </w:pPr>
            <w:r>
              <w:t>发放准确次数/总次数</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资金及时支付次数/总次数</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服务费总成本</w:t>
            </w:r>
          </w:p>
        </w:tc>
        <w:tc>
          <w:tcPr>
            <w:tcW w:w="5386" w:type="dxa"/>
            <w:vAlign w:val="center"/>
          </w:tcPr>
          <w:p>
            <w:pPr>
              <w:pStyle w:val="14"/>
            </w:pPr>
            <w:r>
              <w:t>服务费总成本</w:t>
            </w:r>
          </w:p>
        </w:tc>
        <w:tc>
          <w:tcPr>
            <w:tcW w:w="2268" w:type="dxa"/>
            <w:vAlign w:val="center"/>
          </w:tcPr>
          <w:p>
            <w:pPr>
              <w:pStyle w:val="14"/>
            </w:pPr>
            <w:r>
              <w:t>≤28.1万元/年</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5386" w:type="dxa"/>
            <w:vAlign w:val="center"/>
          </w:tcPr>
          <w:p>
            <w:pPr>
              <w:pStyle w:val="14"/>
            </w:pPr>
            <w:r>
              <w:t>保障相关业务、工作等开展的情况</w:t>
            </w:r>
          </w:p>
        </w:tc>
        <w:tc>
          <w:tcPr>
            <w:tcW w:w="2268" w:type="dxa"/>
            <w:vAlign w:val="center"/>
          </w:tcPr>
          <w:p>
            <w:pPr>
              <w:pStyle w:val="14"/>
            </w:pPr>
            <w:r>
              <w:t>进一步保障</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相关人员满意度</w:t>
            </w:r>
          </w:p>
        </w:tc>
        <w:tc>
          <w:tcPr>
            <w:tcW w:w="5386" w:type="dxa"/>
            <w:vAlign w:val="center"/>
          </w:tcPr>
          <w:p>
            <w:pPr>
              <w:pStyle w:val="14"/>
            </w:pPr>
            <w:r>
              <w:t>相关人员对发放满意程度</w:t>
            </w:r>
          </w:p>
        </w:tc>
        <w:tc>
          <w:tcPr>
            <w:tcW w:w="2268" w:type="dxa"/>
            <w:vAlign w:val="center"/>
          </w:tcPr>
          <w:p>
            <w:pPr>
              <w:pStyle w:val="14"/>
            </w:pPr>
            <w:r>
              <w:t>≥95%</w:t>
            </w:r>
          </w:p>
        </w:tc>
        <w:tc>
          <w:tcPr>
            <w:tcW w:w="1276" w:type="dxa"/>
            <w:vAlign w:val="center"/>
          </w:tcPr>
          <w:p>
            <w:pPr>
              <w:pStyle w:val="14"/>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13030425P00000410193Q</w:t>
            </w:r>
          </w:p>
        </w:tc>
        <w:tc>
          <w:tcPr>
            <w:tcW w:w="2835" w:type="dxa"/>
            <w:vAlign w:val="center"/>
          </w:tcPr>
          <w:p>
            <w:pPr>
              <w:pStyle w:val="12"/>
            </w:pPr>
            <w:r>
              <w:t>项目名称</w:t>
            </w:r>
          </w:p>
        </w:tc>
        <w:tc>
          <w:tcPr>
            <w:tcW w:w="6095" w:type="dxa"/>
            <w:gridSpan w:val="3"/>
            <w:vAlign w:val="center"/>
          </w:tcPr>
          <w:p>
            <w:pPr>
              <w:pStyle w:val="14"/>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w:t>
            </w:r>
          </w:p>
        </w:tc>
        <w:tc>
          <w:tcPr>
            <w:tcW w:w="2835" w:type="dxa"/>
            <w:vAlign w:val="center"/>
          </w:tcPr>
          <w:p>
            <w:pPr>
              <w:pStyle w:val="12"/>
            </w:pPr>
            <w:r>
              <w:t>其中：财政    资金</w:t>
            </w:r>
          </w:p>
        </w:tc>
        <w:tc>
          <w:tcPr>
            <w:tcW w:w="2551" w:type="dxa"/>
            <w:vAlign w:val="center"/>
          </w:tcPr>
          <w:p>
            <w:pPr>
              <w:pStyle w:val="14"/>
            </w:pPr>
            <w:r>
              <w:t>7.50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1.保证网络可以正常使用，网络稳定率超过95%，保障业务正常开展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租用宽带网络数量</w:t>
            </w:r>
          </w:p>
        </w:tc>
        <w:tc>
          <w:tcPr>
            <w:tcW w:w="5386" w:type="dxa"/>
            <w:vAlign w:val="center"/>
          </w:tcPr>
          <w:p>
            <w:pPr>
              <w:pStyle w:val="14"/>
            </w:pPr>
            <w:r>
              <w:t>租用宽带网络数量</w:t>
            </w:r>
          </w:p>
        </w:tc>
        <w:tc>
          <w:tcPr>
            <w:tcW w:w="2268" w:type="dxa"/>
            <w:vAlign w:val="center"/>
          </w:tcPr>
          <w:p>
            <w:pPr>
              <w:pStyle w:val="14"/>
            </w:pPr>
            <w:r>
              <w:t>≥3个</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网络稳定率</w:t>
            </w:r>
          </w:p>
        </w:tc>
        <w:tc>
          <w:tcPr>
            <w:tcW w:w="5386" w:type="dxa"/>
            <w:vAlign w:val="center"/>
          </w:tcPr>
          <w:p>
            <w:pPr>
              <w:pStyle w:val="14"/>
            </w:pPr>
            <w:r>
              <w:t>网络正常运转天数/365天</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网络故障及时处理率</w:t>
            </w:r>
          </w:p>
        </w:tc>
        <w:tc>
          <w:tcPr>
            <w:tcW w:w="5386" w:type="dxa"/>
            <w:vAlign w:val="center"/>
          </w:tcPr>
          <w:p>
            <w:pPr>
              <w:pStyle w:val="14"/>
            </w:pPr>
            <w:r>
              <w:t>网络故障及时处理次数/故障总次数</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办公楼云视频网费</w:t>
            </w:r>
          </w:p>
        </w:tc>
        <w:tc>
          <w:tcPr>
            <w:tcW w:w="5386" w:type="dxa"/>
            <w:vAlign w:val="center"/>
          </w:tcPr>
          <w:p>
            <w:pPr>
              <w:pStyle w:val="14"/>
            </w:pPr>
            <w:r>
              <w:t>办公楼云视频网费</w:t>
            </w:r>
          </w:p>
        </w:tc>
        <w:tc>
          <w:tcPr>
            <w:tcW w:w="2268" w:type="dxa"/>
            <w:vAlign w:val="center"/>
          </w:tcPr>
          <w:p>
            <w:pPr>
              <w:pStyle w:val="14"/>
            </w:pPr>
            <w:r>
              <w:t>≤3万元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工资管理系统运行维护费</w:t>
            </w:r>
          </w:p>
        </w:tc>
        <w:tc>
          <w:tcPr>
            <w:tcW w:w="5386" w:type="dxa"/>
            <w:vAlign w:val="center"/>
          </w:tcPr>
          <w:p>
            <w:pPr>
              <w:pStyle w:val="14"/>
            </w:pPr>
            <w:r>
              <w:t>机关事业单位工资管理系统运行维护费</w:t>
            </w:r>
          </w:p>
        </w:tc>
        <w:tc>
          <w:tcPr>
            <w:tcW w:w="2268" w:type="dxa"/>
            <w:vAlign w:val="center"/>
          </w:tcPr>
          <w:p>
            <w:pPr>
              <w:pStyle w:val="14"/>
            </w:pPr>
            <w:r>
              <w:t>≤3.5万元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专网费用</w:t>
            </w:r>
          </w:p>
        </w:tc>
        <w:tc>
          <w:tcPr>
            <w:tcW w:w="5386" w:type="dxa"/>
            <w:vAlign w:val="center"/>
          </w:tcPr>
          <w:p>
            <w:pPr>
              <w:pStyle w:val="14"/>
            </w:pPr>
            <w:r>
              <w:t>专网费用</w:t>
            </w:r>
          </w:p>
        </w:tc>
        <w:tc>
          <w:tcPr>
            <w:tcW w:w="2268" w:type="dxa"/>
            <w:vAlign w:val="center"/>
          </w:tcPr>
          <w:p>
            <w:pPr>
              <w:pStyle w:val="14"/>
            </w:pPr>
            <w:r>
              <w:t>≤1万元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保障网络正常运行，工作正常开展</w:t>
            </w:r>
          </w:p>
        </w:tc>
        <w:tc>
          <w:tcPr>
            <w:tcW w:w="5386" w:type="dxa"/>
            <w:vAlign w:val="center"/>
          </w:tcPr>
          <w:p>
            <w:pPr>
              <w:pStyle w:val="14"/>
            </w:pPr>
            <w:r>
              <w:t>保障网络正常运行，工作正常开展</w:t>
            </w:r>
          </w:p>
        </w:tc>
        <w:tc>
          <w:tcPr>
            <w:tcW w:w="2268" w:type="dxa"/>
            <w:vAlign w:val="center"/>
          </w:tcPr>
          <w:p>
            <w:pPr>
              <w:pStyle w:val="14"/>
            </w:pPr>
            <w:r>
              <w:t>比上一年进一步提升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单位人员对网络服务的满意程度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3、代发原民办代课教师教龄补贴绩效目标表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13030425P000003108012</w:t>
            </w:r>
          </w:p>
        </w:tc>
        <w:tc>
          <w:tcPr>
            <w:tcW w:w="2835" w:type="dxa"/>
            <w:vAlign w:val="center"/>
          </w:tcPr>
          <w:p>
            <w:pPr>
              <w:pStyle w:val="12"/>
            </w:pPr>
            <w:r>
              <w:t>项目名称</w:t>
            </w:r>
          </w:p>
        </w:tc>
        <w:tc>
          <w:tcPr>
            <w:tcW w:w="6095" w:type="dxa"/>
            <w:gridSpan w:val="3"/>
            <w:vAlign w:val="center"/>
          </w:tcPr>
          <w:p>
            <w:pPr>
              <w:pStyle w:val="14"/>
            </w:pPr>
            <w:r>
              <w:t>代发原民办代课教师教龄补贴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68.00</w:t>
            </w:r>
          </w:p>
        </w:tc>
        <w:tc>
          <w:tcPr>
            <w:tcW w:w="2835" w:type="dxa"/>
            <w:vAlign w:val="center"/>
          </w:tcPr>
          <w:p>
            <w:pPr>
              <w:pStyle w:val="12"/>
            </w:pPr>
            <w:r>
              <w:t>其中：财政    资金</w:t>
            </w:r>
          </w:p>
        </w:tc>
        <w:tc>
          <w:tcPr>
            <w:tcW w:w="2551" w:type="dxa"/>
            <w:vAlign w:val="center"/>
          </w:tcPr>
          <w:p>
            <w:pPr>
              <w:pStyle w:val="14"/>
            </w:pPr>
            <w:r>
              <w:t>68.00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代发原民办代课教师教龄补贴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5386" w:type="dxa"/>
            <w:vAlign w:val="center"/>
          </w:tcPr>
          <w:p>
            <w:pPr>
              <w:pStyle w:val="14"/>
            </w:pPr>
            <w:r>
              <w:t>补贴发放人数</w:t>
            </w:r>
          </w:p>
        </w:tc>
        <w:tc>
          <w:tcPr>
            <w:tcW w:w="2268" w:type="dxa"/>
            <w:vAlign w:val="center"/>
          </w:tcPr>
          <w:p>
            <w:pPr>
              <w:pStyle w:val="14"/>
            </w:pPr>
            <w:r>
              <w:t>≥270人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补贴发放准确次数/总次数</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资金及时支付次数/总次数</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教龄补贴总成本</w:t>
            </w:r>
          </w:p>
        </w:tc>
        <w:tc>
          <w:tcPr>
            <w:tcW w:w="5386" w:type="dxa"/>
            <w:vAlign w:val="center"/>
          </w:tcPr>
          <w:p>
            <w:pPr>
              <w:pStyle w:val="14"/>
            </w:pPr>
            <w:r>
              <w:t>教龄补贴总成本</w:t>
            </w:r>
          </w:p>
        </w:tc>
        <w:tc>
          <w:tcPr>
            <w:tcW w:w="2268" w:type="dxa"/>
            <w:vAlign w:val="center"/>
          </w:tcPr>
          <w:p>
            <w:pPr>
              <w:pStyle w:val="14"/>
            </w:pPr>
            <w:r>
              <w:t>≤68万元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保障到龄民办代课教师权益</w:t>
            </w:r>
          </w:p>
        </w:tc>
        <w:tc>
          <w:tcPr>
            <w:tcW w:w="5386" w:type="dxa"/>
            <w:vAlign w:val="center"/>
          </w:tcPr>
          <w:p>
            <w:pPr>
              <w:pStyle w:val="14"/>
            </w:pPr>
            <w:r>
              <w:t>保障教师的权益，维护社会稳定</w:t>
            </w:r>
          </w:p>
        </w:tc>
        <w:tc>
          <w:tcPr>
            <w:tcW w:w="2268" w:type="dxa"/>
            <w:vAlign w:val="center"/>
          </w:tcPr>
          <w:p>
            <w:pPr>
              <w:pStyle w:val="14"/>
            </w:pPr>
            <w:r>
              <w:t>比上一年进一步提升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代课教师满意程度</w:t>
            </w:r>
          </w:p>
        </w:tc>
        <w:tc>
          <w:tcPr>
            <w:tcW w:w="5386" w:type="dxa"/>
            <w:vAlign w:val="center"/>
          </w:tcPr>
          <w:p>
            <w:pPr>
              <w:pStyle w:val="14"/>
            </w:pPr>
            <w:r>
              <w:t>代课教师对补贴发放满意程度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4、关于提前下达2025年原农村民办代课教师教龄补助省和市级资金预算的通知(秦财教[2024]612号)绩效目标表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13030425P000001100917</w:t>
            </w:r>
          </w:p>
        </w:tc>
        <w:tc>
          <w:tcPr>
            <w:tcW w:w="2835" w:type="dxa"/>
            <w:vAlign w:val="center"/>
          </w:tcPr>
          <w:p>
            <w:pPr>
              <w:pStyle w:val="12"/>
            </w:pPr>
            <w:r>
              <w:t>项目名称</w:t>
            </w:r>
          </w:p>
        </w:tc>
        <w:tc>
          <w:tcPr>
            <w:tcW w:w="6095" w:type="dxa"/>
            <w:gridSpan w:val="3"/>
            <w:vAlign w:val="center"/>
          </w:tcPr>
          <w:p>
            <w:pPr>
              <w:pStyle w:val="14"/>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11.00</w:t>
            </w:r>
          </w:p>
        </w:tc>
        <w:tc>
          <w:tcPr>
            <w:tcW w:w="2835" w:type="dxa"/>
            <w:vAlign w:val="center"/>
          </w:tcPr>
          <w:p>
            <w:pPr>
              <w:pStyle w:val="12"/>
            </w:pPr>
            <w:r>
              <w:t>其中：财政    资金</w:t>
            </w:r>
          </w:p>
        </w:tc>
        <w:tc>
          <w:tcPr>
            <w:tcW w:w="2551" w:type="dxa"/>
            <w:vAlign w:val="center"/>
          </w:tcPr>
          <w:p>
            <w:pPr>
              <w:pStyle w:val="14"/>
            </w:pPr>
            <w:r>
              <w:t>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5386" w:type="dxa"/>
            <w:vAlign w:val="center"/>
          </w:tcPr>
          <w:p>
            <w:pPr>
              <w:pStyle w:val="14"/>
            </w:pPr>
            <w:r>
              <w:t>补贴发放人数</w:t>
            </w:r>
          </w:p>
        </w:tc>
        <w:tc>
          <w:tcPr>
            <w:tcW w:w="2268" w:type="dxa"/>
            <w:vAlign w:val="center"/>
          </w:tcPr>
          <w:p>
            <w:pPr>
              <w:pStyle w:val="14"/>
            </w:pPr>
            <w:r>
              <w:t>≥270人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补贴发放准确次数/总次数</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资金及时支付次数/总次数</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教龄补贴总成本</w:t>
            </w:r>
          </w:p>
        </w:tc>
        <w:tc>
          <w:tcPr>
            <w:tcW w:w="5386" w:type="dxa"/>
            <w:vAlign w:val="center"/>
          </w:tcPr>
          <w:p>
            <w:pPr>
              <w:pStyle w:val="14"/>
            </w:pPr>
            <w:r>
              <w:t>教龄补贴总成本</w:t>
            </w:r>
          </w:p>
        </w:tc>
        <w:tc>
          <w:tcPr>
            <w:tcW w:w="2268" w:type="dxa"/>
            <w:vAlign w:val="center"/>
          </w:tcPr>
          <w:p>
            <w:pPr>
              <w:pStyle w:val="14"/>
            </w:pPr>
            <w:r>
              <w:t>≤11万元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保障到龄民办代课教师权益</w:t>
            </w:r>
          </w:p>
        </w:tc>
        <w:tc>
          <w:tcPr>
            <w:tcW w:w="5386" w:type="dxa"/>
            <w:vAlign w:val="center"/>
          </w:tcPr>
          <w:p>
            <w:pPr>
              <w:pStyle w:val="14"/>
            </w:pPr>
            <w:r>
              <w:t>保障教师的权益，维护社会稳定</w:t>
            </w:r>
          </w:p>
        </w:tc>
        <w:tc>
          <w:tcPr>
            <w:tcW w:w="2268" w:type="dxa"/>
            <w:vAlign w:val="center"/>
          </w:tcPr>
          <w:p>
            <w:pPr>
              <w:pStyle w:val="14"/>
            </w:pPr>
            <w:r>
              <w:t>比上一年进一步提升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代课教师满意程度</w:t>
            </w:r>
          </w:p>
        </w:tc>
        <w:tc>
          <w:tcPr>
            <w:tcW w:w="5386" w:type="dxa"/>
            <w:vAlign w:val="center"/>
          </w:tcPr>
          <w:p>
            <w:pPr>
              <w:pStyle w:val="14"/>
            </w:pPr>
            <w:r>
              <w:t>代课教师对补贴发放满意程度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5、关于提前下达2025年原农村民办代课教师教龄补助省和市级资金预算的通知(秦财教[2024]612号)绩效目标表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13030425P00000110092T</w:t>
            </w:r>
          </w:p>
        </w:tc>
        <w:tc>
          <w:tcPr>
            <w:tcW w:w="2835" w:type="dxa"/>
            <w:vAlign w:val="center"/>
          </w:tcPr>
          <w:p>
            <w:pPr>
              <w:pStyle w:val="12"/>
            </w:pPr>
            <w:r>
              <w:t>项目名称</w:t>
            </w:r>
          </w:p>
        </w:tc>
        <w:tc>
          <w:tcPr>
            <w:tcW w:w="6095" w:type="dxa"/>
            <w:gridSpan w:val="3"/>
            <w:vAlign w:val="center"/>
          </w:tcPr>
          <w:p>
            <w:pPr>
              <w:pStyle w:val="14"/>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11.00</w:t>
            </w:r>
          </w:p>
        </w:tc>
        <w:tc>
          <w:tcPr>
            <w:tcW w:w="2835" w:type="dxa"/>
            <w:vAlign w:val="center"/>
          </w:tcPr>
          <w:p>
            <w:pPr>
              <w:pStyle w:val="12"/>
            </w:pPr>
            <w:r>
              <w:t>其中：财政    资金</w:t>
            </w:r>
          </w:p>
        </w:tc>
        <w:tc>
          <w:tcPr>
            <w:tcW w:w="2551" w:type="dxa"/>
            <w:vAlign w:val="center"/>
          </w:tcPr>
          <w:p>
            <w:pPr>
              <w:pStyle w:val="14"/>
            </w:pPr>
            <w:r>
              <w:t>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5386" w:type="dxa"/>
            <w:vAlign w:val="center"/>
          </w:tcPr>
          <w:p>
            <w:pPr>
              <w:pStyle w:val="14"/>
            </w:pPr>
            <w:r>
              <w:t>补贴发放人数</w:t>
            </w:r>
          </w:p>
        </w:tc>
        <w:tc>
          <w:tcPr>
            <w:tcW w:w="2268" w:type="dxa"/>
            <w:vAlign w:val="center"/>
          </w:tcPr>
          <w:p>
            <w:pPr>
              <w:pStyle w:val="14"/>
            </w:pPr>
            <w:r>
              <w:t>≥270人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补贴发放准确次数/总次数</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资金及时支付次数/总次数</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教龄补贴总成本</w:t>
            </w:r>
          </w:p>
        </w:tc>
        <w:tc>
          <w:tcPr>
            <w:tcW w:w="5386" w:type="dxa"/>
            <w:vAlign w:val="center"/>
          </w:tcPr>
          <w:p>
            <w:pPr>
              <w:pStyle w:val="14"/>
            </w:pPr>
            <w:r>
              <w:t>教龄补贴总成本</w:t>
            </w:r>
          </w:p>
        </w:tc>
        <w:tc>
          <w:tcPr>
            <w:tcW w:w="2268" w:type="dxa"/>
            <w:vAlign w:val="center"/>
          </w:tcPr>
          <w:p>
            <w:pPr>
              <w:pStyle w:val="14"/>
            </w:pPr>
            <w:r>
              <w:t>≤11万元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保障到龄民办代课教师权益</w:t>
            </w:r>
          </w:p>
        </w:tc>
        <w:tc>
          <w:tcPr>
            <w:tcW w:w="5386" w:type="dxa"/>
            <w:vAlign w:val="center"/>
          </w:tcPr>
          <w:p>
            <w:pPr>
              <w:pStyle w:val="14"/>
            </w:pPr>
            <w:r>
              <w:t>保障教师的权益，维护社会稳定</w:t>
            </w:r>
          </w:p>
        </w:tc>
        <w:tc>
          <w:tcPr>
            <w:tcW w:w="2268" w:type="dxa"/>
            <w:vAlign w:val="center"/>
          </w:tcPr>
          <w:p>
            <w:pPr>
              <w:pStyle w:val="14"/>
            </w:pPr>
            <w:r>
              <w:t>比上一年进一步提升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代课教师满意程度</w:t>
            </w:r>
          </w:p>
        </w:tc>
        <w:tc>
          <w:tcPr>
            <w:tcW w:w="5386" w:type="dxa"/>
            <w:vAlign w:val="center"/>
          </w:tcPr>
          <w:p>
            <w:pPr>
              <w:pStyle w:val="14"/>
            </w:pPr>
            <w:r>
              <w:t>代课教师对补贴发放满意程度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6、关于提前下达2025年中央就业补助资金预算的通知[2024]659号绩效目标表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13030425P000011100000</w:t>
            </w:r>
          </w:p>
        </w:tc>
        <w:tc>
          <w:tcPr>
            <w:tcW w:w="2835" w:type="dxa"/>
            <w:vAlign w:val="center"/>
          </w:tcPr>
          <w:p>
            <w:pPr>
              <w:pStyle w:val="12"/>
            </w:pPr>
            <w:r>
              <w:t>项目名称</w:t>
            </w:r>
          </w:p>
        </w:tc>
        <w:tc>
          <w:tcPr>
            <w:tcW w:w="6095" w:type="dxa"/>
            <w:gridSpan w:val="3"/>
            <w:vAlign w:val="center"/>
          </w:tcPr>
          <w:p>
            <w:pPr>
              <w:pStyle w:val="14"/>
            </w:pPr>
            <w:r>
              <w:t>关于提前下达2025年中央就业补助资金预算的通知[2024]659号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320.00</w:t>
            </w:r>
          </w:p>
        </w:tc>
        <w:tc>
          <w:tcPr>
            <w:tcW w:w="2835" w:type="dxa"/>
            <w:vAlign w:val="center"/>
          </w:tcPr>
          <w:p>
            <w:pPr>
              <w:pStyle w:val="12"/>
            </w:pPr>
            <w:r>
              <w:t>其中：财政    资金</w:t>
            </w:r>
          </w:p>
        </w:tc>
        <w:tc>
          <w:tcPr>
            <w:tcW w:w="2551" w:type="dxa"/>
            <w:vAlign w:val="center"/>
          </w:tcPr>
          <w:p>
            <w:pPr>
              <w:pStyle w:val="14"/>
            </w:pPr>
            <w:r>
              <w:t>320.00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关于提前下达2025年中央就业补助资金预算的通知(秦财社[2024]659号)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1.完成100名公益岗位、就业见习等人员补贴发放，保障相关人员的权益，落实创业帮扶政策,维护社会稳定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5386" w:type="dxa"/>
            <w:vAlign w:val="center"/>
          </w:tcPr>
          <w:p>
            <w:pPr>
              <w:pStyle w:val="14"/>
            </w:pPr>
            <w:r>
              <w:t>补贴发放人数</w:t>
            </w:r>
          </w:p>
        </w:tc>
        <w:tc>
          <w:tcPr>
            <w:tcW w:w="2268" w:type="dxa"/>
            <w:vAlign w:val="center"/>
          </w:tcPr>
          <w:p>
            <w:pPr>
              <w:pStyle w:val="14"/>
            </w:pPr>
            <w:r>
              <w:t>≥100人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补贴发放准确次数/总次数</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5386" w:type="dxa"/>
            <w:vAlign w:val="center"/>
          </w:tcPr>
          <w:p>
            <w:pPr>
              <w:pStyle w:val="14"/>
            </w:pPr>
            <w:r>
              <w:t>资金及时支付次数/总次数</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补贴总成本</w:t>
            </w:r>
          </w:p>
        </w:tc>
        <w:tc>
          <w:tcPr>
            <w:tcW w:w="5386" w:type="dxa"/>
            <w:vAlign w:val="center"/>
          </w:tcPr>
          <w:p>
            <w:pPr>
              <w:pStyle w:val="14"/>
            </w:pPr>
            <w:r>
              <w:t>补贴总成本</w:t>
            </w:r>
          </w:p>
        </w:tc>
        <w:tc>
          <w:tcPr>
            <w:tcW w:w="2268" w:type="dxa"/>
            <w:vAlign w:val="center"/>
          </w:tcPr>
          <w:p>
            <w:pPr>
              <w:pStyle w:val="14"/>
            </w:pPr>
            <w:r>
              <w:t>≤320万元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保障公益岗位就业见习等人员权益</w:t>
            </w:r>
          </w:p>
        </w:tc>
        <w:tc>
          <w:tcPr>
            <w:tcW w:w="5386" w:type="dxa"/>
            <w:vAlign w:val="center"/>
          </w:tcPr>
          <w:p>
            <w:pPr>
              <w:pStyle w:val="14"/>
            </w:pPr>
            <w:r>
              <w:t>保障相关人员的权益，维护社会稳定</w:t>
            </w:r>
          </w:p>
        </w:tc>
        <w:tc>
          <w:tcPr>
            <w:tcW w:w="2268" w:type="dxa"/>
            <w:vAlign w:val="center"/>
          </w:tcPr>
          <w:p>
            <w:pPr>
              <w:pStyle w:val="14"/>
            </w:pPr>
            <w:r>
              <w:t>比上一年进一步提升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相关人员满意程度</w:t>
            </w:r>
          </w:p>
        </w:tc>
        <w:tc>
          <w:tcPr>
            <w:tcW w:w="5386" w:type="dxa"/>
            <w:vAlign w:val="center"/>
          </w:tcPr>
          <w:p>
            <w:pPr>
              <w:pStyle w:val="14"/>
            </w:pPr>
            <w:r>
              <w:t>相关人员对补贴发放满意程度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7、企业社会化退管服务经费绩效目标表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13030425P00000310802M</w:t>
            </w:r>
          </w:p>
        </w:tc>
        <w:tc>
          <w:tcPr>
            <w:tcW w:w="2835" w:type="dxa"/>
            <w:vAlign w:val="center"/>
          </w:tcPr>
          <w:p>
            <w:pPr>
              <w:pStyle w:val="12"/>
            </w:pPr>
            <w:r>
              <w:t>项目名称</w:t>
            </w:r>
          </w:p>
        </w:tc>
        <w:tc>
          <w:tcPr>
            <w:tcW w:w="6095" w:type="dxa"/>
            <w:gridSpan w:val="3"/>
            <w:vAlign w:val="center"/>
          </w:tcPr>
          <w:p>
            <w:pPr>
              <w:pStyle w:val="14"/>
            </w:pPr>
            <w:r>
              <w:t>企业社会化退管服务经费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0.72</w:t>
            </w:r>
          </w:p>
        </w:tc>
        <w:tc>
          <w:tcPr>
            <w:tcW w:w="2835" w:type="dxa"/>
            <w:vAlign w:val="center"/>
          </w:tcPr>
          <w:p>
            <w:pPr>
              <w:pStyle w:val="12"/>
            </w:pPr>
            <w:r>
              <w:t>其中：财政    资金</w:t>
            </w:r>
          </w:p>
        </w:tc>
        <w:tc>
          <w:tcPr>
            <w:tcW w:w="2551" w:type="dxa"/>
            <w:vAlign w:val="center"/>
          </w:tcPr>
          <w:p>
            <w:pPr>
              <w:pStyle w:val="14"/>
            </w:pPr>
            <w:r>
              <w:t>0.72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企业社会化退管服务经费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1.及时拔付0.72万元服务费，保障业务正常开展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企业退休人数</w:t>
            </w:r>
          </w:p>
        </w:tc>
        <w:tc>
          <w:tcPr>
            <w:tcW w:w="5386" w:type="dxa"/>
            <w:vAlign w:val="center"/>
          </w:tcPr>
          <w:p>
            <w:pPr>
              <w:pStyle w:val="14"/>
            </w:pPr>
            <w:r>
              <w:t>企业退休人数</w:t>
            </w:r>
          </w:p>
        </w:tc>
        <w:tc>
          <w:tcPr>
            <w:tcW w:w="2268" w:type="dxa"/>
            <w:vAlign w:val="center"/>
          </w:tcPr>
          <w:p>
            <w:pPr>
              <w:pStyle w:val="14"/>
            </w:pPr>
            <w:r>
              <w:t>≥5221人</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5386" w:type="dxa"/>
            <w:vAlign w:val="center"/>
          </w:tcPr>
          <w:p>
            <w:pPr>
              <w:pStyle w:val="14"/>
            </w:pPr>
            <w:r>
              <w:t>单位办公正常运转天数比率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5386" w:type="dxa"/>
            <w:vAlign w:val="center"/>
          </w:tcPr>
          <w:p>
            <w:pPr>
              <w:pStyle w:val="14"/>
            </w:pPr>
            <w:r>
              <w:t>按照工作要求按时完成预定计划</w:t>
            </w:r>
          </w:p>
        </w:tc>
        <w:tc>
          <w:tcPr>
            <w:tcW w:w="2268" w:type="dxa"/>
            <w:vAlign w:val="center"/>
          </w:tcPr>
          <w:p>
            <w:pPr>
              <w:pStyle w:val="14"/>
            </w:pPr>
            <w:r>
              <w:t>按计划时间完成工作</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退管服务经费总成本</w:t>
            </w:r>
          </w:p>
        </w:tc>
        <w:tc>
          <w:tcPr>
            <w:tcW w:w="5386" w:type="dxa"/>
            <w:vAlign w:val="center"/>
          </w:tcPr>
          <w:p>
            <w:pPr>
              <w:pStyle w:val="14"/>
            </w:pPr>
            <w:r>
              <w:t>企业社会化退管服务经费总成本</w:t>
            </w:r>
          </w:p>
        </w:tc>
        <w:tc>
          <w:tcPr>
            <w:tcW w:w="2268" w:type="dxa"/>
            <w:vAlign w:val="center"/>
          </w:tcPr>
          <w:p>
            <w:pPr>
              <w:pStyle w:val="14"/>
            </w:pPr>
            <w:r>
              <w:t>≤0.72万元</w:t>
            </w:r>
          </w:p>
        </w:tc>
        <w:tc>
          <w:tcPr>
            <w:tcW w:w="1276" w:type="dxa"/>
            <w:vAlign w:val="center"/>
          </w:tcPr>
          <w:p>
            <w:pPr>
              <w:pStyle w:val="14"/>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5386" w:type="dxa"/>
            <w:vAlign w:val="center"/>
          </w:tcPr>
          <w:p>
            <w:pPr>
              <w:pStyle w:val="14"/>
            </w:pPr>
            <w:r>
              <w:t>保障相关业务正常开展</w:t>
            </w:r>
          </w:p>
        </w:tc>
        <w:tc>
          <w:tcPr>
            <w:tcW w:w="2268" w:type="dxa"/>
            <w:vAlign w:val="center"/>
          </w:tcPr>
          <w:p>
            <w:pPr>
              <w:pStyle w:val="14"/>
            </w:pPr>
            <w:r>
              <w:t>比上年进一步提升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单位人员对工资补贴等发放工作的满意程度</w:t>
            </w:r>
          </w:p>
        </w:tc>
        <w:tc>
          <w:tcPr>
            <w:tcW w:w="2268" w:type="dxa"/>
            <w:vAlign w:val="center"/>
          </w:tcPr>
          <w:p>
            <w:pPr>
              <w:pStyle w:val="14"/>
            </w:pPr>
            <w:r>
              <w:t>≥95%</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28.96</w:t>
            </w:r>
          </w:p>
        </w:tc>
        <w:tc>
          <w:tcPr>
            <w:tcW w:w="964" w:type="dxa"/>
            <w:vAlign w:val="center"/>
          </w:tcPr>
          <w:p>
            <w:pPr>
              <w:pStyle w:val="17"/>
            </w:pPr>
            <w:r>
              <w:t>28.96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秦皇岛市北戴河区人力资源和社会保障局(本级）小计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28.96</w:t>
            </w:r>
          </w:p>
        </w:tc>
        <w:tc>
          <w:tcPr>
            <w:tcW w:w="964" w:type="dxa"/>
            <w:vAlign w:val="center"/>
          </w:tcPr>
          <w:p>
            <w:pPr>
              <w:pStyle w:val="17"/>
            </w:pPr>
            <w:r>
              <w:t>28.96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公用经费二</w:t>
            </w:r>
          </w:p>
        </w:tc>
        <w:tc>
          <w:tcPr>
            <w:tcW w:w="964" w:type="dxa"/>
            <w:vAlign w:val="center"/>
          </w:tcPr>
          <w:p>
            <w:pPr>
              <w:pStyle w:val="13"/>
            </w:pPr>
            <w:r>
              <w:t>34.60</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2.48</w:t>
            </w:r>
          </w:p>
        </w:tc>
        <w:tc>
          <w:tcPr>
            <w:tcW w:w="964" w:type="dxa"/>
            <w:vAlign w:val="center"/>
          </w:tcPr>
          <w:p>
            <w:pPr>
              <w:pStyle w:val="13"/>
            </w:pPr>
            <w:r>
              <w:t>2.48</w:t>
            </w:r>
          </w:p>
        </w:tc>
        <w:tc>
          <w:tcPr>
            <w:tcW w:w="964" w:type="dxa"/>
            <w:vAlign w:val="center"/>
          </w:tcPr>
          <w:p>
            <w:pPr>
              <w:pStyle w:val="13"/>
            </w:pPr>
            <w:r>
              <w:t>2.48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53.58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50</w:t>
            </w:r>
          </w:p>
        </w:tc>
        <w:tc>
          <w:tcPr>
            <w:tcW w:w="850" w:type="dxa"/>
            <w:vAlign w:val="center"/>
          </w:tcPr>
          <w:p>
            <w:pPr>
              <w:pStyle w:val="13"/>
            </w:pPr>
            <w:r>
              <w:t>0.01</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53.58</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10.88</w:t>
            </w:r>
          </w:p>
        </w:tc>
        <w:tc>
          <w:tcPr>
            <w:tcW w:w="964" w:type="dxa"/>
            <w:vAlign w:val="center"/>
          </w:tcPr>
          <w:p>
            <w:pPr>
              <w:pStyle w:val="13"/>
            </w:pPr>
            <w:r>
              <w:t>10.88</w:t>
            </w:r>
          </w:p>
        </w:tc>
        <w:tc>
          <w:tcPr>
            <w:tcW w:w="964" w:type="dxa"/>
            <w:vAlign w:val="center"/>
          </w:tcPr>
          <w:p>
            <w:pPr>
              <w:pStyle w:val="13"/>
            </w:pPr>
            <w:r>
              <w:t>10.88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53.58</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12.00</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53.58</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0.93</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53.58</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270</w:t>
            </w:r>
          </w:p>
        </w:tc>
        <w:tc>
          <w:tcPr>
            <w:tcW w:w="850" w:type="dxa"/>
            <w:vAlign w:val="center"/>
          </w:tcPr>
          <w:p>
            <w:pPr>
              <w:pStyle w:val="13"/>
            </w:pPr>
            <w:r>
              <w:t>0.00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秦皇岛市北戴河区人力资源和社会保障局（含所属单位）上年末固定资产金额为987.68万元（详见下表）。本年度拟购置固定资产总额为0.00万元，已按要求列入政府采购预算，详见政府采购预算表。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316秦皇岛市北戴河区人力资源和社会保障局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987.68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3509.11</w:t>
            </w:r>
          </w:p>
        </w:tc>
        <w:tc>
          <w:tcPr>
            <w:tcW w:w="2835" w:type="dxa"/>
            <w:vAlign w:val="center"/>
          </w:tcPr>
          <w:p>
            <w:pPr>
              <w:pStyle w:val="13"/>
            </w:pPr>
            <w:r>
              <w:t>717.86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1410</w:t>
            </w:r>
          </w:p>
        </w:tc>
        <w:tc>
          <w:tcPr>
            <w:tcW w:w="2835" w:type="dxa"/>
            <w:vAlign w:val="center"/>
          </w:tcPr>
          <w:p>
            <w:pPr>
              <w:pStyle w:val="13"/>
            </w:pPr>
            <w:r>
              <w:t>288.44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496</w:t>
            </w:r>
          </w:p>
        </w:tc>
        <w:tc>
          <w:tcPr>
            <w:tcW w:w="2835" w:type="dxa"/>
            <w:vAlign w:val="center"/>
          </w:tcPr>
          <w:p>
            <w:pPr>
              <w:pStyle w:val="13"/>
            </w:pPr>
            <w:r>
              <w:t>233.07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34B78"/>
    <w:rsid w:val="64BF3A19"/>
    <w:rsid w:val="763C6BE2"/>
    <w:rsid w:val="7CC67C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0"/>
    <w:rPr>
      <w:rFonts w:ascii="宋体" w:hAnsi="Courier New"/>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2025-02-11T09:24:00Z</dcterms:created>
  <dc:creator>wxy</dc:creator>
  <cp:lastModifiedBy>Administrator</cp:lastModifiedBy>
  <dcterms:modified xsi:type="dcterms:W3CDTF">2025-03-12T08:57:35Z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B9C2088C64BF4CBB81204F02B6D65247</vt:lpwstr>
  </property>
</Properties>
</file>