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宋体" w:eastAsia="方正小标宋简体" w:cs="宋体"/>
          <w:bCs/>
          <w:color w:val="333333"/>
          <w:kern w:val="0"/>
          <w:sz w:val="44"/>
          <w:szCs w:val="44"/>
        </w:rPr>
      </w:pPr>
      <w:r>
        <w:rPr>
          <w:rFonts w:hint="eastAsia" w:ascii="方正小标宋简体" w:hAnsi="宋体" w:eastAsia="方正小标宋简体" w:cs="宋体"/>
          <w:bCs/>
          <w:color w:val="333333"/>
          <w:kern w:val="0"/>
          <w:sz w:val="44"/>
          <w:szCs w:val="44"/>
        </w:rPr>
        <w:t>202</w:t>
      </w:r>
      <w:r>
        <w:rPr>
          <w:rFonts w:hint="eastAsia" w:ascii="方正小标宋简体" w:hAnsi="宋体" w:eastAsia="方正小标宋简体" w:cs="宋体"/>
          <w:bCs/>
          <w:color w:val="333333"/>
          <w:kern w:val="0"/>
          <w:sz w:val="44"/>
          <w:szCs w:val="44"/>
          <w:lang w:val="en-US" w:eastAsia="zh-CN"/>
        </w:rPr>
        <w:t>5</w:t>
      </w:r>
      <w:r>
        <w:rPr>
          <w:rFonts w:hint="eastAsia" w:ascii="方正小标宋简体" w:hAnsi="宋体" w:eastAsia="方正小标宋简体" w:cs="宋体"/>
          <w:bCs/>
          <w:color w:val="333333"/>
          <w:kern w:val="0"/>
          <w:sz w:val="44"/>
          <w:szCs w:val="44"/>
        </w:rPr>
        <w:t>年区级预算公开</w:t>
      </w:r>
    </w:p>
    <w:p>
      <w:pPr>
        <w:widowControl/>
        <w:spacing w:line="600" w:lineRule="exact"/>
        <w:jc w:val="center"/>
        <w:rPr>
          <w:rFonts w:ascii="方正小标宋简体" w:hAnsi="宋体" w:eastAsia="方正小标宋简体" w:cs="宋体"/>
          <w:color w:val="333333"/>
          <w:kern w:val="0"/>
          <w:sz w:val="44"/>
          <w:szCs w:val="44"/>
        </w:rPr>
      </w:pPr>
      <w:r>
        <w:rPr>
          <w:rFonts w:hint="eastAsia" w:ascii="方正小标宋简体" w:hAnsi="宋体" w:eastAsia="方正小标宋简体" w:cs="宋体"/>
          <w:bCs/>
          <w:color w:val="333333"/>
          <w:kern w:val="0"/>
          <w:sz w:val="44"/>
          <w:szCs w:val="44"/>
        </w:rPr>
        <w:t>有关事项的说明</w:t>
      </w:r>
    </w:p>
    <w:p>
      <w:pPr>
        <w:widowControl/>
        <w:spacing w:line="600" w:lineRule="exact"/>
        <w:ind w:firstLine="643" w:firstLineChars="200"/>
        <w:jc w:val="left"/>
        <w:rPr>
          <w:rFonts w:ascii="仿宋_GB2312" w:hAnsi="宋体" w:eastAsia="仿宋_GB2312" w:cs="宋体"/>
          <w:b/>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宋体" w:hAnsi="宋体" w:eastAsia="宋体" w:cs="宋体"/>
          <w:b/>
          <w:kern w:val="0"/>
          <w:sz w:val="32"/>
          <w:szCs w:val="32"/>
        </w:rPr>
      </w:pPr>
      <w:r>
        <w:rPr>
          <w:rFonts w:hint="eastAsia" w:ascii="仿宋_GB2312" w:hAnsi="宋体" w:eastAsia="仿宋_GB2312" w:cs="宋体"/>
          <w:b/>
          <w:color w:val="333333"/>
          <w:kern w:val="0"/>
          <w:sz w:val="32"/>
          <w:szCs w:val="32"/>
        </w:rPr>
        <w:t>一、财政拨款“三公”经费预算情况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年区级一般公共预算安排“三公”经费预算</w:t>
      </w:r>
      <w:r>
        <w:rPr>
          <w:rFonts w:ascii="仿宋_GB2312" w:hAnsi="宋体" w:eastAsia="仿宋_GB2312" w:cs="宋体"/>
          <w:color w:val="333333"/>
          <w:kern w:val="0"/>
          <w:sz w:val="32"/>
          <w:szCs w:val="32"/>
        </w:rPr>
        <w:t>28</w:t>
      </w:r>
      <w:r>
        <w:rPr>
          <w:rFonts w:hint="eastAsia" w:ascii="仿宋_GB2312" w:hAnsi="宋体" w:eastAsia="仿宋_GB2312" w:cs="宋体"/>
          <w:color w:val="333333"/>
          <w:kern w:val="0"/>
          <w:sz w:val="32"/>
          <w:szCs w:val="32"/>
          <w:lang w:val="en-US" w:eastAsia="zh-CN"/>
        </w:rPr>
        <w:t>5</w:t>
      </w:r>
      <w:r>
        <w:rPr>
          <w:rFonts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rPr>
        <w:t>万元（不包含自收自支单位等因素,下同），具体安排情况如下：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1．公车购置及运行费。202</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年预算安排公车购置及运行费</w:t>
      </w:r>
      <w:r>
        <w:rPr>
          <w:rFonts w:ascii="仿宋_GB2312" w:hAnsi="宋体" w:eastAsia="仿宋_GB2312" w:cs="宋体"/>
          <w:color w:val="333333"/>
          <w:kern w:val="0"/>
          <w:sz w:val="32"/>
          <w:szCs w:val="32"/>
        </w:rPr>
        <w:t>21</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万元（202</w:t>
      </w: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年安排</w:t>
      </w:r>
      <w:r>
        <w:rPr>
          <w:rFonts w:hint="eastAsia" w:ascii="仿宋_GB2312" w:hAnsi="宋体" w:eastAsia="仿宋_GB2312" w:cs="宋体"/>
          <w:color w:val="333333"/>
          <w:kern w:val="0"/>
          <w:sz w:val="32"/>
          <w:szCs w:val="32"/>
          <w:lang w:val="en-US" w:eastAsia="zh-CN"/>
        </w:rPr>
        <w:t>211</w:t>
      </w:r>
      <w:r>
        <w:rPr>
          <w:rFonts w:hint="eastAsia" w:ascii="仿宋_GB2312" w:hAnsi="宋体" w:eastAsia="仿宋_GB2312" w:cs="宋体"/>
          <w:color w:val="333333"/>
          <w:kern w:val="0"/>
          <w:sz w:val="32"/>
          <w:szCs w:val="32"/>
        </w:rPr>
        <w:t>万元），比202</w:t>
      </w: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年减少</w:t>
      </w:r>
      <w:r>
        <w:rPr>
          <w:rFonts w:hint="eastAsia" w:ascii="仿宋_GB2312" w:hAnsi="宋体" w:eastAsia="仿宋_GB2312" w:cs="宋体"/>
          <w:color w:val="333333"/>
          <w:kern w:val="0"/>
          <w:sz w:val="32"/>
          <w:szCs w:val="32"/>
          <w:lang w:val="en-US" w:eastAsia="zh-CN"/>
        </w:rPr>
        <w:t>0.4</w:t>
      </w:r>
      <w:r>
        <w:rPr>
          <w:rFonts w:hint="eastAsia" w:ascii="仿宋_GB2312" w:hAnsi="宋体" w:eastAsia="仿宋_GB2312" w:cs="宋体"/>
          <w:color w:val="333333"/>
          <w:kern w:val="0"/>
          <w:sz w:val="32"/>
          <w:szCs w:val="32"/>
        </w:rPr>
        <w:t>%。主要原因是</w:t>
      </w:r>
      <w:r>
        <w:rPr>
          <w:rFonts w:hint="eastAsia" w:ascii="仿宋_GB2312" w:hAnsi="宋体" w:eastAsia="仿宋_GB2312" w:cs="宋体"/>
          <w:color w:val="333333"/>
          <w:kern w:val="0"/>
          <w:sz w:val="32"/>
          <w:szCs w:val="32"/>
          <w:lang w:val="en-US" w:eastAsia="zh-CN"/>
        </w:rPr>
        <w:t>节约开支，压减预算</w:t>
      </w:r>
      <w:r>
        <w:rPr>
          <w:rFonts w:hint="eastAsia" w:ascii="仿宋_GB2312" w:hAnsi="宋体" w:eastAsia="仿宋_GB2312" w:cs="宋体"/>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2．公务接待费。202</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年预算安排公务接待费2</w:t>
      </w:r>
      <w:r>
        <w:rPr>
          <w:rFonts w:ascii="仿宋_GB2312" w:hAnsi="宋体" w:eastAsia="仿宋_GB2312" w:cs="宋体"/>
          <w:color w:val="333333"/>
          <w:kern w:val="0"/>
          <w:sz w:val="32"/>
          <w:szCs w:val="32"/>
        </w:rPr>
        <w:t>5.2</w:t>
      </w:r>
      <w:r>
        <w:rPr>
          <w:rFonts w:hint="eastAsia" w:ascii="仿宋_GB2312" w:hAnsi="宋体" w:eastAsia="仿宋_GB2312" w:cs="宋体"/>
          <w:color w:val="333333"/>
          <w:kern w:val="0"/>
          <w:sz w:val="32"/>
          <w:szCs w:val="32"/>
        </w:rPr>
        <w:t>万元（202</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年安排</w:t>
      </w:r>
      <w:r>
        <w:rPr>
          <w:rFonts w:hint="eastAsia" w:ascii="仿宋_GB2312" w:hAnsi="宋体" w:eastAsia="仿宋_GB2312" w:cs="宋体"/>
          <w:color w:val="333333"/>
          <w:kern w:val="0"/>
          <w:sz w:val="32"/>
          <w:szCs w:val="32"/>
          <w:lang w:val="en-US" w:eastAsia="zh-CN"/>
        </w:rPr>
        <w:t>25.2</w:t>
      </w:r>
      <w:r>
        <w:rPr>
          <w:rFonts w:hint="eastAsia" w:ascii="仿宋_GB2312" w:hAnsi="宋体" w:eastAsia="仿宋_GB2312" w:cs="宋体"/>
          <w:color w:val="333333"/>
          <w:kern w:val="0"/>
          <w:sz w:val="32"/>
          <w:szCs w:val="32"/>
        </w:rPr>
        <w:t>万元），</w:t>
      </w:r>
      <w:r>
        <w:rPr>
          <w:rFonts w:hint="eastAsia" w:ascii="仿宋_GB2312" w:hAnsi="宋体" w:eastAsia="仿宋_GB2312" w:cs="宋体"/>
          <w:color w:val="333333"/>
          <w:kern w:val="0"/>
          <w:sz w:val="32"/>
          <w:szCs w:val="32"/>
          <w:lang w:val="en-US" w:eastAsia="zh-CN"/>
        </w:rPr>
        <w:t>与2024年持平</w:t>
      </w:r>
      <w:r>
        <w:rPr>
          <w:rFonts w:hint="eastAsia" w:ascii="仿宋_GB2312" w:hAnsi="宋体" w:eastAsia="仿宋_GB2312" w:cs="宋体"/>
          <w:color w:val="333333"/>
          <w:kern w:val="0"/>
          <w:sz w:val="32"/>
          <w:szCs w:val="32"/>
        </w:rPr>
        <w:t>。原因是</w:t>
      </w:r>
      <w:r>
        <w:rPr>
          <w:rFonts w:hint="eastAsia" w:ascii="仿宋_GB2312" w:hAnsi="宋体" w:eastAsia="仿宋_GB2312" w:cs="宋体"/>
          <w:kern w:val="0"/>
          <w:sz w:val="32"/>
          <w:szCs w:val="32"/>
        </w:rPr>
        <w:t>是依据财力和实际支出情况安排支出</w:t>
      </w:r>
      <w:r>
        <w:rPr>
          <w:rFonts w:hint="eastAsia" w:ascii="仿宋_GB2312" w:hAnsi="宋体" w:eastAsia="仿宋_GB2312" w:cs="宋体"/>
          <w:color w:val="333333"/>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color w:val="333333"/>
          <w:kern w:val="0"/>
          <w:sz w:val="32"/>
          <w:szCs w:val="32"/>
        </w:rPr>
        <w:t>3．因公出国（境）费。202</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年预算安排因公出国（境）费50万元，与202</w:t>
      </w: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年持平。</w:t>
      </w:r>
      <w:r>
        <w:rPr>
          <w:rFonts w:hint="eastAsia" w:ascii="仿宋_GB2312" w:hAnsi="宋体" w:eastAsia="仿宋_GB2312" w:cs="宋体"/>
          <w:kern w:val="0"/>
          <w:sz w:val="32"/>
          <w:szCs w:val="32"/>
        </w:rPr>
        <w:t>原因是依据财力和实际支出情况安排支出。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二、举借债务情况说明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（一）一般债务。2024年需安排区级政府一般债务还本付息付费资金亿元，其中：偿还一般债务到期本金0.7亿元，使用区本级资金安排0.22亿元，再融资债券0.48 亿元；支付一般债券利息、手续费 0.4125亿元，使用一般公共预算资金安排。截至2024年底，区级政府一般债务限额13.4296亿元，区级政府一般债务余额 12.5736亿元。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（二）专项债务。其中：偿还专项债务到期本金2.124亿元，使用基金预算资金安排0.064亿元，再融资债券2.06亿元；支付专项债券利息、手续费0.7383亿元，使用基金预算资金安排。截至 2024年底，区级政府专项债务限额27.04亿元，区级政府专项债务余额26.89亿元。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宋体"/>
          <w:b/>
          <w:color w:val="333333"/>
          <w:kern w:val="0"/>
          <w:sz w:val="32"/>
          <w:szCs w:val="32"/>
          <w:highlight w:val="none"/>
        </w:rPr>
      </w:pPr>
      <w:r>
        <w:rPr>
          <w:rFonts w:hint="eastAsia" w:ascii="仿宋_GB2312" w:hAnsi="宋体" w:eastAsia="仿宋_GB2312" w:cs="宋体"/>
          <w:b/>
          <w:color w:val="333333"/>
          <w:kern w:val="0"/>
          <w:sz w:val="32"/>
          <w:szCs w:val="32"/>
          <w:highlight w:val="none"/>
        </w:rPr>
        <w:t>三、财政转移支付安排情况说明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本级未安排对下转移支付预算。</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宋体"/>
          <w:b/>
          <w:color w:val="333333"/>
          <w:kern w:val="0"/>
          <w:sz w:val="32"/>
          <w:szCs w:val="32"/>
          <w:highlight w:val="none"/>
        </w:rPr>
      </w:pPr>
      <w:r>
        <w:rPr>
          <w:rFonts w:hint="eastAsia" w:ascii="仿宋_GB2312" w:hAnsi="宋体" w:eastAsia="仿宋_GB2312" w:cs="宋体"/>
          <w:b/>
          <w:color w:val="333333"/>
          <w:kern w:val="0"/>
          <w:sz w:val="32"/>
          <w:szCs w:val="32"/>
          <w:highlight w:val="none"/>
        </w:rPr>
        <w:t>四、政府采购情况说明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各部门认真编制政府采购预算，部门使用财政性资金采购的货物、工程和服务，凡符合《河北省政府集中采购目录及标准》（2024年版）内的，全部编列政府采购预算，列清采购项目、采购物品、采购数量、采购金额；日常公用经费支出涉及政府采购的，也编制政府采购预算。部门采购需求体现优先采购国产产品，落实节能环保政策，扶持中小企业发展、落实中小微企业预留份额,新能源汽车等政策要求，不符合政府采购政策的项目，原则上不列入部门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2025年安排政府采购预算14396.57922万元。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五、预算绩效管理工作开展情况说明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sz w:val="32"/>
          <w:szCs w:val="32"/>
        </w:rPr>
      </w:pPr>
      <w:r>
        <w:rPr>
          <w:rFonts w:hint="eastAsia" w:ascii="仿宋_GB2312" w:eastAsia="仿宋_GB2312"/>
          <w:sz w:val="32"/>
          <w:szCs w:val="32"/>
        </w:rPr>
        <w:t>我区认真落实省级预算绩效管理制度规定，深入实施全过程预算绩效管理，以预算资金管理为主线，推动目标管理、运行监控、绩效评价、结果应用等各项改革措施有效融入预算管理的相关环节。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宋体" w:eastAsia="仿宋_GB2312"/>
          <w:sz w:val="32"/>
          <w:szCs w:val="32"/>
        </w:rPr>
        <w:t>一是建章立制，出台相关政策文件。</w:t>
      </w:r>
      <w:r>
        <w:rPr>
          <w:rFonts w:hint="eastAsia" w:ascii="仿宋_GB2312" w:eastAsia="仿宋_GB2312"/>
          <w:sz w:val="32"/>
          <w:szCs w:val="32"/>
        </w:rPr>
        <w:t>出台了事前绩效评估管理办法、部门预算绩效管理办法、部门预算绩效目标设定规范、部门预算绩效运行监控管理办法、政府采购绩效管理办法、新增政府债券资金和项目绩效管理办法等一系列本级预算绩效管理制度办法，涵盖事前评估、绩效目标管理、绩效运行监控、绩效评价、结果应用等各环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二是开展事前绩效评估。202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年预算编制中，根据《北戴河区财政局关于开展202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年部门预算事前绩效评估工作的通知》(北财〔202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91</w:t>
      </w:r>
      <w:r>
        <w:rPr>
          <w:rFonts w:hint="eastAsia" w:ascii="仿宋_GB2312" w:eastAsia="仿宋_GB2312"/>
          <w:sz w:val="32"/>
          <w:szCs w:val="32"/>
          <w:highlight w:val="none"/>
        </w:rPr>
        <w:t>号)相关要求，各部门对202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资金规模超过50万元的项目以及新增的超过20万元的项目开展事前绩效评估。通过对项目立项必要性、投入经济性、绩效目标合理性、实施可行性、筹资合规性等方面进行研判和分析，对中长期目标和进度安排规划不合理的项目预算申请进行审减，将评估结果应用于预算编制当中。聘请中介机构对涉及重大项目和重大政策的项目进行事前绩效评估，涉及项目</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个，项目金额总计</w:t>
      </w:r>
      <w:r>
        <w:rPr>
          <w:rFonts w:hint="eastAsia" w:ascii="仿宋_GB2312" w:eastAsia="仿宋_GB2312"/>
          <w:sz w:val="32"/>
          <w:szCs w:val="32"/>
          <w:highlight w:val="none"/>
          <w:lang w:val="en-US" w:eastAsia="zh-CN"/>
        </w:rPr>
        <w:t>386.43</w:t>
      </w:r>
      <w:r>
        <w:rPr>
          <w:rFonts w:hint="eastAsia" w:ascii="仿宋_GB2312" w:eastAsia="仿宋_GB2312"/>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是强化绩效目标管理，提高绩效目标编制和绩效指标设定质量。我区绩效目标管理覆盖一般公共预算、政府性基金预算、国有资本经营预算三本预算，本级所有项目实施预算绩效目标管理。项目全部纳入项目库管理，按规定组织项目论证、审查和入库</w:t>
      </w:r>
      <w:r>
        <w:rPr>
          <w:rFonts w:hint="eastAsia" w:ascii="仿宋_GB2312" w:hAnsi="宋体" w:eastAsia="仿宋_GB2312" w:cs="宋体"/>
          <w:kern w:val="0"/>
          <w:sz w:val="32"/>
          <w:szCs w:val="32"/>
        </w:rPr>
        <w:t>，保证项目要素内容完整详实、绩效目标指标量化科学</w:t>
      </w:r>
      <w:r>
        <w:rPr>
          <w:rFonts w:hint="eastAsia" w:ascii="仿宋_GB2312" w:eastAsia="仿宋_GB2312"/>
          <w:sz w:val="32"/>
          <w:szCs w:val="32"/>
        </w:rPr>
        <w:t>，还将组织人大代表对绩效目标进行审核，</w:t>
      </w:r>
      <w:r>
        <w:rPr>
          <w:rFonts w:hint="eastAsia" w:ascii="仿宋_GB2312" w:hAnsi="宋体" w:eastAsia="仿宋_GB2312" w:cs="宋体"/>
          <w:kern w:val="0"/>
          <w:sz w:val="32"/>
          <w:szCs w:val="32"/>
        </w:rPr>
        <w:t>切实提高</w:t>
      </w:r>
      <w:r>
        <w:rPr>
          <w:rFonts w:hint="eastAsia" w:ascii="仿宋_GB2312" w:eastAsia="仿宋_GB2312"/>
          <w:sz w:val="32"/>
          <w:szCs w:val="32"/>
        </w:rPr>
        <w:t>绩效目标设定质量。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四是提高绩效评价质量。通过开展财政重点评价，选取民生保障、乡村振兴、政府债券等1个部门和7个重点项目进行重点绩效评价，涉及资金7053.07万元；组织全区56个预算主管部门全面实施绩效自评，覆盖2023年度所有终审入库项目及部门整体支出，从经济性、效率性、效益性三个维度核查项目执行成效，并通过预算配置、执行、管理及履职效益等五方面综合评价部门整体绩效；最后形成强化结果应用闭环，由区财政局建立问题整改清单，重点优化资金分配流程和监管机制，同步将评价结果与2025年预算安排直接挂钩，完善“花钱必问效”的责任约束体系，推动绩效评价、动态监控与预算编制形成管理闭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eastAsia="仿宋_GB2312"/>
          <w:sz w:val="32"/>
          <w:szCs w:val="32"/>
          <w:highlight w:val="none"/>
        </w:rPr>
        <w:t>五是实施绩效运行监控。我区202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年绩效监控实现全覆盖，共对本级</w:t>
      </w:r>
      <w:r>
        <w:rPr>
          <w:rFonts w:hint="eastAsia" w:ascii="仿宋_GB2312" w:eastAsia="仿宋_GB2312"/>
          <w:sz w:val="32"/>
          <w:szCs w:val="32"/>
          <w:highlight w:val="none"/>
          <w:lang w:val="en-US" w:eastAsia="zh-CN"/>
        </w:rPr>
        <w:t>1883</w:t>
      </w:r>
      <w:r>
        <w:rPr>
          <w:rFonts w:hint="eastAsia" w:ascii="仿宋_GB2312" w:eastAsia="仿宋_GB2312"/>
          <w:sz w:val="32"/>
          <w:szCs w:val="32"/>
          <w:highlight w:val="none"/>
        </w:rPr>
        <w:t>个预算项目开展二季度末绩效监控。在202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年调整预算中，对</w:t>
      </w:r>
      <w:r>
        <w:rPr>
          <w:rFonts w:hint="eastAsia" w:ascii="仿宋_GB2312" w:hAnsi="Times New Roman" w:eastAsia="仿宋_GB2312"/>
          <w:sz w:val="32"/>
          <w:szCs w:val="32"/>
          <w:highlight w:val="none"/>
        </w:rPr>
        <w:t>绩效监控存在问题、项目资金支出进度较慢的项目进行了压减，</w:t>
      </w:r>
      <w:r>
        <w:rPr>
          <w:rFonts w:hint="eastAsia" w:ascii="仿宋_GB2312" w:eastAsia="仿宋_GB2312"/>
          <w:sz w:val="32"/>
          <w:szCs w:val="32"/>
          <w:highlight w:val="none"/>
        </w:rPr>
        <w:t>统筹用于全年预算平衡，实现了绩效监控结果应用。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六是绩效信息公开。202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年预算项目绩效目标经人代会审批后将按照时间要求及时通过预算公开网站向社会公开。202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年本级所有项目绩效自评情况和重点评价情况均报送本级人大并向社会公开。</w:t>
      </w:r>
    </w:p>
    <w:p>
      <w:pPr>
        <w:widowControl/>
        <w:spacing w:line="600" w:lineRule="exact"/>
        <w:ind w:left="200" w:firstLine="480"/>
        <w:jc w:val="left"/>
        <w:rPr>
          <w:rFonts w:hint="eastAsia" w:ascii="仿宋_GB2312" w:hAnsi="宋体" w:eastAsia="仿宋_GB2312" w:cs="宋体"/>
          <w:b/>
          <w:color w:val="333333"/>
          <w:kern w:val="0"/>
          <w:sz w:val="32"/>
          <w:szCs w:val="32"/>
        </w:rPr>
      </w:pPr>
      <w:r>
        <w:rPr>
          <w:rFonts w:ascii="仿宋_GB2312" w:hAnsi="宋体" w:eastAsia="仿宋_GB2312" w:cs="宋体"/>
          <w:b/>
          <w:color w:val="333333"/>
          <w:kern w:val="0"/>
          <w:sz w:val="32"/>
          <w:szCs w:val="32"/>
        </w:rPr>
        <w:t>六</w:t>
      </w:r>
      <w:r>
        <w:rPr>
          <w:rFonts w:hint="eastAsia" w:ascii="仿宋_GB2312" w:hAnsi="宋体" w:eastAsia="仿宋_GB2312" w:cs="宋体"/>
          <w:b/>
          <w:color w:val="333333"/>
          <w:kern w:val="0"/>
          <w:sz w:val="32"/>
          <w:szCs w:val="32"/>
        </w:rPr>
        <w:t>、</w:t>
      </w:r>
      <w:r>
        <w:rPr>
          <w:rFonts w:ascii="仿宋_GB2312" w:hAnsi="宋体" w:eastAsia="仿宋_GB2312" w:cs="宋体"/>
          <w:b/>
          <w:color w:val="333333"/>
          <w:kern w:val="0"/>
          <w:sz w:val="32"/>
          <w:szCs w:val="32"/>
        </w:rPr>
        <w:t>重大政策和重点项目绩效目标</w:t>
      </w:r>
    </w:p>
    <w:p>
      <w:pPr>
        <w:spacing w:before="0" w:after="0"/>
        <w:ind w:firstLine="560"/>
        <w:jc w:val="left"/>
        <w:outlineLvl w:val="3"/>
      </w:pPr>
      <w:bookmarkStart w:id="0" w:name="_Toc_4_4_0000000008"/>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.2024年城乡义务教育补助经费-市级家庭经济困难学生生活费补助（秦财教[2024]223号）绩效目标表</w:t>
      </w:r>
      <w:bookmarkEnd w:id="0"/>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360001秦皇岛市北戴河区教育和体育局（本级）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1.给家庭经济困难学生发放生活补助，进一步减轻家庭负担，确保贫困学生顺利完成学业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涉及学校数量</w:t>
            </w:r>
          </w:p>
        </w:tc>
        <w:tc>
          <w:tcPr>
            <w:tcW w:w="2891" w:type="dxa"/>
            <w:vAlign w:val="center"/>
          </w:tcPr>
          <w:p>
            <w:pPr>
              <w:pStyle w:val="12"/>
            </w:pPr>
            <w:r>
              <w:t>反映涉及学校数量情况</w:t>
            </w:r>
          </w:p>
        </w:tc>
        <w:tc>
          <w:tcPr>
            <w:tcW w:w="1276" w:type="dxa"/>
            <w:vAlign w:val="center"/>
          </w:tcPr>
          <w:p>
            <w:pPr>
              <w:pStyle w:val="12"/>
            </w:pPr>
            <w:r>
              <w:t>≤15家</w:t>
            </w:r>
          </w:p>
        </w:tc>
        <w:tc>
          <w:tcPr>
            <w:tcW w:w="1843" w:type="dxa"/>
            <w:vAlign w:val="center"/>
          </w:tcPr>
          <w:p>
            <w:pPr>
              <w:pStyle w:val="12"/>
            </w:pPr>
            <w:r>
              <w:t>相关统计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补助资金发放准确率</w:t>
            </w:r>
          </w:p>
        </w:tc>
        <w:tc>
          <w:tcPr>
            <w:tcW w:w="2891" w:type="dxa"/>
            <w:vAlign w:val="center"/>
          </w:tcPr>
          <w:p>
            <w:pPr>
              <w:pStyle w:val="12"/>
            </w:pPr>
            <w:r>
              <w:t>补助资金发放准确率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计划工作完成及时率</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不超过资金下达额度</w:t>
            </w:r>
          </w:p>
        </w:tc>
        <w:tc>
          <w:tcPr>
            <w:tcW w:w="1276" w:type="dxa"/>
            <w:vAlign w:val="center"/>
          </w:tcPr>
          <w:p>
            <w:pPr>
              <w:pStyle w:val="12"/>
            </w:pPr>
            <w:r>
              <w:t>≤1万元</w:t>
            </w:r>
          </w:p>
        </w:tc>
        <w:tc>
          <w:tcPr>
            <w:tcW w:w="1843" w:type="dxa"/>
            <w:vAlign w:val="center"/>
          </w:tcPr>
          <w:p>
            <w:pPr>
              <w:pStyle w:val="12"/>
            </w:pPr>
            <w:r>
              <w:t>秦财教【2024】223号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减轻家庭负担</w:t>
            </w:r>
          </w:p>
        </w:tc>
        <w:tc>
          <w:tcPr>
            <w:tcW w:w="2891" w:type="dxa"/>
            <w:vAlign w:val="center"/>
          </w:tcPr>
          <w:p>
            <w:pPr>
              <w:pStyle w:val="12"/>
            </w:pPr>
            <w:r>
              <w:t>进一步减轻家庭经济困难学生家庭负担</w:t>
            </w:r>
          </w:p>
        </w:tc>
        <w:tc>
          <w:tcPr>
            <w:tcW w:w="1276" w:type="dxa"/>
            <w:vAlign w:val="center"/>
          </w:tcPr>
          <w:p>
            <w:pPr>
              <w:pStyle w:val="12"/>
            </w:pPr>
            <w:r>
              <w:t>进一步减轻</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受补贴对象满意度</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1" w:name="_Toc_4_4_0000000009"/>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.2024年城乡义务教育补助经费-中央家庭经济困难学生生活费补助（秦财教[2024]223号）绩效目标表</w:t>
      </w:r>
      <w:bookmarkEnd w:id="1"/>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360001秦皇岛市北戴河区教育和体育局（本级）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1.给家庭经济困难学生发放生活补助，进一步减轻家庭负担，确保贫困学生顺利完成学业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涉及学校数量</w:t>
            </w:r>
          </w:p>
        </w:tc>
        <w:tc>
          <w:tcPr>
            <w:tcW w:w="2891" w:type="dxa"/>
            <w:vAlign w:val="center"/>
          </w:tcPr>
          <w:p>
            <w:pPr>
              <w:pStyle w:val="12"/>
            </w:pPr>
            <w:r>
              <w:t>反映涉及学校数量情况</w:t>
            </w:r>
          </w:p>
        </w:tc>
        <w:tc>
          <w:tcPr>
            <w:tcW w:w="1276" w:type="dxa"/>
            <w:vAlign w:val="center"/>
          </w:tcPr>
          <w:p>
            <w:pPr>
              <w:pStyle w:val="12"/>
            </w:pPr>
            <w:r>
              <w:t>≤15家</w:t>
            </w:r>
          </w:p>
        </w:tc>
        <w:tc>
          <w:tcPr>
            <w:tcW w:w="1843" w:type="dxa"/>
            <w:vAlign w:val="center"/>
          </w:tcPr>
          <w:p>
            <w:pPr>
              <w:pStyle w:val="12"/>
            </w:pPr>
            <w:r>
              <w:t>相关统计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补助资金发放准确率</w:t>
            </w:r>
          </w:p>
        </w:tc>
        <w:tc>
          <w:tcPr>
            <w:tcW w:w="2891" w:type="dxa"/>
            <w:vAlign w:val="center"/>
          </w:tcPr>
          <w:p>
            <w:pPr>
              <w:pStyle w:val="12"/>
            </w:pPr>
            <w:r>
              <w:t>补助资金发放准确率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计划工作完成及时率</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不超过资金下达额度</w:t>
            </w:r>
          </w:p>
        </w:tc>
        <w:tc>
          <w:tcPr>
            <w:tcW w:w="1276" w:type="dxa"/>
            <w:vAlign w:val="center"/>
          </w:tcPr>
          <w:p>
            <w:pPr>
              <w:pStyle w:val="12"/>
            </w:pPr>
            <w:r>
              <w:t>≤2万元</w:t>
            </w:r>
          </w:p>
        </w:tc>
        <w:tc>
          <w:tcPr>
            <w:tcW w:w="1843" w:type="dxa"/>
            <w:vAlign w:val="center"/>
          </w:tcPr>
          <w:p>
            <w:pPr>
              <w:pStyle w:val="12"/>
            </w:pPr>
            <w:r>
              <w:t>秦财教【2024】223号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减轻家庭负担</w:t>
            </w:r>
          </w:p>
        </w:tc>
        <w:tc>
          <w:tcPr>
            <w:tcW w:w="2891" w:type="dxa"/>
            <w:vAlign w:val="center"/>
          </w:tcPr>
          <w:p>
            <w:pPr>
              <w:pStyle w:val="12"/>
            </w:pPr>
            <w:r>
              <w:t>进一步减轻家庭经济困难学生家庭负担</w:t>
            </w:r>
          </w:p>
        </w:tc>
        <w:tc>
          <w:tcPr>
            <w:tcW w:w="1276" w:type="dxa"/>
            <w:vAlign w:val="center"/>
          </w:tcPr>
          <w:p>
            <w:pPr>
              <w:pStyle w:val="12"/>
            </w:pPr>
            <w:r>
              <w:t>进一步减轻</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受补贴对象满意度</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2" w:name="_Toc_4_4_0000000010"/>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.2024年城乡义务教育补助经费（中央、省和市级）-省级家庭经济困难学生补助（秦财教[2023]829号）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2"/>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608"/>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5"/>
            <w:tcBorders>
              <w:top w:val="single" w:color="FFFFFF" w:sz="6" w:space="0"/>
              <w:left w:val="single" w:color="FFFFFF" w:sz="6" w:space="0"/>
              <w:right w:val="single" w:color="FFFFFF" w:sz="6" w:space="0"/>
            </w:tcBorders>
            <w:vAlign w:val="center"/>
          </w:tcPr>
          <w:p>
            <w:pPr>
              <w:pStyle w:val="11"/>
            </w:pPr>
            <w:r>
              <w:t>360001秦皇岛市北戴河区教育和体育局（本级）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5"/>
            <w:vAlign w:val="center"/>
          </w:tcPr>
          <w:p>
            <w:pPr>
              <w:pStyle w:val="12"/>
            </w:pPr>
            <w:r>
              <w:t>1.给家庭经济困难学生发放生活补助，进一步减轻家庭负担，确保贫困学生顺利完成学业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涉及学校数量</w:t>
            </w:r>
          </w:p>
        </w:tc>
        <w:tc>
          <w:tcPr>
            <w:tcW w:w="2891" w:type="dxa"/>
            <w:vAlign w:val="center"/>
          </w:tcPr>
          <w:p>
            <w:pPr>
              <w:pStyle w:val="12"/>
            </w:pPr>
            <w:r>
              <w:t>反映涉及学校数量情况</w:t>
            </w:r>
          </w:p>
        </w:tc>
        <w:tc>
          <w:tcPr>
            <w:tcW w:w="1276" w:type="dxa"/>
            <w:vAlign w:val="center"/>
          </w:tcPr>
          <w:p>
            <w:pPr>
              <w:pStyle w:val="12"/>
            </w:pPr>
            <w:r>
              <w:t>≤15家</w:t>
            </w:r>
          </w:p>
        </w:tc>
        <w:tc>
          <w:tcPr>
            <w:tcW w:w="1843" w:type="dxa"/>
            <w:vAlign w:val="center"/>
          </w:tcPr>
          <w:p>
            <w:pPr>
              <w:pStyle w:val="12"/>
            </w:pPr>
            <w:r>
              <w:t>相关统计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校园工作正常运转率</w:t>
            </w:r>
          </w:p>
        </w:tc>
        <w:tc>
          <w:tcPr>
            <w:tcW w:w="2891" w:type="dxa"/>
            <w:vAlign w:val="center"/>
          </w:tcPr>
          <w:p>
            <w:pPr>
              <w:pStyle w:val="12"/>
            </w:pPr>
            <w:r>
              <w:t>校园工作是否正常运转率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计划工作完成及时率</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家庭经济困难学生生活费补助</w:t>
            </w:r>
          </w:p>
        </w:tc>
        <w:tc>
          <w:tcPr>
            <w:tcW w:w="2891" w:type="dxa"/>
            <w:vAlign w:val="center"/>
          </w:tcPr>
          <w:p>
            <w:pPr>
              <w:pStyle w:val="12"/>
            </w:pPr>
            <w:r>
              <w:t>寄宿生费用限额</w:t>
            </w:r>
          </w:p>
        </w:tc>
        <w:tc>
          <w:tcPr>
            <w:tcW w:w="1276" w:type="dxa"/>
            <w:vAlign w:val="center"/>
          </w:tcPr>
          <w:p>
            <w:pPr>
              <w:pStyle w:val="12"/>
            </w:pPr>
            <w:r>
              <w:t>≤2万元</w:t>
            </w:r>
          </w:p>
        </w:tc>
        <w:tc>
          <w:tcPr>
            <w:tcW w:w="1843" w:type="dxa"/>
            <w:vAlign w:val="center"/>
          </w:tcPr>
          <w:p>
            <w:pPr>
              <w:pStyle w:val="12"/>
            </w:pPr>
            <w:r>
              <w:t>秦财教【2023】829号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减轻家庭负担</w:t>
            </w:r>
          </w:p>
        </w:tc>
        <w:tc>
          <w:tcPr>
            <w:tcW w:w="2891" w:type="dxa"/>
            <w:vAlign w:val="center"/>
          </w:tcPr>
          <w:p>
            <w:pPr>
              <w:pStyle w:val="12"/>
            </w:pPr>
            <w:r>
              <w:t>进一步减轻家庭经济困难学生家庭负担</w:t>
            </w:r>
          </w:p>
        </w:tc>
        <w:tc>
          <w:tcPr>
            <w:tcW w:w="1276" w:type="dxa"/>
            <w:vAlign w:val="center"/>
          </w:tcPr>
          <w:p>
            <w:pPr>
              <w:pStyle w:val="12"/>
            </w:pPr>
            <w:r>
              <w:t>进一步减轻</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受补贴对象满意度</w:t>
            </w:r>
          </w:p>
        </w:tc>
        <w:tc>
          <w:tcPr>
            <w:tcW w:w="1276" w:type="dxa"/>
            <w:vAlign w:val="center"/>
          </w:tcPr>
          <w:p>
            <w:pPr>
              <w:pStyle w:val="12"/>
            </w:pPr>
            <w:r>
              <w:t>≥95%</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3" w:name="_Toc_4_4_0000000011"/>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.2024年城乡义务教育补助经费（中央、省和市级）-市级家庭经济困难学生补助（秦财教[2023]829号）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bookmarkEnd w:id="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360001秦皇岛市北戴河区教育和体育局（本级）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1.给家庭经济困难学生发放生活补助，进一步减轻家庭负担，确保贫困学生顺利完成学业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涉及学校数量</w:t>
            </w:r>
          </w:p>
        </w:tc>
        <w:tc>
          <w:tcPr>
            <w:tcW w:w="2891" w:type="dxa"/>
            <w:vAlign w:val="center"/>
          </w:tcPr>
          <w:p>
            <w:pPr>
              <w:pStyle w:val="12"/>
            </w:pPr>
            <w:r>
              <w:t>反映涉及学校数量情况</w:t>
            </w:r>
          </w:p>
        </w:tc>
        <w:tc>
          <w:tcPr>
            <w:tcW w:w="1276" w:type="dxa"/>
            <w:vAlign w:val="center"/>
          </w:tcPr>
          <w:p>
            <w:pPr>
              <w:pStyle w:val="12"/>
            </w:pPr>
            <w:r>
              <w:t>≤15家</w:t>
            </w:r>
          </w:p>
        </w:tc>
        <w:tc>
          <w:tcPr>
            <w:tcW w:w="1843" w:type="dxa"/>
            <w:vAlign w:val="center"/>
          </w:tcPr>
          <w:p>
            <w:pPr>
              <w:pStyle w:val="12"/>
            </w:pPr>
            <w:r>
              <w:t>相关统计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校园工作正常运转率</w:t>
            </w:r>
          </w:p>
        </w:tc>
        <w:tc>
          <w:tcPr>
            <w:tcW w:w="2891" w:type="dxa"/>
            <w:vAlign w:val="center"/>
          </w:tcPr>
          <w:p>
            <w:pPr>
              <w:pStyle w:val="12"/>
            </w:pPr>
            <w:r>
              <w:t>校园工作是否正常运转率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计划工作完成及时率</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家庭经济困难学生生活费补助</w:t>
            </w:r>
          </w:p>
        </w:tc>
        <w:tc>
          <w:tcPr>
            <w:tcW w:w="2891" w:type="dxa"/>
            <w:vAlign w:val="center"/>
          </w:tcPr>
          <w:p>
            <w:pPr>
              <w:pStyle w:val="12"/>
            </w:pPr>
            <w:r>
              <w:t>寄宿生费用限额</w:t>
            </w:r>
          </w:p>
        </w:tc>
        <w:tc>
          <w:tcPr>
            <w:tcW w:w="1276" w:type="dxa"/>
            <w:vAlign w:val="center"/>
          </w:tcPr>
          <w:p>
            <w:pPr>
              <w:pStyle w:val="12"/>
            </w:pPr>
            <w:r>
              <w:t>≤1万元</w:t>
            </w:r>
          </w:p>
        </w:tc>
        <w:tc>
          <w:tcPr>
            <w:tcW w:w="1843" w:type="dxa"/>
            <w:vAlign w:val="center"/>
          </w:tcPr>
          <w:p>
            <w:pPr>
              <w:pStyle w:val="12"/>
            </w:pPr>
            <w:r>
              <w:t>秦财教【2023】829号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减轻家庭负担</w:t>
            </w:r>
          </w:p>
        </w:tc>
        <w:tc>
          <w:tcPr>
            <w:tcW w:w="2891" w:type="dxa"/>
            <w:vAlign w:val="center"/>
          </w:tcPr>
          <w:p>
            <w:pPr>
              <w:pStyle w:val="12"/>
            </w:pPr>
            <w:r>
              <w:t>进一步减轻家庭经济困难学生家庭负担</w:t>
            </w:r>
          </w:p>
        </w:tc>
        <w:tc>
          <w:tcPr>
            <w:tcW w:w="1276" w:type="dxa"/>
            <w:vAlign w:val="center"/>
          </w:tcPr>
          <w:p>
            <w:pPr>
              <w:pStyle w:val="12"/>
            </w:pPr>
            <w:r>
              <w:t>进一步减轻</w:t>
            </w:r>
          </w:p>
        </w:tc>
        <w:tc>
          <w:tcPr>
            <w:tcW w:w="1843"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受益对象满意度</w:t>
            </w:r>
          </w:p>
        </w:tc>
        <w:tc>
          <w:tcPr>
            <w:tcW w:w="2891" w:type="dxa"/>
            <w:vAlign w:val="center"/>
          </w:tcPr>
          <w:p>
            <w:pPr>
              <w:pStyle w:val="12"/>
            </w:pPr>
            <w:r>
              <w:t>受补贴对象满意度</w:t>
            </w:r>
          </w:p>
        </w:tc>
        <w:tc>
          <w:tcPr>
            <w:tcW w:w="1276" w:type="dxa"/>
            <w:vAlign w:val="center"/>
          </w:tcPr>
          <w:p>
            <w:pPr>
              <w:pStyle w:val="12"/>
            </w:pPr>
            <w:r>
              <w:t>≥95%</w:t>
            </w:r>
          </w:p>
        </w:tc>
        <w:tc>
          <w:tcPr>
            <w:tcW w:w="1843" w:type="dxa"/>
            <w:vAlign w:val="center"/>
          </w:tcPr>
          <w:p>
            <w:pPr>
              <w:pStyle w:val="12"/>
            </w:pPr>
            <w:r>
              <w:t>工作计划</w:t>
            </w:r>
          </w:p>
        </w:tc>
      </w:tr>
    </w:tbl>
    <w:p>
      <w:pPr>
        <w:spacing w:before="0" w:after="0"/>
        <w:ind w:firstLine="560"/>
        <w:jc w:val="left"/>
        <w:outlineLvl w:val="3"/>
        <w:rPr>
          <w:rFonts w:ascii="方正仿宋_GBK" w:hAnsi="方正仿宋_GBK" w:eastAsia="方正仿宋_GBK" w:cs="方正仿宋_GBK"/>
          <w:color w:val="000000"/>
          <w:sz w:val="28"/>
        </w:rPr>
      </w:pPr>
      <w:bookmarkStart w:id="4" w:name="_Toc_4_4_0000000012"/>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.2024年市级体育彩票公益金（秦财教[2024]182号）绩效目标表</w:t>
      </w:r>
      <w:bookmarkEnd w:id="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360001秦皇岛市北戴河区教育和体育局（本级）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1.推动我区群众体育和品牌赛事的发展，保障群众体育和品牌赛事顺利开展。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群众体育项目举办项数</w:t>
            </w:r>
          </w:p>
        </w:tc>
        <w:tc>
          <w:tcPr>
            <w:tcW w:w="2891" w:type="dxa"/>
            <w:vAlign w:val="center"/>
          </w:tcPr>
          <w:p>
            <w:pPr>
              <w:pStyle w:val="12"/>
            </w:pPr>
            <w:r>
              <w:t>完成群众体育项目项数</w:t>
            </w:r>
          </w:p>
        </w:tc>
        <w:tc>
          <w:tcPr>
            <w:tcW w:w="1276" w:type="dxa"/>
            <w:vAlign w:val="center"/>
          </w:tcPr>
          <w:p>
            <w:pPr>
              <w:pStyle w:val="12"/>
            </w:pPr>
            <w:r>
              <w:t>≥1项</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品牌赛事活动举办项数</w:t>
            </w:r>
          </w:p>
        </w:tc>
        <w:tc>
          <w:tcPr>
            <w:tcW w:w="2891" w:type="dxa"/>
            <w:vAlign w:val="center"/>
          </w:tcPr>
          <w:p>
            <w:pPr>
              <w:pStyle w:val="12"/>
            </w:pPr>
            <w:r>
              <w:t>完成品牌赛事活动项数</w:t>
            </w:r>
          </w:p>
        </w:tc>
        <w:tc>
          <w:tcPr>
            <w:tcW w:w="1276" w:type="dxa"/>
            <w:vAlign w:val="center"/>
          </w:tcPr>
          <w:p>
            <w:pPr>
              <w:pStyle w:val="12"/>
            </w:pPr>
            <w:r>
              <w:t>2项</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赛事活动完成度</w:t>
            </w:r>
          </w:p>
        </w:tc>
        <w:tc>
          <w:tcPr>
            <w:tcW w:w="2891" w:type="dxa"/>
            <w:vAlign w:val="center"/>
          </w:tcPr>
          <w:p>
            <w:pPr>
              <w:pStyle w:val="12"/>
            </w:pPr>
            <w:r>
              <w:t>赛事活动完成计划赛事内容情况</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2024年年底完成</w:t>
            </w:r>
          </w:p>
        </w:tc>
        <w:tc>
          <w:tcPr>
            <w:tcW w:w="2891" w:type="dxa"/>
            <w:vAlign w:val="center"/>
          </w:tcPr>
          <w:p>
            <w:pPr>
              <w:pStyle w:val="12"/>
            </w:pPr>
            <w:r>
              <w:t>年底前完成既定目标</w:t>
            </w:r>
          </w:p>
        </w:tc>
        <w:tc>
          <w:tcPr>
            <w:tcW w:w="1276" w:type="dxa"/>
            <w:vAlign w:val="center"/>
          </w:tcPr>
          <w:p>
            <w:pPr>
              <w:pStyle w:val="12"/>
            </w:pPr>
            <w:r>
              <w:t>2024年12月31日前</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经费开支不超过下达值</w:t>
            </w:r>
          </w:p>
        </w:tc>
        <w:tc>
          <w:tcPr>
            <w:tcW w:w="1276" w:type="dxa"/>
            <w:vAlign w:val="center"/>
          </w:tcPr>
          <w:p>
            <w:pPr>
              <w:pStyle w:val="12"/>
            </w:pPr>
            <w:r>
              <w:t>≤31万元</w:t>
            </w:r>
          </w:p>
        </w:tc>
        <w:tc>
          <w:tcPr>
            <w:tcW w:w="1843" w:type="dxa"/>
            <w:vAlign w:val="center"/>
          </w:tcPr>
          <w:p>
            <w:pPr>
              <w:pStyle w:val="12"/>
            </w:pPr>
            <w:r>
              <w:t>秦财教[2024]182号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提升地区知名度</w:t>
            </w:r>
          </w:p>
        </w:tc>
        <w:tc>
          <w:tcPr>
            <w:tcW w:w="2891" w:type="dxa"/>
            <w:vAlign w:val="center"/>
          </w:tcPr>
          <w:p>
            <w:pPr>
              <w:pStyle w:val="12"/>
            </w:pPr>
            <w:r>
              <w:t>通过举办各类活动、赛事持续提高北戴河知名度</w:t>
            </w:r>
          </w:p>
        </w:tc>
        <w:tc>
          <w:tcPr>
            <w:tcW w:w="1276" w:type="dxa"/>
            <w:vAlign w:val="center"/>
          </w:tcPr>
          <w:p>
            <w:pPr>
              <w:pStyle w:val="12"/>
            </w:pPr>
            <w:r>
              <w:t>持续提高</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服务满意度</w:t>
            </w:r>
          </w:p>
        </w:tc>
        <w:tc>
          <w:tcPr>
            <w:tcW w:w="2891" w:type="dxa"/>
            <w:vAlign w:val="center"/>
          </w:tcPr>
          <w:p>
            <w:pPr>
              <w:pStyle w:val="12"/>
            </w:pPr>
            <w:r>
              <w:t>服务满意度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bookmarkStart w:id="10" w:name="_GoBack"/>
      <w:bookmarkEnd w:id="10"/>
    </w:p>
    <w:p>
      <w:pPr>
        <w:spacing w:before="0" w:after="0"/>
        <w:ind w:firstLine="560"/>
        <w:jc w:val="left"/>
        <w:outlineLvl w:val="3"/>
      </w:pPr>
      <w:bookmarkStart w:id="5" w:name="_Toc_4_4_0000000013"/>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.2024年义务教育薄弱环节改善与能力提升中央补助资金（秦财教[2024]181号）绩效目标表</w:t>
      </w:r>
      <w:bookmarkEnd w:id="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360001秦皇岛市北戴河区教育和体育局（本级）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1.用于改善办学条件，提高我区整体办学水平。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维修改造项目数量</w:t>
            </w:r>
          </w:p>
        </w:tc>
        <w:tc>
          <w:tcPr>
            <w:tcW w:w="2891" w:type="dxa"/>
            <w:vAlign w:val="center"/>
          </w:tcPr>
          <w:p>
            <w:pPr>
              <w:pStyle w:val="12"/>
            </w:pPr>
            <w:r>
              <w:t>薄改资金开展维修改造项目数量</w:t>
            </w:r>
          </w:p>
        </w:tc>
        <w:tc>
          <w:tcPr>
            <w:tcW w:w="1276" w:type="dxa"/>
            <w:vAlign w:val="center"/>
          </w:tcPr>
          <w:p>
            <w:pPr>
              <w:pStyle w:val="12"/>
            </w:pPr>
            <w:r>
              <w:t>≥3项</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工程质量合格率</w:t>
            </w:r>
          </w:p>
        </w:tc>
        <w:tc>
          <w:tcPr>
            <w:tcW w:w="2891" w:type="dxa"/>
            <w:vAlign w:val="center"/>
          </w:tcPr>
          <w:p>
            <w:pPr>
              <w:pStyle w:val="12"/>
            </w:pPr>
            <w:r>
              <w:t>合格的工程数量占工程完工总量的比例</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计划工作完成及时率</w:t>
            </w:r>
          </w:p>
        </w:tc>
        <w:tc>
          <w:tcPr>
            <w:tcW w:w="2891" w:type="dxa"/>
            <w:vAlign w:val="center"/>
          </w:tcPr>
          <w:p>
            <w:pPr>
              <w:pStyle w:val="12"/>
            </w:pPr>
            <w:r>
              <w:t>年度工作计划完成及时率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控制在预算资金内</w:t>
            </w:r>
          </w:p>
        </w:tc>
        <w:tc>
          <w:tcPr>
            <w:tcW w:w="1276" w:type="dxa"/>
            <w:vAlign w:val="center"/>
          </w:tcPr>
          <w:p>
            <w:pPr>
              <w:pStyle w:val="12"/>
            </w:pPr>
            <w:r>
              <w:t>≤26万元</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提升教育教学环境</w:t>
            </w:r>
          </w:p>
        </w:tc>
        <w:tc>
          <w:tcPr>
            <w:tcW w:w="2891" w:type="dxa"/>
            <w:vAlign w:val="center"/>
          </w:tcPr>
          <w:p>
            <w:pPr>
              <w:pStyle w:val="12"/>
            </w:pPr>
            <w:r>
              <w:t>有效提升教育教学环境</w:t>
            </w:r>
          </w:p>
        </w:tc>
        <w:tc>
          <w:tcPr>
            <w:tcW w:w="1276" w:type="dxa"/>
            <w:vAlign w:val="center"/>
          </w:tcPr>
          <w:p>
            <w:pPr>
              <w:pStyle w:val="12"/>
            </w:pPr>
            <w:r>
              <w:t>较上年提升</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2891" w:type="dxa"/>
            <w:vAlign w:val="center"/>
          </w:tcPr>
          <w:p>
            <w:pPr>
              <w:pStyle w:val="12"/>
            </w:pPr>
            <w:r>
              <w:t>学校师生满意度</w:t>
            </w:r>
          </w:p>
        </w:tc>
        <w:tc>
          <w:tcPr>
            <w:tcW w:w="1276" w:type="dxa"/>
            <w:vAlign w:val="center"/>
          </w:tcPr>
          <w:p>
            <w:pPr>
              <w:pStyle w:val="12"/>
            </w:pPr>
            <w:r>
              <w:t>≥95%</w:t>
            </w:r>
          </w:p>
        </w:tc>
        <w:tc>
          <w:tcPr>
            <w:tcW w:w="1843" w:type="dxa"/>
            <w:vAlign w:val="center"/>
          </w:tcPr>
          <w:p>
            <w:pPr>
              <w:pStyle w:val="12"/>
            </w:pPr>
            <w:r>
              <w:t>年度工作计划</w:t>
            </w:r>
          </w:p>
        </w:tc>
      </w:tr>
    </w:tbl>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ascii="方正仿宋_GBK" w:hAnsi="方正仿宋_GBK" w:eastAsia="方正仿宋_GBK" w:cs="方正仿宋_GBK"/>
          <w:color w:val="000000"/>
          <w:sz w:val="28"/>
        </w:rPr>
      </w:pPr>
      <w:bookmarkStart w:id="6" w:name="_Toc_4_4_0000000014"/>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.2024年支持学前教育发展中央资金（秦财教[2024]224号）绩效目标表</w:t>
      </w:r>
      <w:bookmarkEnd w:id="6"/>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360001秦皇岛市北戴河区教育和体育局（本级）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1.保障幼儿园工作正常进行，进一步提高学前教育普惠性保障水平。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学前三年毛入园率</w:t>
            </w:r>
          </w:p>
        </w:tc>
        <w:tc>
          <w:tcPr>
            <w:tcW w:w="2891" w:type="dxa"/>
            <w:vAlign w:val="center"/>
          </w:tcPr>
          <w:p>
            <w:pPr>
              <w:pStyle w:val="12"/>
            </w:pPr>
            <w:r>
              <w:t>学前三年在园人数占国家规定的年龄组人口数的比重</w:t>
            </w:r>
          </w:p>
        </w:tc>
        <w:tc>
          <w:tcPr>
            <w:tcW w:w="1276" w:type="dxa"/>
            <w:vAlign w:val="center"/>
          </w:tcPr>
          <w:p>
            <w:pPr>
              <w:pStyle w:val="12"/>
            </w:pPr>
            <w:r>
              <w:t>≥90%</w:t>
            </w:r>
          </w:p>
        </w:tc>
        <w:tc>
          <w:tcPr>
            <w:tcW w:w="1843" w:type="dxa"/>
            <w:vAlign w:val="center"/>
          </w:tcPr>
          <w:p>
            <w:pPr>
              <w:pStyle w:val="12"/>
            </w:pPr>
            <w:r>
              <w:t>相关统计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普惠率</w:t>
            </w:r>
          </w:p>
        </w:tc>
        <w:tc>
          <w:tcPr>
            <w:tcW w:w="2891" w:type="dxa"/>
            <w:vAlign w:val="center"/>
          </w:tcPr>
          <w:p>
            <w:pPr>
              <w:pStyle w:val="12"/>
            </w:pPr>
            <w:r>
              <w:t>普惠性幼儿园幼儿总数占在园幼儿总数的比重</w:t>
            </w:r>
          </w:p>
        </w:tc>
        <w:tc>
          <w:tcPr>
            <w:tcW w:w="1276" w:type="dxa"/>
            <w:vAlign w:val="center"/>
          </w:tcPr>
          <w:p>
            <w:pPr>
              <w:pStyle w:val="12"/>
            </w:pPr>
            <w:r>
              <w:t>≥84%</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计划工作完成及时率</w:t>
            </w:r>
          </w:p>
        </w:tc>
        <w:tc>
          <w:tcPr>
            <w:tcW w:w="2891" w:type="dxa"/>
            <w:vAlign w:val="center"/>
          </w:tcPr>
          <w:p>
            <w:pPr>
              <w:pStyle w:val="12"/>
            </w:pPr>
            <w:r>
              <w:t>按照工作要求按时完成预定计划</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生均经费补助标准</w:t>
            </w:r>
          </w:p>
        </w:tc>
        <w:tc>
          <w:tcPr>
            <w:tcW w:w="2891" w:type="dxa"/>
            <w:vAlign w:val="center"/>
          </w:tcPr>
          <w:p>
            <w:pPr>
              <w:pStyle w:val="12"/>
            </w:pPr>
            <w:r>
              <w:t>不低于生均经费补助标准</w:t>
            </w:r>
          </w:p>
        </w:tc>
        <w:tc>
          <w:tcPr>
            <w:tcW w:w="1276" w:type="dxa"/>
            <w:vAlign w:val="center"/>
          </w:tcPr>
          <w:p>
            <w:pPr>
              <w:pStyle w:val="12"/>
            </w:pPr>
            <w:r>
              <w:t>0.06万元</w:t>
            </w:r>
          </w:p>
        </w:tc>
        <w:tc>
          <w:tcPr>
            <w:tcW w:w="1843" w:type="dxa"/>
            <w:vAlign w:val="center"/>
          </w:tcPr>
          <w:p>
            <w:pPr>
              <w:pStyle w:val="12"/>
            </w:pPr>
            <w:r>
              <w:t>冀财教【2023】116号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扩大普惠性学前教育资源</w:t>
            </w:r>
          </w:p>
        </w:tc>
        <w:tc>
          <w:tcPr>
            <w:tcW w:w="2891" w:type="dxa"/>
            <w:vAlign w:val="center"/>
          </w:tcPr>
          <w:p>
            <w:pPr>
              <w:pStyle w:val="12"/>
            </w:pPr>
            <w:r>
              <w:t>进一步扩大普惠性学前教育资源</w:t>
            </w:r>
          </w:p>
        </w:tc>
        <w:tc>
          <w:tcPr>
            <w:tcW w:w="1276" w:type="dxa"/>
            <w:vAlign w:val="center"/>
          </w:tcPr>
          <w:p>
            <w:pPr>
              <w:pStyle w:val="12"/>
            </w:pPr>
            <w:r>
              <w:t>持续扩大</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幼儿园教师满意度</w:t>
            </w:r>
          </w:p>
        </w:tc>
        <w:tc>
          <w:tcPr>
            <w:tcW w:w="2891" w:type="dxa"/>
            <w:vAlign w:val="center"/>
          </w:tcPr>
          <w:p>
            <w:pPr>
              <w:pStyle w:val="12"/>
            </w:pPr>
            <w:r>
              <w:t>幼儿园教师满意度</w:t>
            </w:r>
          </w:p>
        </w:tc>
        <w:tc>
          <w:tcPr>
            <w:tcW w:w="1276" w:type="dxa"/>
            <w:vAlign w:val="center"/>
          </w:tcPr>
          <w:p>
            <w:pPr>
              <w:pStyle w:val="12"/>
            </w:pPr>
            <w:r>
              <w:t>≥90%</w:t>
            </w:r>
          </w:p>
        </w:tc>
        <w:tc>
          <w:tcPr>
            <w:tcW w:w="1843" w:type="dxa"/>
            <w:vAlign w:val="center"/>
          </w:tcPr>
          <w:p>
            <w:pPr>
              <w:pStyle w:val="12"/>
            </w:pPr>
            <w:r>
              <w:t>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7" w:name="_Toc_4_4_0000000007"/>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.2024年中央医疗服务与保障能力提升补助资金（中医药事业传承与发展部分） 秦财社[2024]187号绩效目标表</w:t>
      </w:r>
      <w:bookmarkEnd w:id="7"/>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61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vAlign w:val="center"/>
          </w:tcPr>
          <w:p>
            <w:pPr>
              <w:pStyle w:val="12"/>
            </w:pPr>
            <w:r>
              <w:t>1.开展针灸、艾灸、穴位贴敷、推拿、等中医适宜技术服务，提升中医药服务能力</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旗舰中医馆建设数量</w:t>
            </w:r>
          </w:p>
        </w:tc>
        <w:tc>
          <w:tcPr>
            <w:tcW w:w="2891" w:type="dxa"/>
            <w:vAlign w:val="center"/>
          </w:tcPr>
          <w:p>
            <w:pPr>
              <w:pStyle w:val="12"/>
            </w:pPr>
            <w:r>
              <w:t>旗舰中医馆建设</w:t>
            </w:r>
          </w:p>
        </w:tc>
        <w:tc>
          <w:tcPr>
            <w:tcW w:w="1276" w:type="dxa"/>
            <w:vAlign w:val="center"/>
          </w:tcPr>
          <w:p>
            <w:pPr>
              <w:pStyle w:val="12"/>
            </w:pPr>
            <w:r>
              <w:t>1家</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中医处方数占处方比例</w:t>
            </w:r>
          </w:p>
        </w:tc>
        <w:tc>
          <w:tcPr>
            <w:tcW w:w="2891" w:type="dxa"/>
            <w:vAlign w:val="center"/>
          </w:tcPr>
          <w:p>
            <w:pPr>
              <w:pStyle w:val="12"/>
            </w:pPr>
            <w:r>
              <w:t>中医处方数占处方比例</w:t>
            </w:r>
          </w:p>
        </w:tc>
        <w:tc>
          <w:tcPr>
            <w:tcW w:w="1276" w:type="dxa"/>
            <w:vAlign w:val="center"/>
          </w:tcPr>
          <w:p>
            <w:pPr>
              <w:pStyle w:val="12"/>
            </w:pPr>
            <w:r>
              <w:t>≥30%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支付及时率</w:t>
            </w:r>
          </w:p>
        </w:tc>
        <w:tc>
          <w:tcPr>
            <w:tcW w:w="2891" w:type="dxa"/>
            <w:vAlign w:val="center"/>
          </w:tcPr>
          <w:p>
            <w:pPr>
              <w:pStyle w:val="12"/>
            </w:pPr>
            <w:r>
              <w:t>支付及时率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旗舰中医馆建设补助资金</w:t>
            </w:r>
          </w:p>
        </w:tc>
        <w:tc>
          <w:tcPr>
            <w:tcW w:w="2891" w:type="dxa"/>
            <w:vAlign w:val="center"/>
          </w:tcPr>
          <w:p>
            <w:pPr>
              <w:pStyle w:val="12"/>
            </w:pPr>
            <w:r>
              <w:t>旗舰中医馆建设补助资金</w:t>
            </w:r>
          </w:p>
        </w:tc>
        <w:tc>
          <w:tcPr>
            <w:tcW w:w="1276" w:type="dxa"/>
            <w:vAlign w:val="center"/>
          </w:tcPr>
          <w:p>
            <w:pPr>
              <w:pStyle w:val="12"/>
            </w:pPr>
            <w:r>
              <w:t>≥10万元</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基层中医药服务能力</w:t>
            </w:r>
          </w:p>
        </w:tc>
        <w:tc>
          <w:tcPr>
            <w:tcW w:w="2891" w:type="dxa"/>
            <w:vAlign w:val="center"/>
          </w:tcPr>
          <w:p>
            <w:pPr>
              <w:pStyle w:val="12"/>
            </w:pPr>
            <w:r>
              <w:t>基层中医药服务能力</w:t>
            </w:r>
          </w:p>
        </w:tc>
        <w:tc>
          <w:tcPr>
            <w:tcW w:w="1276" w:type="dxa"/>
            <w:vAlign w:val="center"/>
          </w:tcPr>
          <w:p>
            <w:pPr>
              <w:pStyle w:val="12"/>
            </w:pPr>
            <w:r>
              <w:t>有效提高</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建设工作满意度</w:t>
            </w:r>
          </w:p>
        </w:tc>
        <w:tc>
          <w:tcPr>
            <w:tcW w:w="2891" w:type="dxa"/>
            <w:vAlign w:val="center"/>
          </w:tcPr>
          <w:p>
            <w:pPr>
              <w:pStyle w:val="12"/>
            </w:pPr>
            <w:r>
              <w:t>建设工作满意度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.关于提前下达2024年省级公共卫生服务补助资金预算指标的通知（秦财社【2023】806号）绩效目标表</w:t>
      </w:r>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361001秦皇岛市北戴河区卫生健康局（本级）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1.保障7个医疗机构拨付，有效预防传染病级慢性病，保障群众健康</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拨付单位数量</w:t>
            </w:r>
          </w:p>
        </w:tc>
        <w:tc>
          <w:tcPr>
            <w:tcW w:w="2891" w:type="dxa"/>
            <w:vAlign w:val="center"/>
          </w:tcPr>
          <w:p>
            <w:pPr>
              <w:pStyle w:val="12"/>
            </w:pPr>
            <w:r>
              <w:t>拨付各医疗机构数量</w:t>
            </w:r>
          </w:p>
        </w:tc>
        <w:tc>
          <w:tcPr>
            <w:tcW w:w="1276" w:type="dxa"/>
            <w:vAlign w:val="center"/>
          </w:tcPr>
          <w:p>
            <w:pPr>
              <w:pStyle w:val="12"/>
            </w:pPr>
            <w:r>
              <w:t>7个</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拨付资金准确率</w:t>
            </w:r>
          </w:p>
        </w:tc>
        <w:tc>
          <w:tcPr>
            <w:tcW w:w="2891" w:type="dxa"/>
            <w:vAlign w:val="center"/>
          </w:tcPr>
          <w:p>
            <w:pPr>
              <w:pStyle w:val="12"/>
            </w:pPr>
            <w:r>
              <w:t>拨付资金准确次数与总次数比率</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拨付资金及时率</w:t>
            </w:r>
          </w:p>
        </w:tc>
        <w:tc>
          <w:tcPr>
            <w:tcW w:w="2891" w:type="dxa"/>
            <w:vAlign w:val="center"/>
          </w:tcPr>
          <w:p>
            <w:pPr>
              <w:pStyle w:val="12"/>
            </w:pPr>
            <w:r>
              <w:t>及时拨付次数与总次数比率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基本公共卫生资金总成本</w:t>
            </w:r>
          </w:p>
        </w:tc>
        <w:tc>
          <w:tcPr>
            <w:tcW w:w="2891" w:type="dxa"/>
            <w:vAlign w:val="center"/>
          </w:tcPr>
          <w:p>
            <w:pPr>
              <w:pStyle w:val="12"/>
            </w:pPr>
            <w:r>
              <w:t>基本公共卫生资金总成本不超预算</w:t>
            </w:r>
          </w:p>
        </w:tc>
        <w:tc>
          <w:tcPr>
            <w:tcW w:w="1276" w:type="dxa"/>
            <w:vAlign w:val="center"/>
          </w:tcPr>
          <w:p>
            <w:pPr>
              <w:pStyle w:val="12"/>
            </w:pPr>
            <w:r>
              <w:t>≤111.9万元</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有效预防率传染病级慢性病，保障群众健康</w:t>
            </w:r>
          </w:p>
        </w:tc>
        <w:tc>
          <w:tcPr>
            <w:tcW w:w="2891" w:type="dxa"/>
            <w:vAlign w:val="center"/>
          </w:tcPr>
          <w:p>
            <w:pPr>
              <w:pStyle w:val="12"/>
            </w:pPr>
            <w:r>
              <w:t>有效预防传染病级慢性病，使其享有平等的基本卫生服务</w:t>
            </w:r>
          </w:p>
        </w:tc>
        <w:tc>
          <w:tcPr>
            <w:tcW w:w="1276" w:type="dxa"/>
            <w:vAlign w:val="center"/>
          </w:tcPr>
          <w:p>
            <w:pPr>
              <w:pStyle w:val="12"/>
            </w:pPr>
            <w:r>
              <w:t>进一步有效预防</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2891" w:type="dxa"/>
            <w:vAlign w:val="center"/>
          </w:tcPr>
          <w:p>
            <w:pPr>
              <w:pStyle w:val="12"/>
            </w:pPr>
            <w:r>
              <w:t>辖区居民满意度</w:t>
            </w:r>
          </w:p>
        </w:tc>
        <w:tc>
          <w:tcPr>
            <w:tcW w:w="1276" w:type="dxa"/>
            <w:vAlign w:val="center"/>
          </w:tcPr>
          <w:p>
            <w:pPr>
              <w:pStyle w:val="12"/>
            </w:pPr>
            <w:r>
              <w:t>≥90%</w:t>
            </w:r>
          </w:p>
        </w:tc>
        <w:tc>
          <w:tcPr>
            <w:tcW w:w="1843" w:type="dxa"/>
            <w:vAlign w:val="center"/>
          </w:tcPr>
          <w:p>
            <w:pPr>
              <w:pStyle w:val="12"/>
            </w:pPr>
            <w:r>
              <w:t>年度工作计划</w:t>
            </w:r>
          </w:p>
        </w:tc>
      </w:tr>
    </w:tbl>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.关于提前下达2024年中央基本药物制度补助资金预算的通知（秦财社【2023】749号）绩效目标表</w:t>
      </w:r>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361001秦皇岛市北戴河区卫生健康局（本级）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1.完成我辖区6.3311万村医定额补助发放，解决人民看病难，用药困难问题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各村所辖常驻人口总数</w:t>
            </w:r>
          </w:p>
        </w:tc>
        <w:tc>
          <w:tcPr>
            <w:tcW w:w="2891" w:type="dxa"/>
            <w:vAlign w:val="center"/>
          </w:tcPr>
          <w:p>
            <w:pPr>
              <w:pStyle w:val="12"/>
            </w:pPr>
            <w:r>
              <w:t>各村所辖常驻人口总数</w:t>
            </w:r>
          </w:p>
        </w:tc>
        <w:tc>
          <w:tcPr>
            <w:tcW w:w="1276" w:type="dxa"/>
            <w:vAlign w:val="center"/>
          </w:tcPr>
          <w:p>
            <w:pPr>
              <w:pStyle w:val="12"/>
            </w:pPr>
            <w:r>
              <w:t>≥6.33万人</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基本药物零差销售率</w:t>
            </w:r>
          </w:p>
        </w:tc>
        <w:tc>
          <w:tcPr>
            <w:tcW w:w="2891" w:type="dxa"/>
            <w:vAlign w:val="center"/>
          </w:tcPr>
          <w:p>
            <w:pPr>
              <w:pStyle w:val="12"/>
            </w:pPr>
            <w:r>
              <w:t>基本药物零差销售率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补助发放及时率</w:t>
            </w:r>
          </w:p>
        </w:tc>
        <w:tc>
          <w:tcPr>
            <w:tcW w:w="2891" w:type="dxa"/>
            <w:vAlign w:val="center"/>
          </w:tcPr>
          <w:p>
            <w:pPr>
              <w:pStyle w:val="12"/>
            </w:pPr>
            <w:r>
              <w:t>补助发放及时率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基本药物总成本</w:t>
            </w:r>
          </w:p>
        </w:tc>
        <w:tc>
          <w:tcPr>
            <w:tcW w:w="2891" w:type="dxa"/>
            <w:vAlign w:val="center"/>
          </w:tcPr>
          <w:p>
            <w:pPr>
              <w:pStyle w:val="12"/>
            </w:pPr>
            <w:r>
              <w:t>基本药物总成本</w:t>
            </w:r>
          </w:p>
        </w:tc>
        <w:tc>
          <w:tcPr>
            <w:tcW w:w="1276" w:type="dxa"/>
            <w:vAlign w:val="center"/>
          </w:tcPr>
          <w:p>
            <w:pPr>
              <w:pStyle w:val="12"/>
            </w:pPr>
            <w:r>
              <w:t>≤104.68万元</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缓解群众看病难、看病贵</w:t>
            </w:r>
          </w:p>
        </w:tc>
        <w:tc>
          <w:tcPr>
            <w:tcW w:w="2891" w:type="dxa"/>
            <w:vAlign w:val="center"/>
          </w:tcPr>
          <w:p>
            <w:pPr>
              <w:pStyle w:val="12"/>
            </w:pPr>
            <w:r>
              <w:t>缓解群众看病难、看病贵问题</w:t>
            </w:r>
          </w:p>
        </w:tc>
        <w:tc>
          <w:tcPr>
            <w:tcW w:w="1276" w:type="dxa"/>
            <w:vAlign w:val="center"/>
          </w:tcPr>
          <w:p>
            <w:pPr>
              <w:pStyle w:val="12"/>
            </w:pPr>
            <w:r>
              <w:t>进一步缓解</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村医生满意度</w:t>
            </w:r>
          </w:p>
        </w:tc>
        <w:tc>
          <w:tcPr>
            <w:tcW w:w="2891" w:type="dxa"/>
            <w:vAlign w:val="center"/>
          </w:tcPr>
          <w:p>
            <w:pPr>
              <w:pStyle w:val="12"/>
            </w:pPr>
            <w:r>
              <w:t>村医生满意度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8" w:name="_Toc_4_4_000000001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.关于提前下达2024年中央医疗服务与保障能力提升（公立医院综合改革）补助资金的通知（秦财社【2023】769号）绩效目标表</w:t>
      </w:r>
      <w:bookmarkEnd w:id="8"/>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61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vAlign w:val="center"/>
          </w:tcPr>
          <w:p>
            <w:pPr>
              <w:pStyle w:val="12"/>
            </w:pPr>
            <w:r>
              <w:t>1.扎实推进1家城市公立医院改革工作，保障公立医院服务能力提升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医疗机构</w:t>
            </w:r>
          </w:p>
        </w:tc>
        <w:tc>
          <w:tcPr>
            <w:tcW w:w="2891" w:type="dxa"/>
            <w:vAlign w:val="center"/>
          </w:tcPr>
          <w:p>
            <w:pPr>
              <w:pStyle w:val="12"/>
            </w:pPr>
            <w:r>
              <w:t>公立医院</w:t>
            </w:r>
          </w:p>
        </w:tc>
        <w:tc>
          <w:tcPr>
            <w:tcW w:w="1276" w:type="dxa"/>
            <w:vAlign w:val="center"/>
          </w:tcPr>
          <w:p>
            <w:pPr>
              <w:pStyle w:val="12"/>
            </w:pPr>
            <w:r>
              <w:t>1家</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公立医院出院患者占比</w:t>
            </w:r>
          </w:p>
        </w:tc>
        <w:tc>
          <w:tcPr>
            <w:tcW w:w="2891" w:type="dxa"/>
            <w:vAlign w:val="center"/>
          </w:tcPr>
          <w:p>
            <w:pPr>
              <w:pStyle w:val="12"/>
            </w:pPr>
            <w:r>
              <w:t>公立医院门诊人次与出院人次数比</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按计划拨付资金</w:t>
            </w:r>
          </w:p>
        </w:tc>
        <w:tc>
          <w:tcPr>
            <w:tcW w:w="2891" w:type="dxa"/>
            <w:vAlign w:val="center"/>
          </w:tcPr>
          <w:p>
            <w:pPr>
              <w:pStyle w:val="12"/>
            </w:pPr>
            <w:r>
              <w:t>按计划拨付资金</w:t>
            </w:r>
          </w:p>
        </w:tc>
        <w:tc>
          <w:tcPr>
            <w:tcW w:w="1276" w:type="dxa"/>
            <w:vAlign w:val="center"/>
          </w:tcPr>
          <w:p>
            <w:pPr>
              <w:pStyle w:val="12"/>
            </w:pPr>
            <w:r>
              <w:t>按计划拨付资金</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预算支出金额</w:t>
            </w:r>
          </w:p>
        </w:tc>
        <w:tc>
          <w:tcPr>
            <w:tcW w:w="2891" w:type="dxa"/>
            <w:vAlign w:val="center"/>
          </w:tcPr>
          <w:p>
            <w:pPr>
              <w:pStyle w:val="12"/>
            </w:pPr>
            <w:r>
              <w:t>预算支出金额</w:t>
            </w:r>
          </w:p>
        </w:tc>
        <w:tc>
          <w:tcPr>
            <w:tcW w:w="1276" w:type="dxa"/>
            <w:vAlign w:val="center"/>
          </w:tcPr>
          <w:p>
            <w:pPr>
              <w:pStyle w:val="12"/>
            </w:pPr>
            <w:r>
              <w:t>≤42万元</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提升公立医院服务能力</w:t>
            </w:r>
          </w:p>
        </w:tc>
        <w:tc>
          <w:tcPr>
            <w:tcW w:w="2891" w:type="dxa"/>
            <w:vAlign w:val="center"/>
          </w:tcPr>
          <w:p>
            <w:pPr>
              <w:pStyle w:val="12"/>
            </w:pPr>
            <w:r>
              <w:t>提升公立医院服务能力</w:t>
            </w:r>
          </w:p>
        </w:tc>
        <w:tc>
          <w:tcPr>
            <w:tcW w:w="1276" w:type="dxa"/>
            <w:vAlign w:val="center"/>
          </w:tcPr>
          <w:p>
            <w:pPr>
              <w:pStyle w:val="12"/>
            </w:pPr>
            <w:r>
              <w:t>进一步提升</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救医患者满意度</w:t>
            </w:r>
          </w:p>
        </w:tc>
        <w:tc>
          <w:tcPr>
            <w:tcW w:w="2891" w:type="dxa"/>
            <w:vAlign w:val="center"/>
          </w:tcPr>
          <w:p>
            <w:pPr>
              <w:pStyle w:val="12"/>
            </w:pPr>
            <w:r>
              <w:t>救医患者满意度</w:t>
            </w:r>
          </w:p>
        </w:tc>
        <w:tc>
          <w:tcPr>
            <w:tcW w:w="1276" w:type="dxa"/>
            <w:vAlign w:val="center"/>
          </w:tcPr>
          <w:p>
            <w:pPr>
              <w:pStyle w:val="12"/>
            </w:pPr>
            <w:r>
              <w:t>≥90%</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9" w:name="_Toc_4_4_000000001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.关于提前下达2024年中央医疗服务与保障能力提升（卫生健康人才培养）补助资金的通知（秦财社【2023】759号）绩效目标表</w:t>
      </w:r>
      <w:bookmarkEnd w:id="9"/>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61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vAlign w:val="center"/>
          </w:tcPr>
          <w:p>
            <w:pPr>
              <w:pStyle w:val="12"/>
            </w:pPr>
            <w:r>
              <w:t>1.保障人才培养（公立医院改革）资金发放覆盖率达到95%以上，提高受助人群生活水平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医疗机构</w:t>
            </w:r>
          </w:p>
        </w:tc>
        <w:tc>
          <w:tcPr>
            <w:tcW w:w="2891" w:type="dxa"/>
            <w:vAlign w:val="center"/>
          </w:tcPr>
          <w:p>
            <w:pPr>
              <w:pStyle w:val="12"/>
            </w:pPr>
            <w:r>
              <w:t>公立医院</w:t>
            </w:r>
          </w:p>
        </w:tc>
        <w:tc>
          <w:tcPr>
            <w:tcW w:w="1276" w:type="dxa"/>
            <w:vAlign w:val="center"/>
          </w:tcPr>
          <w:p>
            <w:pPr>
              <w:pStyle w:val="12"/>
            </w:pPr>
            <w:r>
              <w:t>1家</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人才培养（公立医院改革）资金发放覆盖率</w:t>
            </w:r>
          </w:p>
        </w:tc>
        <w:tc>
          <w:tcPr>
            <w:tcW w:w="2891" w:type="dxa"/>
            <w:vAlign w:val="center"/>
          </w:tcPr>
          <w:p>
            <w:pPr>
              <w:pStyle w:val="12"/>
            </w:pPr>
            <w:r>
              <w:t>人才培养（公立医院改革）资金实发金额与应发金额的比值</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人才培养（公立医院改革）资金按时发放率</w:t>
            </w:r>
          </w:p>
        </w:tc>
        <w:tc>
          <w:tcPr>
            <w:tcW w:w="2891" w:type="dxa"/>
            <w:vAlign w:val="center"/>
          </w:tcPr>
          <w:p>
            <w:pPr>
              <w:pStyle w:val="12"/>
            </w:pPr>
            <w:r>
              <w:t>人才培养（公立医院改革）资金按时发放次数与应发次数的比值</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补贴所需金额</w:t>
            </w:r>
          </w:p>
        </w:tc>
        <w:tc>
          <w:tcPr>
            <w:tcW w:w="2891" w:type="dxa"/>
            <w:vAlign w:val="center"/>
          </w:tcPr>
          <w:p>
            <w:pPr>
              <w:pStyle w:val="12"/>
            </w:pPr>
            <w:r>
              <w:t>全年发放补贴所需金额</w:t>
            </w:r>
          </w:p>
        </w:tc>
        <w:tc>
          <w:tcPr>
            <w:tcW w:w="1276" w:type="dxa"/>
            <w:vAlign w:val="center"/>
          </w:tcPr>
          <w:p>
            <w:pPr>
              <w:pStyle w:val="12"/>
            </w:pPr>
            <w:r>
              <w:t>≤5.35万元</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受助人群生活水平提高</w:t>
            </w:r>
          </w:p>
        </w:tc>
        <w:tc>
          <w:tcPr>
            <w:tcW w:w="2891" w:type="dxa"/>
            <w:vAlign w:val="center"/>
          </w:tcPr>
          <w:p>
            <w:pPr>
              <w:pStyle w:val="12"/>
            </w:pPr>
            <w:r>
              <w:t>受助人群生活水平提高</w:t>
            </w:r>
          </w:p>
        </w:tc>
        <w:tc>
          <w:tcPr>
            <w:tcW w:w="1276" w:type="dxa"/>
            <w:vAlign w:val="center"/>
          </w:tcPr>
          <w:p>
            <w:pPr>
              <w:pStyle w:val="12"/>
            </w:pPr>
            <w:r>
              <w:t>显著提高</w:t>
            </w:r>
          </w:p>
        </w:tc>
        <w:tc>
          <w:tcPr>
            <w:tcW w:w="1843"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≥90%</w:t>
            </w:r>
          </w:p>
        </w:tc>
        <w:tc>
          <w:tcPr>
            <w:tcW w:w="1843" w:type="dxa"/>
            <w:vAlign w:val="center"/>
          </w:tcPr>
          <w:p>
            <w:pPr>
              <w:pStyle w:val="12"/>
            </w:pPr>
            <w:r>
              <w:t>年度工作计划</w:t>
            </w:r>
          </w:p>
        </w:tc>
      </w:tr>
    </w:tbl>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.2024年公共文化服务体系建设市级补助资金（秦财教[2024]206号）绩效目标表</w:t>
      </w:r>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775"/>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2"/>
            <w:tcBorders>
              <w:top w:val="single" w:color="FFFFFF" w:sz="6" w:space="0"/>
              <w:left w:val="single" w:color="FFFFFF" w:sz="6" w:space="0"/>
              <w:right w:val="single" w:color="FFFFFF" w:sz="6" w:space="0"/>
            </w:tcBorders>
            <w:vAlign w:val="center"/>
          </w:tcPr>
          <w:p>
            <w:pPr>
              <w:pStyle w:val="11"/>
            </w:pPr>
            <w:r>
              <w:t>420001秦皇岛市北戴河区旅游和文化广电局（本级）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2"/>
            <w:vAlign w:val="center"/>
          </w:tcPr>
          <w:p>
            <w:pPr>
              <w:pStyle w:val="12"/>
            </w:pPr>
            <w:r>
              <w:t>1."引导和支持地方提供基本公共文化服务项目，改善基础公共文化体育设施条件，加强基层公共文化服务人才建设等，加快构建现代公共文化服务体系，促进基本公共文化服务标准化、均等化。</w:t>
            </w:r>
            <w:r>
              <w:tab/>
            </w:r>
            <w:r>
              <w:tab/>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举办文体活动数量</w:t>
            </w:r>
          </w:p>
        </w:tc>
        <w:tc>
          <w:tcPr>
            <w:tcW w:w="2891" w:type="dxa"/>
            <w:vAlign w:val="center"/>
          </w:tcPr>
          <w:p>
            <w:pPr>
              <w:pStyle w:val="12"/>
            </w:pPr>
            <w:r>
              <w:t>每村举办阅读、演出等文体活动数量</w:t>
            </w:r>
          </w:p>
        </w:tc>
        <w:tc>
          <w:tcPr>
            <w:tcW w:w="1276" w:type="dxa"/>
            <w:vAlign w:val="center"/>
          </w:tcPr>
          <w:p>
            <w:pPr>
              <w:pStyle w:val="12"/>
            </w:pPr>
            <w:r>
              <w:t>≥1场</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公共数字文化服务参与率</w:t>
            </w:r>
          </w:p>
        </w:tc>
        <w:tc>
          <w:tcPr>
            <w:tcW w:w="2891" w:type="dxa"/>
            <w:vAlign w:val="center"/>
          </w:tcPr>
          <w:p>
            <w:pPr>
              <w:pStyle w:val="12"/>
            </w:pPr>
            <w:r>
              <w:t>群众参与公共数字文化服务的人数</w:t>
            </w:r>
          </w:p>
        </w:tc>
        <w:tc>
          <w:tcPr>
            <w:tcW w:w="1276" w:type="dxa"/>
            <w:vAlign w:val="center"/>
          </w:tcPr>
          <w:p>
            <w:pPr>
              <w:pStyle w:val="12"/>
            </w:pPr>
            <w:r>
              <w:t>≥90百分比</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文体活动的完成及时率</w:t>
            </w:r>
          </w:p>
        </w:tc>
        <w:tc>
          <w:tcPr>
            <w:tcW w:w="2891" w:type="dxa"/>
            <w:vAlign w:val="center"/>
          </w:tcPr>
          <w:p>
            <w:pPr>
              <w:pStyle w:val="12"/>
            </w:pPr>
            <w:r>
              <w:t>文体活动的完成及时率</w:t>
            </w:r>
          </w:p>
        </w:tc>
        <w:tc>
          <w:tcPr>
            <w:tcW w:w="1276" w:type="dxa"/>
            <w:vAlign w:val="center"/>
          </w:tcPr>
          <w:p>
            <w:pPr>
              <w:pStyle w:val="12"/>
            </w:pPr>
            <w:r>
              <w:t>100百分比</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文体活动的成本</w:t>
            </w:r>
          </w:p>
        </w:tc>
        <w:tc>
          <w:tcPr>
            <w:tcW w:w="2891" w:type="dxa"/>
            <w:vAlign w:val="center"/>
          </w:tcPr>
          <w:p>
            <w:pPr>
              <w:pStyle w:val="12"/>
            </w:pPr>
            <w:r>
              <w:t>文体活动的成本</w:t>
            </w:r>
          </w:p>
        </w:tc>
        <w:tc>
          <w:tcPr>
            <w:tcW w:w="1276" w:type="dxa"/>
            <w:vAlign w:val="center"/>
          </w:tcPr>
          <w:p>
            <w:pPr>
              <w:pStyle w:val="12"/>
            </w:pPr>
            <w:r>
              <w:t>≤2.34万元</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丰富人民业余文化生活</w:t>
            </w:r>
          </w:p>
        </w:tc>
        <w:tc>
          <w:tcPr>
            <w:tcW w:w="2891" w:type="dxa"/>
            <w:vAlign w:val="center"/>
          </w:tcPr>
          <w:p>
            <w:pPr>
              <w:pStyle w:val="12"/>
            </w:pPr>
            <w:r>
              <w:t>丰富人民业余文化生活</w:t>
            </w:r>
          </w:p>
        </w:tc>
        <w:tc>
          <w:tcPr>
            <w:tcW w:w="1276" w:type="dxa"/>
            <w:vAlign w:val="center"/>
          </w:tcPr>
          <w:p>
            <w:pPr>
              <w:pStyle w:val="12"/>
            </w:pPr>
            <w:r>
              <w:t>比上年提升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提高本地人文生态环境</w:t>
            </w:r>
          </w:p>
        </w:tc>
        <w:tc>
          <w:tcPr>
            <w:tcW w:w="2891" w:type="dxa"/>
            <w:vAlign w:val="center"/>
          </w:tcPr>
          <w:p>
            <w:pPr>
              <w:pStyle w:val="12"/>
            </w:pPr>
            <w:r>
              <w:t>提高本地人文生态环境</w:t>
            </w:r>
          </w:p>
        </w:tc>
        <w:tc>
          <w:tcPr>
            <w:tcW w:w="1276" w:type="dxa"/>
            <w:vAlign w:val="center"/>
          </w:tcPr>
          <w:p>
            <w:pPr>
              <w:pStyle w:val="12"/>
            </w:pPr>
            <w:r>
              <w:t>稳步提升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推动群众文化的持续传播</w:t>
            </w:r>
          </w:p>
        </w:tc>
        <w:tc>
          <w:tcPr>
            <w:tcW w:w="2891" w:type="dxa"/>
            <w:vAlign w:val="center"/>
          </w:tcPr>
          <w:p>
            <w:pPr>
              <w:pStyle w:val="12"/>
            </w:pPr>
            <w:r>
              <w:t>推动群众文化的持续传播</w:t>
            </w:r>
          </w:p>
        </w:tc>
        <w:tc>
          <w:tcPr>
            <w:tcW w:w="1276" w:type="dxa"/>
            <w:vAlign w:val="center"/>
          </w:tcPr>
          <w:p>
            <w:pPr>
              <w:pStyle w:val="12"/>
            </w:pPr>
            <w:r>
              <w:t>逐年提升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群众对国家基本公共文化服务满意度</w:t>
            </w:r>
          </w:p>
        </w:tc>
        <w:tc>
          <w:tcPr>
            <w:tcW w:w="2891" w:type="dxa"/>
            <w:vAlign w:val="center"/>
          </w:tcPr>
          <w:p>
            <w:pPr>
              <w:pStyle w:val="12"/>
            </w:pPr>
            <w:r>
              <w:t>群众对基层基本公共文化服务满意度</w:t>
            </w:r>
          </w:p>
        </w:tc>
        <w:tc>
          <w:tcPr>
            <w:tcW w:w="1276" w:type="dxa"/>
            <w:vAlign w:val="center"/>
          </w:tcPr>
          <w:p>
            <w:pPr>
              <w:pStyle w:val="12"/>
            </w:pPr>
            <w:r>
              <w:t>≥95百分比</w:t>
            </w:r>
          </w:p>
        </w:tc>
        <w:tc>
          <w:tcPr>
            <w:tcW w:w="1843" w:type="dxa"/>
            <w:vAlign w:val="center"/>
          </w:tcPr>
          <w:p>
            <w:pPr>
              <w:pStyle w:val="12"/>
            </w:pPr>
            <w:r>
              <w:t>基本服务标准</w:t>
            </w:r>
          </w:p>
        </w:tc>
      </w:tr>
    </w:tbl>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.2024年省级公共文化服务体系建设补助资金（一般项目）（秦财教[2024]207号）绩效目标表</w:t>
      </w:r>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61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vAlign w:val="center"/>
          </w:tcPr>
          <w:p>
            <w:pPr>
              <w:pStyle w:val="12"/>
            </w:pPr>
            <w:r>
              <w:t>1."引导和支持地方提供基本公共文化服务项目，改善基础公共文化体育设施条件，加强基层公共文化服务人才建设等，加快构建现代公共文化服务体系，促进基本公共文化服务标准化、均等化。</w:t>
            </w:r>
            <w:r>
              <w:tab/>
            </w:r>
            <w:r>
              <w:tab/>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举办文体活动数量</w:t>
            </w:r>
          </w:p>
        </w:tc>
        <w:tc>
          <w:tcPr>
            <w:tcW w:w="2891" w:type="dxa"/>
            <w:vAlign w:val="center"/>
          </w:tcPr>
          <w:p>
            <w:pPr>
              <w:pStyle w:val="12"/>
            </w:pPr>
            <w:r>
              <w:t>每村举办阅读、演出等文体活动数量</w:t>
            </w:r>
          </w:p>
        </w:tc>
        <w:tc>
          <w:tcPr>
            <w:tcW w:w="1276" w:type="dxa"/>
            <w:vAlign w:val="center"/>
          </w:tcPr>
          <w:p>
            <w:pPr>
              <w:pStyle w:val="12"/>
            </w:pPr>
            <w:r>
              <w:t>≥1场</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公共数字文化服务参与率</w:t>
            </w:r>
          </w:p>
        </w:tc>
        <w:tc>
          <w:tcPr>
            <w:tcW w:w="2891" w:type="dxa"/>
            <w:vAlign w:val="center"/>
          </w:tcPr>
          <w:p>
            <w:pPr>
              <w:pStyle w:val="12"/>
            </w:pPr>
            <w:r>
              <w:t>群众参与公共数字文化服务的人数</w:t>
            </w:r>
          </w:p>
        </w:tc>
        <w:tc>
          <w:tcPr>
            <w:tcW w:w="1276" w:type="dxa"/>
            <w:vAlign w:val="center"/>
          </w:tcPr>
          <w:p>
            <w:pPr>
              <w:pStyle w:val="12"/>
            </w:pPr>
            <w:r>
              <w:t>≥90百分比</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文体活动的完成及时率</w:t>
            </w:r>
          </w:p>
        </w:tc>
        <w:tc>
          <w:tcPr>
            <w:tcW w:w="2891" w:type="dxa"/>
            <w:vAlign w:val="center"/>
          </w:tcPr>
          <w:p>
            <w:pPr>
              <w:pStyle w:val="12"/>
            </w:pPr>
            <w:r>
              <w:t>文体活动的完成及时率</w:t>
            </w:r>
          </w:p>
        </w:tc>
        <w:tc>
          <w:tcPr>
            <w:tcW w:w="1276" w:type="dxa"/>
            <w:vAlign w:val="center"/>
          </w:tcPr>
          <w:p>
            <w:pPr>
              <w:pStyle w:val="12"/>
            </w:pPr>
            <w:r>
              <w:t>100百分比</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文体活动的成本</w:t>
            </w:r>
          </w:p>
        </w:tc>
        <w:tc>
          <w:tcPr>
            <w:tcW w:w="2891" w:type="dxa"/>
            <w:vAlign w:val="center"/>
          </w:tcPr>
          <w:p>
            <w:pPr>
              <w:pStyle w:val="12"/>
            </w:pPr>
            <w:r>
              <w:t>文体活动的成本</w:t>
            </w:r>
          </w:p>
        </w:tc>
        <w:tc>
          <w:tcPr>
            <w:tcW w:w="1276" w:type="dxa"/>
            <w:vAlign w:val="center"/>
          </w:tcPr>
          <w:p>
            <w:pPr>
              <w:pStyle w:val="12"/>
            </w:pPr>
            <w:r>
              <w:t>≤1.73万元</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丰富人民业余文化生活</w:t>
            </w:r>
          </w:p>
        </w:tc>
        <w:tc>
          <w:tcPr>
            <w:tcW w:w="2891" w:type="dxa"/>
            <w:vAlign w:val="center"/>
          </w:tcPr>
          <w:p>
            <w:pPr>
              <w:pStyle w:val="12"/>
            </w:pPr>
            <w:r>
              <w:t>丰富人民业余文化生活</w:t>
            </w:r>
          </w:p>
        </w:tc>
        <w:tc>
          <w:tcPr>
            <w:tcW w:w="1276" w:type="dxa"/>
            <w:vAlign w:val="center"/>
          </w:tcPr>
          <w:p>
            <w:pPr>
              <w:pStyle w:val="12"/>
            </w:pPr>
            <w:r>
              <w:t>比上年提升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提高本地人文生态环境</w:t>
            </w:r>
          </w:p>
        </w:tc>
        <w:tc>
          <w:tcPr>
            <w:tcW w:w="2891" w:type="dxa"/>
            <w:vAlign w:val="center"/>
          </w:tcPr>
          <w:p>
            <w:pPr>
              <w:pStyle w:val="12"/>
            </w:pPr>
            <w:r>
              <w:t>提高本地人文生态环境</w:t>
            </w:r>
          </w:p>
        </w:tc>
        <w:tc>
          <w:tcPr>
            <w:tcW w:w="1276" w:type="dxa"/>
            <w:vAlign w:val="center"/>
          </w:tcPr>
          <w:p>
            <w:pPr>
              <w:pStyle w:val="12"/>
            </w:pPr>
            <w:r>
              <w:t>稳步提升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推动群众文化的持续传播</w:t>
            </w:r>
          </w:p>
        </w:tc>
        <w:tc>
          <w:tcPr>
            <w:tcW w:w="2891" w:type="dxa"/>
            <w:vAlign w:val="center"/>
          </w:tcPr>
          <w:p>
            <w:pPr>
              <w:pStyle w:val="12"/>
            </w:pPr>
            <w:r>
              <w:t>推动群众文化的持续传播</w:t>
            </w:r>
          </w:p>
        </w:tc>
        <w:tc>
          <w:tcPr>
            <w:tcW w:w="1276" w:type="dxa"/>
            <w:vAlign w:val="center"/>
          </w:tcPr>
          <w:p>
            <w:pPr>
              <w:pStyle w:val="12"/>
            </w:pPr>
            <w:r>
              <w:t>逐年提升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群众对国家基本公共文化服务满意度</w:t>
            </w:r>
          </w:p>
        </w:tc>
        <w:tc>
          <w:tcPr>
            <w:tcW w:w="2891" w:type="dxa"/>
            <w:vAlign w:val="center"/>
          </w:tcPr>
          <w:p>
            <w:pPr>
              <w:pStyle w:val="12"/>
            </w:pPr>
            <w:r>
              <w:t>群众对基层基本公共文化服务满意度</w:t>
            </w:r>
          </w:p>
        </w:tc>
        <w:tc>
          <w:tcPr>
            <w:tcW w:w="1276" w:type="dxa"/>
            <w:vAlign w:val="center"/>
          </w:tcPr>
          <w:p>
            <w:pPr>
              <w:pStyle w:val="12"/>
            </w:pPr>
            <w:r>
              <w:t>≥95百分比</w:t>
            </w:r>
          </w:p>
        </w:tc>
        <w:tc>
          <w:tcPr>
            <w:tcW w:w="1843" w:type="dxa"/>
            <w:vAlign w:val="center"/>
          </w:tcPr>
          <w:p>
            <w:pPr>
              <w:pStyle w:val="12"/>
            </w:pPr>
            <w:r>
              <w:t>基本服务标准</w:t>
            </w:r>
          </w:p>
        </w:tc>
      </w:tr>
    </w:tbl>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.2024年中央支持地方公共文化服务体系建设补助资金（秦财教[2024]205号）绩效目标表</w:t>
      </w:r>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61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vAlign w:val="center"/>
          </w:tcPr>
          <w:p>
            <w:pPr>
              <w:pStyle w:val="12"/>
            </w:pPr>
            <w:r>
              <w:t>1.引导和支持地方提供基本公共文化服务项目，改善基础公共文化体育设施条件，加强基层公共文化服务人才建设等，加快构建现代公共文化服务体系，促进基本公共文化服务标准化、均等化。</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举办文体活动数量</w:t>
            </w:r>
          </w:p>
        </w:tc>
        <w:tc>
          <w:tcPr>
            <w:tcW w:w="2891" w:type="dxa"/>
            <w:vAlign w:val="center"/>
          </w:tcPr>
          <w:p>
            <w:pPr>
              <w:pStyle w:val="12"/>
            </w:pPr>
            <w:r>
              <w:t>每村举办阅读、演出等文体活动数量</w:t>
            </w:r>
          </w:p>
        </w:tc>
        <w:tc>
          <w:tcPr>
            <w:tcW w:w="1276" w:type="dxa"/>
            <w:vAlign w:val="center"/>
          </w:tcPr>
          <w:p>
            <w:pPr>
              <w:pStyle w:val="12"/>
            </w:pPr>
            <w:r>
              <w:t>≥4场</w:t>
            </w:r>
          </w:p>
        </w:tc>
        <w:tc>
          <w:tcPr>
            <w:tcW w:w="1843" w:type="dxa"/>
            <w:vAlign w:val="center"/>
          </w:tcPr>
          <w:p>
            <w:pPr>
              <w:pStyle w:val="12"/>
            </w:pPr>
            <w:r>
              <w:t>基本服务标准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公共数字文化服务参与率</w:t>
            </w:r>
          </w:p>
        </w:tc>
        <w:tc>
          <w:tcPr>
            <w:tcW w:w="2891" w:type="dxa"/>
            <w:vAlign w:val="center"/>
          </w:tcPr>
          <w:p>
            <w:pPr>
              <w:pStyle w:val="12"/>
            </w:pPr>
            <w:r>
              <w:t>群众参与公共数字文化服务的人数</w:t>
            </w:r>
          </w:p>
        </w:tc>
        <w:tc>
          <w:tcPr>
            <w:tcW w:w="1276" w:type="dxa"/>
            <w:vAlign w:val="center"/>
          </w:tcPr>
          <w:p>
            <w:pPr>
              <w:pStyle w:val="12"/>
            </w:pPr>
            <w:r>
              <w:t>≥90百分比</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文体活动的完成及时率</w:t>
            </w:r>
          </w:p>
        </w:tc>
        <w:tc>
          <w:tcPr>
            <w:tcW w:w="2891" w:type="dxa"/>
            <w:vAlign w:val="center"/>
          </w:tcPr>
          <w:p>
            <w:pPr>
              <w:pStyle w:val="12"/>
            </w:pPr>
            <w:r>
              <w:t>文体活动的完成及时率</w:t>
            </w:r>
          </w:p>
        </w:tc>
        <w:tc>
          <w:tcPr>
            <w:tcW w:w="1276" w:type="dxa"/>
            <w:vAlign w:val="center"/>
          </w:tcPr>
          <w:p>
            <w:pPr>
              <w:pStyle w:val="12"/>
            </w:pPr>
            <w:r>
              <w:t>100百分比</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文体活动的成本</w:t>
            </w:r>
          </w:p>
        </w:tc>
        <w:tc>
          <w:tcPr>
            <w:tcW w:w="2891" w:type="dxa"/>
            <w:vAlign w:val="center"/>
          </w:tcPr>
          <w:p>
            <w:pPr>
              <w:pStyle w:val="12"/>
            </w:pPr>
            <w:r>
              <w:t>文体活动的成本</w:t>
            </w:r>
          </w:p>
        </w:tc>
        <w:tc>
          <w:tcPr>
            <w:tcW w:w="1276" w:type="dxa"/>
            <w:vAlign w:val="center"/>
          </w:tcPr>
          <w:p>
            <w:pPr>
              <w:pStyle w:val="12"/>
            </w:pPr>
            <w:r>
              <w:t>≤31.5万元</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丰富人民业余文化生活</w:t>
            </w:r>
          </w:p>
        </w:tc>
        <w:tc>
          <w:tcPr>
            <w:tcW w:w="2891" w:type="dxa"/>
            <w:vAlign w:val="center"/>
          </w:tcPr>
          <w:p>
            <w:pPr>
              <w:pStyle w:val="12"/>
            </w:pPr>
            <w:r>
              <w:t>丰富人民业余文化生活</w:t>
            </w:r>
          </w:p>
        </w:tc>
        <w:tc>
          <w:tcPr>
            <w:tcW w:w="1276" w:type="dxa"/>
            <w:vAlign w:val="center"/>
          </w:tcPr>
          <w:p>
            <w:pPr>
              <w:pStyle w:val="12"/>
            </w:pPr>
            <w:r>
              <w:t>比上年提升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提高本地人文生态环境</w:t>
            </w:r>
          </w:p>
        </w:tc>
        <w:tc>
          <w:tcPr>
            <w:tcW w:w="2891" w:type="dxa"/>
            <w:vAlign w:val="center"/>
          </w:tcPr>
          <w:p>
            <w:pPr>
              <w:pStyle w:val="12"/>
            </w:pPr>
            <w:r>
              <w:t>提高本地人文生态环境</w:t>
            </w:r>
          </w:p>
        </w:tc>
        <w:tc>
          <w:tcPr>
            <w:tcW w:w="1276" w:type="dxa"/>
            <w:vAlign w:val="center"/>
          </w:tcPr>
          <w:p>
            <w:pPr>
              <w:pStyle w:val="12"/>
            </w:pPr>
            <w:r>
              <w:t>稳步提升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推动群众文化的持续传播</w:t>
            </w:r>
          </w:p>
        </w:tc>
        <w:tc>
          <w:tcPr>
            <w:tcW w:w="2891" w:type="dxa"/>
            <w:vAlign w:val="center"/>
          </w:tcPr>
          <w:p>
            <w:pPr>
              <w:pStyle w:val="12"/>
            </w:pPr>
            <w:r>
              <w:t>推动群众文化的持续传播</w:t>
            </w:r>
          </w:p>
        </w:tc>
        <w:tc>
          <w:tcPr>
            <w:tcW w:w="1276" w:type="dxa"/>
            <w:vAlign w:val="center"/>
          </w:tcPr>
          <w:p>
            <w:pPr>
              <w:pStyle w:val="12"/>
            </w:pPr>
            <w:r>
              <w:t>逐年提升</w:t>
            </w:r>
          </w:p>
        </w:tc>
        <w:tc>
          <w:tcPr>
            <w:tcW w:w="1843" w:type="dxa"/>
            <w:vAlign w:val="center"/>
          </w:tcPr>
          <w:p>
            <w:pPr>
              <w:pStyle w:val="12"/>
            </w:pPr>
            <w:r>
              <w:t>基本服务标准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群众对国家基本公共文化服务满意度</w:t>
            </w:r>
          </w:p>
        </w:tc>
        <w:tc>
          <w:tcPr>
            <w:tcW w:w="2891" w:type="dxa"/>
            <w:vAlign w:val="center"/>
          </w:tcPr>
          <w:p>
            <w:pPr>
              <w:pStyle w:val="12"/>
            </w:pPr>
            <w:r>
              <w:t>群众对基层基本公共文化服务满意度</w:t>
            </w:r>
          </w:p>
        </w:tc>
        <w:tc>
          <w:tcPr>
            <w:tcW w:w="1276" w:type="dxa"/>
            <w:vAlign w:val="center"/>
          </w:tcPr>
          <w:p>
            <w:pPr>
              <w:pStyle w:val="12"/>
            </w:pPr>
            <w:r>
              <w:t>≥95百分比</w:t>
            </w:r>
          </w:p>
        </w:tc>
        <w:tc>
          <w:tcPr>
            <w:tcW w:w="1843" w:type="dxa"/>
            <w:vAlign w:val="center"/>
          </w:tcPr>
          <w:p>
            <w:pPr>
              <w:pStyle w:val="12"/>
            </w:pPr>
            <w:r>
              <w:t>基本服务标准</w:t>
            </w:r>
          </w:p>
        </w:tc>
      </w:tr>
    </w:tbl>
    <w:p>
      <w:pPr>
        <w:spacing w:before="0" w:after="0" w:line="240" w:lineRule="auto"/>
        <w:ind w:firstLine="0"/>
        <w:jc w:val="both"/>
        <w:outlineLvl w:val="9"/>
        <w:rPr>
          <w:rFonts w:hint="eastAsia" w:ascii="仿宋_GB2312" w:hAnsi="宋体" w:eastAsia="仿宋_GB2312" w:cs="宋体"/>
          <w:b/>
          <w:color w:val="333333"/>
          <w:kern w:val="0"/>
          <w:sz w:val="32"/>
          <w:szCs w:val="32"/>
        </w:rPr>
      </w:pPr>
    </w:p>
    <w:p>
      <w:pPr>
        <w:spacing w:before="0" w:after="0" w:line="240" w:lineRule="auto"/>
        <w:ind w:firstLine="0"/>
        <w:jc w:val="both"/>
        <w:outlineLvl w:val="9"/>
        <w:rPr>
          <w:rFonts w:hint="eastAsia" w:ascii="仿宋_GB2312" w:hAnsi="宋体" w:eastAsia="仿宋_GB2312" w:cs="宋体"/>
          <w:b/>
          <w:color w:val="333333"/>
          <w:kern w:val="0"/>
          <w:sz w:val="32"/>
          <w:szCs w:val="32"/>
        </w:rPr>
      </w:pPr>
    </w:p>
    <w:p>
      <w:pPr>
        <w:widowControl/>
        <w:spacing w:line="600" w:lineRule="exact"/>
        <w:ind w:left="200" w:firstLine="480"/>
        <w:jc w:val="left"/>
        <w:rPr>
          <w:rFonts w:ascii="仿宋_GB2312" w:hAnsi="宋体" w:eastAsia="仿宋_GB2312" w:cs="宋体"/>
          <w:b/>
          <w:color w:val="333333"/>
          <w:kern w:val="0"/>
          <w:sz w:val="32"/>
          <w:szCs w:val="32"/>
        </w:rPr>
      </w:pPr>
      <w:r>
        <w:rPr>
          <w:rFonts w:hint="eastAsia" w:ascii="仿宋_GB2312" w:hAnsi="宋体" w:eastAsia="仿宋_GB2312" w:cs="宋体"/>
          <w:b/>
          <w:color w:val="333333"/>
          <w:kern w:val="0"/>
          <w:sz w:val="32"/>
          <w:szCs w:val="32"/>
        </w:rPr>
        <w:t>七、其他事项说明</w:t>
      </w:r>
    </w:p>
    <w:p>
      <w:pPr>
        <w:widowControl/>
        <w:spacing w:line="600" w:lineRule="exact"/>
        <w:ind w:left="200" w:firstLine="48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无其他需说明的事项。</w:t>
      </w:r>
    </w:p>
    <w:p/>
    <w:p/>
    <w:p/>
    <w:p>
      <w:pPr>
        <w:sectPr>
          <w:pgSz w:w="11900" w:h="16840"/>
          <w:pgMar w:top="1984" w:right="1304" w:bottom="1134" w:left="1304" w:header="720" w:footer="720" w:gutter="0"/>
          <w:cols w:space="720" w:num="1"/>
        </w:sectPr>
      </w:pPr>
    </w:p>
    <w:p>
      <w:pPr>
        <w:spacing w:line="580" w:lineRule="exact"/>
        <w:rPr>
          <w:rFonts w:ascii="仿宋_GB2312" w:hAnsi="宋体" w:eastAsia="仿宋_GB2312"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76"/>
    <w:rsid w:val="00024232"/>
    <w:rsid w:val="00050E96"/>
    <w:rsid w:val="0007755C"/>
    <w:rsid w:val="00095377"/>
    <w:rsid w:val="000A09CB"/>
    <w:rsid w:val="000E020B"/>
    <w:rsid w:val="0010350E"/>
    <w:rsid w:val="001458DD"/>
    <w:rsid w:val="00160AFC"/>
    <w:rsid w:val="0018175F"/>
    <w:rsid w:val="002011D6"/>
    <w:rsid w:val="002023AD"/>
    <w:rsid w:val="00204E06"/>
    <w:rsid w:val="002062D3"/>
    <w:rsid w:val="00212458"/>
    <w:rsid w:val="00224F47"/>
    <w:rsid w:val="002427AE"/>
    <w:rsid w:val="002824CA"/>
    <w:rsid w:val="00293E0B"/>
    <w:rsid w:val="00307EB1"/>
    <w:rsid w:val="00312016"/>
    <w:rsid w:val="0036387A"/>
    <w:rsid w:val="003D1C71"/>
    <w:rsid w:val="003E4B4E"/>
    <w:rsid w:val="003E7628"/>
    <w:rsid w:val="00457540"/>
    <w:rsid w:val="00482A82"/>
    <w:rsid w:val="00491C2F"/>
    <w:rsid w:val="004A2C19"/>
    <w:rsid w:val="0051759F"/>
    <w:rsid w:val="005B7C71"/>
    <w:rsid w:val="005C2AA0"/>
    <w:rsid w:val="005C7E53"/>
    <w:rsid w:val="00620F81"/>
    <w:rsid w:val="00625272"/>
    <w:rsid w:val="006A0C1E"/>
    <w:rsid w:val="006A58C4"/>
    <w:rsid w:val="006D09B8"/>
    <w:rsid w:val="006F0CBE"/>
    <w:rsid w:val="007221B7"/>
    <w:rsid w:val="00725D9F"/>
    <w:rsid w:val="00757C25"/>
    <w:rsid w:val="00782140"/>
    <w:rsid w:val="007E1613"/>
    <w:rsid w:val="008236AD"/>
    <w:rsid w:val="008442A9"/>
    <w:rsid w:val="00861472"/>
    <w:rsid w:val="00881C6E"/>
    <w:rsid w:val="00886E56"/>
    <w:rsid w:val="008C0964"/>
    <w:rsid w:val="008C55F4"/>
    <w:rsid w:val="00934462"/>
    <w:rsid w:val="009748C8"/>
    <w:rsid w:val="009E1838"/>
    <w:rsid w:val="009F01E0"/>
    <w:rsid w:val="00A11928"/>
    <w:rsid w:val="00A24F3C"/>
    <w:rsid w:val="00A83332"/>
    <w:rsid w:val="00A84E4C"/>
    <w:rsid w:val="00A913DB"/>
    <w:rsid w:val="00AC410D"/>
    <w:rsid w:val="00AE344B"/>
    <w:rsid w:val="00B0711D"/>
    <w:rsid w:val="00B61821"/>
    <w:rsid w:val="00B6709A"/>
    <w:rsid w:val="00B7327E"/>
    <w:rsid w:val="00B77951"/>
    <w:rsid w:val="00B94F4B"/>
    <w:rsid w:val="00BE40F4"/>
    <w:rsid w:val="00C21684"/>
    <w:rsid w:val="00C314C6"/>
    <w:rsid w:val="00C46CD4"/>
    <w:rsid w:val="00C921B1"/>
    <w:rsid w:val="00CD4C1A"/>
    <w:rsid w:val="00CD7C3C"/>
    <w:rsid w:val="00D31B02"/>
    <w:rsid w:val="00D54B65"/>
    <w:rsid w:val="00D779A9"/>
    <w:rsid w:val="00D92942"/>
    <w:rsid w:val="00DB2D8F"/>
    <w:rsid w:val="00DB55B4"/>
    <w:rsid w:val="00DC3B79"/>
    <w:rsid w:val="00DC6C14"/>
    <w:rsid w:val="00DE318A"/>
    <w:rsid w:val="00DF18D3"/>
    <w:rsid w:val="00E25C66"/>
    <w:rsid w:val="00E43161"/>
    <w:rsid w:val="00E43A16"/>
    <w:rsid w:val="00E51D43"/>
    <w:rsid w:val="00E64955"/>
    <w:rsid w:val="00ED6676"/>
    <w:rsid w:val="00F45D94"/>
    <w:rsid w:val="00F81AC0"/>
    <w:rsid w:val="00FA5BF7"/>
    <w:rsid w:val="00FE5E1C"/>
    <w:rsid w:val="00FF246D"/>
    <w:rsid w:val="04445335"/>
    <w:rsid w:val="09151C42"/>
    <w:rsid w:val="1167020B"/>
    <w:rsid w:val="11EB20CC"/>
    <w:rsid w:val="14847262"/>
    <w:rsid w:val="15B31B5E"/>
    <w:rsid w:val="18F420AE"/>
    <w:rsid w:val="1A7576EA"/>
    <w:rsid w:val="1C76701D"/>
    <w:rsid w:val="29477BA2"/>
    <w:rsid w:val="29B30721"/>
    <w:rsid w:val="333861E8"/>
    <w:rsid w:val="340E0056"/>
    <w:rsid w:val="35B36932"/>
    <w:rsid w:val="38195783"/>
    <w:rsid w:val="400678DE"/>
    <w:rsid w:val="4125235C"/>
    <w:rsid w:val="46430B3B"/>
    <w:rsid w:val="49F87870"/>
    <w:rsid w:val="4CDA71C2"/>
    <w:rsid w:val="56B32E0C"/>
    <w:rsid w:val="57F10023"/>
    <w:rsid w:val="5C830F62"/>
    <w:rsid w:val="5D383FB8"/>
    <w:rsid w:val="5E101D2E"/>
    <w:rsid w:val="66B924F0"/>
    <w:rsid w:val="6DFA528A"/>
    <w:rsid w:val="6E6D03CF"/>
    <w:rsid w:val="704462CD"/>
    <w:rsid w:val="761C57E7"/>
    <w:rsid w:val="765D7796"/>
    <w:rsid w:val="77CF7F4F"/>
    <w:rsid w:val="7B6D3096"/>
    <w:rsid w:val="7CE6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2">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TOC 2"/>
    <w:basedOn w:val="1"/>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19">
    <w:name w:val="TOC 4"/>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20">
    <w:name w:val="TOC 1"/>
    <w:basedOn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2392</Words>
  <Characters>13635</Characters>
  <Lines>113</Lines>
  <Paragraphs>31</Paragraphs>
  <TotalTime>19</TotalTime>
  <ScaleCrop>false</ScaleCrop>
  <LinksUpToDate>false</LinksUpToDate>
  <CharactersWithSpaces>15996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2018-02-06T01:35:00Z</dcterms:created>
  <dc:creator>预算编审中心</dc:creator>
  <cp:lastModifiedBy>Lenovo</cp:lastModifiedBy>
  <cp:lastPrinted>2020-06-15T00:59:00Z</cp:lastPrinted>
  <dcterms:modified xsi:type="dcterms:W3CDTF">2025-05-12T09:08:38Z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131BC183CA174D3CA650CE6658922CA2</vt:lpwstr>
  </property>
</Properties>
</file>