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2020年部门预算绩效信息</w:t>
      </w:r>
    </w:p>
    <w:p>
      <w:pPr>
        <w:jc w:val="left"/>
        <w:rPr>
          <w:rFonts w:ascii="黑体" w:hAnsi="黑体" w:eastAsia="黑体"/>
          <w:color w:val="000000"/>
          <w:sz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楷体"/>
          <w:color w:val="000000"/>
          <w:sz w:val="32"/>
        </w:rPr>
      </w:pPr>
      <w:r>
        <w:rPr>
          <w:rFonts w:hint="eastAsia" w:ascii="黑体" w:hAnsi="黑体" w:eastAsia="黑体" w:cs="楷体"/>
          <w:color w:val="000000"/>
          <w:sz w:val="32"/>
        </w:rPr>
        <w:t>第一部分 部门整体绩效目标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（一）总体绩效目标：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0" w:firstLineChars="20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认真贯彻党的十九大精神，按照省、市、区委的具体部署，紧紧围绕区委确定的工作主线，开展人大工作，运用监督职能推动全区重大决策部署和中心工作落实。紧紧围绕人民群众关注的热点难点问题，加强工作监督和法律监督，促进“一府一委两院”依法行政、公正司法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（二）分项绩效目标：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1、保障区人民代表大会、各专门委员会会议、常委会会议、主任会议顺利召开，完成会议议程。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2、对“一府一委两院”进行监督，开展专题询问和工作评议，提高执法检查质量，保障法律法规有效实施。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3、组织开展集中视察、代表培训和考察学习，发挥人大常委会组成人员</w:t>
      </w:r>
      <w:bookmarkStart w:id="6" w:name="_GoBack"/>
      <w:bookmarkEnd w:id="6"/>
      <w:r>
        <w:rPr>
          <w:rFonts w:hint="eastAsia" w:ascii="仿宋_GB2312" w:hAnsi="仿宋" w:eastAsia="仿宋_GB2312" w:cs="仿宋"/>
          <w:color w:val="000000"/>
          <w:sz w:val="32"/>
        </w:rPr>
        <w:t>及代表的桥梁纽带作用，集中反映民意，促进依法履职。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4、确保宣传工作正常开展，保障机关信息化建设与维护，提高人大信息透明度和影响力，加强人大对内、对外交流，完成大会闭会期间的补选和常委会人事任免服务工作，高质量完成机关日常管理事务。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楷体_GB2312" w:hAnsi="楷体_GB2312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5、按照省人大要求，完成省市县三级人大云视频会议系统建设，为全省人大跨部门、跨层级、跨地域召开会议、代表履职、联动监督提供高效的沟通途径。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（三）工作保障措施：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1、丰富监督工作载体。在开展各类视察、调研、检查、听取和审议专项报告的基础上，深化专题询问、评议专项工作、执法检查等监督工作的实施，丰富监督形式，确保监督工作实效。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2、依法做好人事任免工作。坚持拟任人员任前法律知识考试制度。继续做好法院、检察院拟任免人员任免条件审查工作，不断提高任免质量。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3、密切与人大代表的联系。落实</w:t>
      </w:r>
      <w:bookmarkStart w:id="0" w:name="OLE_LINK1"/>
      <w:r>
        <w:rPr>
          <w:rFonts w:hint="eastAsia" w:ascii="仿宋_GB2312" w:hAnsi="仿宋" w:eastAsia="仿宋_GB2312" w:cs="仿宋"/>
          <w:color w:val="000000"/>
          <w:sz w:val="32"/>
        </w:rPr>
        <w:t>人大常委会组成人员</w:t>
      </w:r>
      <w:bookmarkEnd w:id="0"/>
      <w:r>
        <w:rPr>
          <w:rFonts w:hint="eastAsia" w:ascii="仿宋_GB2312" w:hAnsi="仿宋" w:eastAsia="仿宋_GB2312" w:cs="仿宋"/>
          <w:color w:val="000000"/>
          <w:sz w:val="32"/>
        </w:rPr>
        <w:t>与人大代表、人大代表与人民群众的联系制度。加强代表履职服务保障工作，继续搞好代表培训，保障代表知情知政，帮助代表提高履职能力水平。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4、提升人大代表履职实效。进一步完善代表建议的提出和办理办法，坚持开门办理和跟踪督办，总结表彰代表建议办理工作，不断提高议案建议办成率和代表满意率。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="480" w:firstLineChars="150"/>
        <w:jc w:val="left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5、切实加强人大机关能力建设。按照新形势、新任务对人大工作的新要求，在政治学习、政策理解上下工夫，在学法、用法上下工夫，在调研、落实上下工夫。同时，继续利用全国和省人大培训平台，提高培训工作组织化程度，与时俱进增强常委会及机关人员的政治素质、法律素养和履职能力。</w:t>
      </w: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预算项目绩效目标</w:t>
      </w:r>
    </w:p>
    <w:p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1、代表工作绩效目标表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1" w:name="_Toc39668904"/>
      <w:r>
        <w:rPr>
          <w:rFonts w:hint="eastAsia" w:ascii="仿宋_GB2312" w:hAnsi="仿宋" w:eastAsia="仿宋_GB2312" w:cs="仿宋"/>
          <w:color w:val="000000"/>
          <w:sz w:val="32"/>
        </w:rPr>
        <w:instrText xml:space="preserve">1、代表工作绩效目标表</w:instrText>
      </w:r>
      <w:bookmarkEnd w:id="1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101-0601-JBN-DSZT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保障组织代表集中视察、调研、述职、培训和学习考察工作顺利开展的各项办公费用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、代表活动顺利开展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、促进依法履职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培训计划完成率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反映实际组织代表培训次数占应组织次数的比例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集中视察完成率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反映实际组织代表视察次数占应组织次数的比例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代表建议办理满意度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代表建议办理满意度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九十分以上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</w:pPr>
    </w:p>
    <w:p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2、人大会议绩效目标表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2" w:name="_Toc39668905"/>
      <w:r>
        <w:rPr>
          <w:rFonts w:hint="eastAsia" w:ascii="仿宋_GB2312" w:hAnsi="仿宋" w:eastAsia="仿宋_GB2312" w:cs="仿宋"/>
          <w:color w:val="000000"/>
          <w:sz w:val="32"/>
        </w:rPr>
        <w:instrText xml:space="preserve">2、人大会议绩效目标表</w:instrText>
      </w:r>
      <w:bookmarkEnd w:id="2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101-0401-JBN-2TK8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人大会议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依照法定程序组织召开各类会议，用于支付会议费各项支出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、保障会议顺利召开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、完成会议议程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会议组织率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反映实际组织会议次数占应组织次数的比例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议程完成率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反映实际完成议程数占应完成数的比例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与会代表满意度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与会代表对会务工作的满意程度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</w:pPr>
    </w:p>
    <w:p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3、人大监督绩效目标表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3" w:name="_Toc39668906"/>
      <w:r>
        <w:rPr>
          <w:rFonts w:hint="eastAsia" w:ascii="仿宋_GB2312" w:hAnsi="仿宋" w:eastAsia="仿宋_GB2312" w:cs="仿宋"/>
          <w:color w:val="000000"/>
          <w:sz w:val="32"/>
        </w:rPr>
        <w:instrText xml:space="preserve">3、人大监督绩效目标表</w:instrText>
      </w:r>
      <w:bookmarkEnd w:id="3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101-0501-JBN-7CVA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人大监督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保障督导调研、执法检查、庭审评议和政府预算联网监督等活动顺利开展的各项办公费用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、督导调研顺利开展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、各项监督有效实施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督导调研完成率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反映实际组织督导调研次数占应组织次数的比例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执法检查完成率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反映实际组织执法检查次数占应组织次数的比例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调研报告完成率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反映实际完成调研报告数量占应完成的比例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</w:pPr>
    </w:p>
    <w:p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4、人大事务工作经费绩效目标表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4" w:name="_Toc39668907"/>
      <w:r>
        <w:rPr>
          <w:rFonts w:hint="eastAsia" w:ascii="仿宋_GB2312" w:hAnsi="仿宋" w:eastAsia="仿宋_GB2312" w:cs="仿宋"/>
          <w:color w:val="000000"/>
          <w:sz w:val="32"/>
        </w:rPr>
        <w:instrText xml:space="preserve">4、人大事务工作经费绩效目标表</w:instrText>
      </w:r>
      <w:bookmarkEnd w:id="4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101-0801-JBN-UTTK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人大事务工作经费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16.50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保障常委会机关各项工作顺利开展的各项办公费用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、保障常委会各项工作顺利开展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、保障机关各项行政事务顺利完成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办公设备购置完成率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反映实际购置办公设备数量占应购置数量的比例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会务工作完成率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反映会务工作完成数占应完成数胡比例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机关行政事务完成度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机关行政事务完成程度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九十分以上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ind w:firstLine="42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ind w:firstLine="420" w:firstLineChars="200"/>
        <w:jc w:val="left"/>
      </w:pPr>
    </w:p>
    <w:p>
      <w:pPr>
        <w:ind w:firstLine="640" w:firstLineChars="200"/>
        <w:jc w:val="left"/>
        <w:outlineLvl w:val="1"/>
        <w:rPr>
          <w:rFonts w:ascii="仿宋_GB2312" w:hAnsi="仿宋" w:eastAsia="仿宋_GB2312" w:cs="仿宋"/>
          <w:color w:val="000000"/>
          <w:sz w:val="32"/>
        </w:rPr>
      </w:pPr>
      <w:r>
        <w:rPr>
          <w:rFonts w:hint="eastAsia" w:ascii="仿宋_GB2312" w:hAnsi="仿宋" w:eastAsia="仿宋_GB2312" w:cs="仿宋"/>
          <w:color w:val="000000"/>
          <w:sz w:val="32"/>
        </w:rPr>
        <w:t>5、三级人大视频系统建设费绩效目标表</w:t>
      </w:r>
      <w:r>
        <w:rPr>
          <w:rFonts w:ascii="仿宋_GB2312" w:hAnsi="仿宋" w:eastAsia="仿宋_GB2312" w:cs="仿宋"/>
          <w:color w:val="000000"/>
          <w:sz w:val="32"/>
        </w:rPr>
        <w:fldChar w:fldCharType="begin"/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hint="eastAsia" w:ascii="仿宋_GB2312" w:hAnsi="仿宋" w:eastAsia="仿宋_GB2312" w:cs="仿宋"/>
          <w:color w:val="000000"/>
          <w:sz w:val="32"/>
        </w:rPr>
        <w:instrText xml:space="preserve">TC </w:instrText>
      </w:r>
      <w:bookmarkStart w:id="5" w:name="_Toc39668908"/>
      <w:r>
        <w:rPr>
          <w:rFonts w:hint="eastAsia" w:ascii="仿宋_GB2312" w:hAnsi="仿宋" w:eastAsia="仿宋_GB2312" w:cs="仿宋"/>
          <w:color w:val="000000"/>
          <w:sz w:val="32"/>
        </w:rPr>
        <w:instrText xml:space="preserve">5、三级人大视频系统建设费绩效目标表</w:instrText>
      </w:r>
      <w:bookmarkEnd w:id="5"/>
      <w:r>
        <w:rPr>
          <w:rFonts w:hint="eastAsia" w:ascii="仿宋_GB2312" w:hAnsi="仿宋" w:eastAsia="仿宋_GB2312" w:cs="仿宋"/>
          <w:color w:val="000000"/>
          <w:sz w:val="32"/>
        </w:rPr>
        <w:instrText xml:space="preserve"> \f C \l 1</w:instrText>
      </w:r>
      <w:r>
        <w:rPr>
          <w:rFonts w:ascii="仿宋_GB2312" w:hAnsi="仿宋" w:eastAsia="仿宋_GB2312" w:cs="仿宋"/>
          <w:color w:val="000000"/>
          <w:sz w:val="32"/>
        </w:rPr>
        <w:instrText xml:space="preserve"> </w:instrText>
      </w:r>
      <w:r>
        <w:rPr>
          <w:rFonts w:ascii="仿宋_GB2312" w:hAnsi="仿宋" w:eastAsia="仿宋_GB2312" w:cs="仿宋"/>
          <w:color w:val="000000"/>
          <w:sz w:val="32"/>
        </w:rPr>
        <w:fldChar w:fldCharType="end"/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101002</w:t>
            </w:r>
            <w:r>
              <w:rPr>
                <w:rFonts w:hint="eastAsia" w:ascii="方正书宋_GBK" w:eastAsia="方正书宋_GBK"/>
                <w:b/>
              </w:rPr>
              <w:t>秦皇岛市北戴河区人大常委会办公室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101-0801-JBN-42PF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三级人大视频系统建设费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推动省市县三级人大视频会议系统建设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、实现省市县三级人大跨部门、跨层级、跨地域召开会议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、为省市县三级人大代表履职、联动监督提供高效的沟通途径</w:t>
            </w:r>
          </w:p>
        </w:tc>
      </w:tr>
    </w:tbl>
    <w:p>
      <w:pPr>
        <w:spacing w:line="14" w:lineRule="exact"/>
        <w:ind w:firstLine="420" w:firstLineChars="200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4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设备购置完成比率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设备购置完成数量占应购置数量的比例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会场基础环境改造完成率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会场基础环境改造完成情况的比例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百分之九十以上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视频会议系统运行满意度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视频会议系统正常运行参会人员满意度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九十分以上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/>
    <w:sectPr>
      <w:pgSz w:w="16838" w:h="12406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A0A"/>
    <w:rsid w:val="0005781B"/>
    <w:rsid w:val="00146A0A"/>
    <w:rsid w:val="00263D0F"/>
    <w:rsid w:val="00360E66"/>
    <w:rsid w:val="005F0E97"/>
    <w:rsid w:val="00954C5D"/>
    <w:rsid w:val="00A657AB"/>
    <w:rsid w:val="00B124B9"/>
    <w:rsid w:val="00E574FF"/>
    <w:rsid w:val="00EA312E"/>
    <w:rsid w:val="00EE586B"/>
    <w:rsid w:val="00EF5240"/>
    <w:rsid w:val="515C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490</Words>
  <Characters>2798</Characters>
  <Lines>23</Lines>
  <Paragraphs>6</Paragraphs>
  <TotalTime>0</TotalTime>
  <ScaleCrop>false</ScaleCrop>
  <LinksUpToDate>false</LinksUpToDate>
  <CharactersWithSpaces>3282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2020-05-25T08:11:00Z</dcterms:created>
  <dc:creator>预算编审中心</dc:creator>
  <cp:lastModifiedBy>Administrator</cp:lastModifiedBy>
  <dcterms:modified xsi:type="dcterms:W3CDTF">2025-06-27T03:42:32Z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D85F955E39124F32B74DC50F66D01415</vt:lpwstr>
  </property>
</Properties>
</file>