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883" w:rsidRPr="00FA56C9" w:rsidRDefault="00DE3883" w:rsidP="00FA56C9">
      <w:pPr>
        <w:adjustRightInd/>
        <w:snapToGrid/>
        <w:spacing w:after="0" w:line="600" w:lineRule="exact"/>
        <w:jc w:val="center"/>
        <w:rPr>
          <w:rFonts w:ascii="仿宋_GB2312" w:eastAsia="仿宋_GB2312" w:hAnsi="仿宋" w:cs="仿宋"/>
          <w:color w:val="333333"/>
          <w:sz w:val="44"/>
          <w:szCs w:val="32"/>
        </w:rPr>
      </w:pPr>
      <w:r w:rsidRPr="00FA56C9">
        <w:rPr>
          <w:rFonts w:ascii="仿宋_GB2312" w:eastAsia="仿宋_GB2312" w:hAnsi="仿宋" w:cs="仿宋" w:hint="eastAsia"/>
          <w:color w:val="333333"/>
          <w:sz w:val="44"/>
          <w:szCs w:val="32"/>
        </w:rPr>
        <w:t>秦皇岛市北戴河区林业局2018年部门预算</w:t>
      </w:r>
    </w:p>
    <w:p w:rsidR="00FA56C9" w:rsidRDefault="00FA56C9" w:rsidP="00FA56C9">
      <w:pPr>
        <w:spacing w:after="0" w:line="600" w:lineRule="exact"/>
        <w:ind w:leftChars="-7" w:left="-15" w:firstLineChars="200" w:firstLine="640"/>
        <w:rPr>
          <w:rFonts w:ascii="仿宋_GB2312" w:eastAsia="仿宋_GB2312" w:hAnsi="仿宋"/>
          <w:sz w:val="32"/>
          <w:szCs w:val="32"/>
        </w:rPr>
      </w:pPr>
      <w:r>
        <w:rPr>
          <w:rFonts w:ascii="仿宋_GB2312" w:eastAsia="仿宋_GB2312" w:hAnsi="仿宋" w:hint="eastAsia"/>
          <w:sz w:val="32"/>
          <w:szCs w:val="32"/>
        </w:rPr>
        <w:t>按照《预算法》、《河北省预决算公开操作规程实施细则》和《秦皇岛市市级预算公开办法》规定，现将</w:t>
      </w:r>
      <w:r>
        <w:rPr>
          <w:rFonts w:ascii="仿宋_GB2312" w:eastAsia="仿宋_GB2312" w:hAnsi="仿宋_GB2312" w:cs="宋体" w:hint="eastAsia"/>
          <w:color w:val="333333"/>
          <w:sz w:val="32"/>
          <w:szCs w:val="32"/>
        </w:rPr>
        <w:t>北戴河区</w:t>
      </w:r>
      <w:r w:rsidRPr="004724EB">
        <w:rPr>
          <w:rFonts w:ascii="仿宋_GB2312" w:eastAsia="仿宋_GB2312" w:hAnsi="仿宋" w:cs="仿宋" w:hint="eastAsia"/>
          <w:color w:val="333333"/>
          <w:sz w:val="32"/>
          <w:szCs w:val="32"/>
        </w:rPr>
        <w:t>林业局</w:t>
      </w:r>
      <w:r>
        <w:rPr>
          <w:rFonts w:ascii="仿宋_GB2312" w:eastAsia="仿宋_GB2312" w:hAnsi="仿宋" w:hint="eastAsia"/>
          <w:sz w:val="32"/>
          <w:szCs w:val="32"/>
        </w:rPr>
        <w:t>2018年部门预算公开如下：</w:t>
      </w:r>
    </w:p>
    <w:p w:rsidR="00DE3883" w:rsidRPr="00FA56C9" w:rsidRDefault="00DE3883" w:rsidP="00FA56C9">
      <w:pPr>
        <w:adjustRightInd/>
        <w:snapToGrid/>
        <w:spacing w:after="0" w:line="600" w:lineRule="exact"/>
        <w:ind w:left="300" w:firstLine="480"/>
        <w:rPr>
          <w:rFonts w:ascii="黑体" w:eastAsia="黑体" w:hAnsi="黑体" w:cs="仿宋"/>
          <w:b/>
          <w:color w:val="333333"/>
          <w:sz w:val="32"/>
          <w:szCs w:val="32"/>
        </w:rPr>
      </w:pPr>
      <w:r w:rsidRPr="00FA56C9">
        <w:rPr>
          <w:rFonts w:ascii="黑体" w:eastAsia="黑体" w:hAnsi="黑体" w:cs="仿宋" w:hint="eastAsia"/>
          <w:b/>
          <w:color w:val="333333"/>
          <w:sz w:val="32"/>
          <w:szCs w:val="32"/>
        </w:rPr>
        <w:t>一、部门职责、机构设置等基本情况</w:t>
      </w:r>
    </w:p>
    <w:p w:rsidR="00DE3883" w:rsidRPr="004724EB" w:rsidRDefault="00DE3883"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部门职责：</w:t>
      </w:r>
    </w:p>
    <w:p w:rsidR="00DE3883" w:rsidRPr="004724EB" w:rsidRDefault="00DE3883" w:rsidP="004724EB">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（一）贯彻执行《中华人民共和国种子法》、《河北省实施&lt;中华人民共和国种子法&gt;办法》，负责造林、果树生产及果品安全、种苗、花卉、产业化、林业统计、林业技术推广、林业资源调查、规划、设计。</w:t>
      </w:r>
    </w:p>
    <w:p w:rsidR="00DE3883" w:rsidRPr="004724EB" w:rsidRDefault="00DE3883" w:rsidP="004724EB">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二）贯彻执行《中华人民共和国森林法》、《中华人民共和国野生动物保护法》、《中华人民共和国森林法实施条例》、《中华人民共和国野生植物保护条例》、《森林防火条例》、《城市绿化条例》，负责全区树木砍伐、移植、占用绿地、林地审核、审批，监督、检查、验收；林权证核发；野生动物经营加工许可证、野生动物驯养繁殖许可证审核发放工作；园林及林业行政</w:t>
      </w:r>
      <w:r w:rsidRPr="004724EB">
        <w:rPr>
          <w:rFonts w:ascii="仿宋_GB2312" w:eastAsia="仿宋_GB2312" w:hAnsi="仿宋" w:cs="仿宋" w:hint="eastAsia"/>
          <w:color w:val="333333"/>
          <w:sz w:val="32"/>
          <w:szCs w:val="32"/>
        </w:rPr>
        <w:lastRenderedPageBreak/>
        <w:t>案件查处；全区绿地、林地的监管工作；陆生野生动植物、湿地保护；全区森林防火组织协调工作，开展森林防火宣传教育，制定防火预案，实施森林火灾的预防与扑救工作。</w:t>
      </w:r>
    </w:p>
    <w:p w:rsidR="00DE3883" w:rsidRPr="004724EB" w:rsidRDefault="00DE3883" w:rsidP="004724EB">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（三）贯彻执行《植物检疫条例》和《森林病虫害条例》，负责全区园林、林业有害生物的测报、检疫、指导、监督等工作并组织、指导、协调重大和突发性有害生物的防治工作。</w:t>
      </w:r>
    </w:p>
    <w:p w:rsidR="00DE3883" w:rsidRPr="004724EB" w:rsidRDefault="00DE3883" w:rsidP="004724EB">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机构设置如下：</w:t>
      </w:r>
    </w:p>
    <w:p w:rsidR="00DE3883" w:rsidRPr="004724EB" w:rsidRDefault="00DE3883" w:rsidP="004724EB">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2018纳入本部门预算编制范围的独立核算单位共1个，单位名称秦皇岛市北戴河区林业局系全额事业单位，隶属于北戴河区政府，无下属单位。</w:t>
      </w:r>
    </w:p>
    <w:p w:rsidR="00FA56C9" w:rsidRPr="00FA56C9" w:rsidRDefault="00FA56C9" w:rsidP="00FA56C9">
      <w:pPr>
        <w:adjustRightInd/>
        <w:snapToGrid/>
        <w:spacing w:after="0" w:line="600" w:lineRule="exact"/>
        <w:ind w:left="300" w:firstLine="480"/>
        <w:rPr>
          <w:rFonts w:ascii="黑体" w:eastAsia="黑体" w:hAnsi="黑体" w:cs="仿宋"/>
          <w:b/>
          <w:color w:val="333333"/>
          <w:sz w:val="32"/>
          <w:szCs w:val="32"/>
        </w:rPr>
      </w:pPr>
      <w:r w:rsidRPr="00FA56C9">
        <w:rPr>
          <w:rFonts w:ascii="黑体" w:eastAsia="黑体" w:hAnsi="黑体" w:cs="仿宋" w:hint="eastAsia"/>
          <w:b/>
          <w:color w:val="333333"/>
          <w:sz w:val="32"/>
          <w:szCs w:val="32"/>
        </w:rPr>
        <w:t>二、部门预算安排的总体情况</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秦皇岛市北戴河区林业局的手指包含在部门预算中。</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1、收入说明</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2018年预算收入1707.61万元，其中：一般公共预算收入1707.61万元，事业收入0万元，其他收入0万元。</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2、支出说明</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lastRenderedPageBreak/>
        <w:t>2018年度预算总体安排1707.61万元。其中基本支出22.02万元，项目支出1685.59万元，项目支出包括：</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(1) 林果技术推广费5万元；</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(2) 古树名木保护1万元；</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(3) 果品安全监测费2万元；</w:t>
      </w:r>
    </w:p>
    <w:p w:rsidR="00FA56C9" w:rsidRPr="004724EB" w:rsidRDefault="00FA56C9" w:rsidP="00FA56C9">
      <w:pPr>
        <w:adjustRightInd/>
        <w:snapToGrid/>
        <w:spacing w:after="0" w:line="600" w:lineRule="exact"/>
        <w:ind w:firstLineChars="250" w:firstLine="80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（4）林业有害生物防治62万元；</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 xml:space="preserve">（5）2006年绿满北戴河造林土地补贴19.3万元； </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（6）2008年造林土地补贴12.24万元；</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（7）2009年造林土地补贴31.4万元；</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（8）2011年造林土地补贴45.37万元；</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（9）2012年造林土地补贴11.79万元；</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（10）2013年造林土地补贴8.08万元；</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（11）2014年造林土地补贴10.25万元；</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lastRenderedPageBreak/>
        <w:t>（12）3318环城造林土地补贴180.64万元；</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（13）牛头崖镇造林土地补贴26.84万元；</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（14）2016年造林土地补贴212.08万元；</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（15）2017年造林苗木及土地补贴477.6万元；</w:t>
      </w:r>
    </w:p>
    <w:p w:rsidR="00FA56C9" w:rsidRPr="004724EB" w:rsidRDefault="00FA56C9" w:rsidP="00FA56C9">
      <w:pPr>
        <w:numPr>
          <w:ilvl w:val="0"/>
          <w:numId w:val="1"/>
        </w:num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创建森林城项目资金20万元；</w:t>
      </w:r>
    </w:p>
    <w:p w:rsidR="00FA56C9" w:rsidRPr="004724EB" w:rsidRDefault="00FA56C9" w:rsidP="00FA56C9">
      <w:pPr>
        <w:numPr>
          <w:ilvl w:val="0"/>
          <w:numId w:val="1"/>
        </w:num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2018年造林土地补贴460万元；</w:t>
      </w:r>
    </w:p>
    <w:p w:rsidR="00FA56C9" w:rsidRPr="004724EB" w:rsidRDefault="00FA56C9" w:rsidP="00FA56C9">
      <w:pPr>
        <w:numPr>
          <w:ilvl w:val="0"/>
          <w:numId w:val="1"/>
        </w:num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2018年造林苗木费100万元</w:t>
      </w:r>
      <w:r>
        <w:rPr>
          <w:rFonts w:ascii="仿宋_GB2312" w:eastAsia="仿宋_GB2312" w:hAnsi="仿宋" w:cs="仿宋" w:hint="eastAsia"/>
          <w:color w:val="333333"/>
          <w:sz w:val="32"/>
          <w:szCs w:val="32"/>
        </w:rPr>
        <w:t>。</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3、比上年增减情况</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2018年预算收支安排1707.61万元，较去年预算增加了109.77</w:t>
      </w:r>
      <w:r w:rsidR="00DB2D94">
        <w:rPr>
          <w:rFonts w:ascii="仿宋_GB2312" w:eastAsia="仿宋_GB2312" w:hAnsi="仿宋" w:cs="仿宋" w:hint="eastAsia"/>
          <w:color w:val="333333"/>
          <w:sz w:val="32"/>
          <w:szCs w:val="32"/>
        </w:rPr>
        <w:t>万元，主要为造林苗木及补贴项目增加了109.77万元。</w:t>
      </w:r>
    </w:p>
    <w:p w:rsidR="00FA56C9" w:rsidRPr="00FA56C9" w:rsidRDefault="00FA56C9" w:rsidP="00FA56C9">
      <w:pPr>
        <w:adjustRightInd/>
        <w:snapToGrid/>
        <w:spacing w:after="0" w:line="600" w:lineRule="exact"/>
        <w:ind w:left="300" w:firstLine="480"/>
        <w:rPr>
          <w:rFonts w:ascii="黑体" w:eastAsia="黑体" w:hAnsi="黑体" w:cs="仿宋"/>
          <w:b/>
          <w:color w:val="333333"/>
          <w:sz w:val="32"/>
          <w:szCs w:val="32"/>
        </w:rPr>
      </w:pPr>
      <w:r w:rsidRPr="00FA56C9">
        <w:rPr>
          <w:rFonts w:ascii="黑体" w:eastAsia="黑体" w:hAnsi="黑体" w:cs="仿宋" w:hint="eastAsia"/>
          <w:b/>
          <w:color w:val="333333"/>
          <w:sz w:val="32"/>
          <w:szCs w:val="32"/>
        </w:rPr>
        <w:t>三、机关运行经费安排情况</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2018年秦皇岛市北戴河区林业局机关运行经费支出22.02万元，其中办公费0.45万元、福利费0.1万元、办公取暖费2.1万元、物业管理费1.8万元、公务用车运行维护费2.5万元。</w:t>
      </w:r>
    </w:p>
    <w:p w:rsidR="00FA56C9" w:rsidRPr="00FA56C9" w:rsidRDefault="00FA56C9" w:rsidP="00FA56C9">
      <w:pPr>
        <w:adjustRightInd/>
        <w:snapToGrid/>
        <w:spacing w:after="0" w:line="600" w:lineRule="exact"/>
        <w:ind w:left="300" w:firstLine="480"/>
        <w:rPr>
          <w:rFonts w:ascii="黑体" w:eastAsia="黑体" w:hAnsi="黑体" w:cs="仿宋"/>
          <w:b/>
          <w:color w:val="333333"/>
          <w:sz w:val="32"/>
          <w:szCs w:val="32"/>
        </w:rPr>
      </w:pPr>
      <w:r w:rsidRPr="00FA56C9">
        <w:rPr>
          <w:rFonts w:ascii="黑体" w:eastAsia="黑体" w:hAnsi="黑体" w:cs="仿宋" w:hint="eastAsia"/>
          <w:b/>
          <w:color w:val="333333"/>
          <w:sz w:val="32"/>
          <w:szCs w:val="32"/>
        </w:rPr>
        <w:lastRenderedPageBreak/>
        <w:t>四、财政拨款“三公”经费预算情况和增减变化原因</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秦皇岛市北戴河区林业局2018年度“三公”经费财政拨款支出预算为2.5万元，与上年度预算数持平。其中公务用车购置费我单位无此项支出，公务用车运行费支出2.5万元，占100%，公务接待费</w:t>
      </w:r>
      <w:r w:rsidR="00486752">
        <w:rPr>
          <w:rFonts w:ascii="仿宋_GB2312" w:eastAsia="仿宋_GB2312" w:hAnsi="仿宋" w:cs="仿宋" w:hint="eastAsia"/>
          <w:color w:val="333333"/>
          <w:sz w:val="32"/>
          <w:szCs w:val="32"/>
        </w:rPr>
        <w:t>、因公出国（境）费我部门</w:t>
      </w:r>
      <w:r w:rsidRPr="004724EB">
        <w:rPr>
          <w:rFonts w:ascii="仿宋_GB2312" w:eastAsia="仿宋_GB2312" w:hAnsi="仿宋" w:cs="仿宋" w:hint="eastAsia"/>
          <w:color w:val="333333"/>
          <w:sz w:val="32"/>
          <w:szCs w:val="32"/>
        </w:rPr>
        <w:t>无此项支出。</w:t>
      </w:r>
    </w:p>
    <w:p w:rsidR="00FA56C9" w:rsidRPr="004724EB" w:rsidRDefault="00FA56C9"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秦皇岛市北戴河区林业局2018年度“三公”经费预算严格落实事业单位厉行节约、反对浪费条例规定，加强支出管理，强化预算约束，节约经费开支；贯彻落实公务用车制度改革精神，降低公务用车运维费。</w:t>
      </w:r>
    </w:p>
    <w:p w:rsidR="00DE3883" w:rsidRPr="00FA56C9" w:rsidRDefault="00FA56C9" w:rsidP="004724EB">
      <w:pPr>
        <w:adjustRightInd/>
        <w:snapToGrid/>
        <w:spacing w:after="0" w:line="600" w:lineRule="exact"/>
        <w:ind w:left="300" w:firstLine="480"/>
        <w:rPr>
          <w:rFonts w:ascii="黑体" w:eastAsia="黑体" w:hAnsi="黑体" w:cs="仿宋"/>
          <w:b/>
          <w:color w:val="333333"/>
          <w:sz w:val="32"/>
          <w:szCs w:val="32"/>
        </w:rPr>
      </w:pPr>
      <w:r w:rsidRPr="00FA56C9">
        <w:rPr>
          <w:rFonts w:ascii="黑体" w:eastAsia="黑体" w:hAnsi="黑体" w:cs="仿宋" w:hint="eastAsia"/>
          <w:b/>
          <w:color w:val="333333"/>
          <w:sz w:val="32"/>
          <w:szCs w:val="32"/>
        </w:rPr>
        <w:t>五</w:t>
      </w:r>
      <w:r w:rsidR="00DE3883" w:rsidRPr="00FA56C9">
        <w:rPr>
          <w:rFonts w:ascii="黑体" w:eastAsia="黑体" w:hAnsi="黑体" w:cs="仿宋" w:hint="eastAsia"/>
          <w:b/>
          <w:color w:val="333333"/>
          <w:sz w:val="32"/>
          <w:szCs w:val="32"/>
        </w:rPr>
        <w:t>、绩效预算信息</w:t>
      </w:r>
    </w:p>
    <w:p w:rsidR="004724EB" w:rsidRDefault="004724EB" w:rsidP="004724EB">
      <w:pPr>
        <w:adjustRightInd/>
        <w:snapToGrid/>
        <w:spacing w:after="0" w:line="600" w:lineRule="exact"/>
        <w:ind w:left="300" w:firstLine="480"/>
        <w:rPr>
          <w:rFonts w:ascii="仿宋_GB2312" w:eastAsia="仿宋_GB2312" w:hAnsi="仿宋" w:cs="仿宋"/>
          <w:color w:val="333333"/>
          <w:sz w:val="32"/>
          <w:szCs w:val="32"/>
        </w:rPr>
      </w:pPr>
      <w:r>
        <w:rPr>
          <w:rFonts w:ascii="仿宋_GB2312" w:eastAsia="仿宋_GB2312" w:hAnsi="仿宋" w:cs="仿宋" w:hint="eastAsia"/>
          <w:color w:val="333333"/>
          <w:sz w:val="32"/>
          <w:szCs w:val="32"/>
        </w:rPr>
        <w:t>总体目标</w:t>
      </w:r>
    </w:p>
    <w:p w:rsidR="00DE3883" w:rsidRPr="004724EB" w:rsidRDefault="00DE3883" w:rsidP="004724EB">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一）2018年北戴河区计划造林5000亩，当年森林覆盖率将增长1.8%。主要在铁路、快速路等主要交通道路、河流两侧及村庄四周环村部位实施。2017年造林工作，将把林业建设与区域旅游结合起来，引导农户栽植效益较高的经济林，并按高标准观光、采摘园模式建园，组织有意愿和需要的农户，到附近较好的园子参观、学习成熟的经营经验，为农户提供信息资源保障。</w:t>
      </w:r>
    </w:p>
    <w:p w:rsidR="00DE3883" w:rsidRPr="004724EB" w:rsidRDefault="00DE3883" w:rsidP="004724EB">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lastRenderedPageBreak/>
        <w:t>（二）一是重点抓好松褐天牛、红脂大小蠹、美国白蛾、赤松毛虫、双条杉天牛等重大林业有害生物的监测调查。二是加强美国白蛾、日本松干蚧、油松枯梢病等主要林业有害生物防治工作。</w:t>
      </w:r>
    </w:p>
    <w:p w:rsidR="00DE3883" w:rsidRPr="004724EB" w:rsidRDefault="00DE3883" w:rsidP="004724EB">
      <w:pPr>
        <w:adjustRightInd/>
        <w:snapToGrid/>
        <w:spacing w:after="0" w:line="600" w:lineRule="exact"/>
        <w:ind w:firstLineChars="250" w:firstLine="80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三）按照《中华人民共和国食品安全法》、《中华人民共和国农业法》、《中华人民共和国农产品质量安全法》的规定，要求水果农药残留检测总合格率达98％以上果品标准化生产普及率达95％以上，确保群众的人身安全。全年计划抽检果品40批次，进行农药残留检测。</w:t>
      </w:r>
    </w:p>
    <w:p w:rsidR="00DE3883" w:rsidRDefault="00DE3883" w:rsidP="004724EB">
      <w:pPr>
        <w:adjustRightInd/>
        <w:snapToGrid/>
        <w:spacing w:after="0" w:line="600" w:lineRule="exact"/>
        <w:ind w:firstLineChars="250" w:firstLine="80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四）按照《中华人民共和国农业法》的规定，为促进全区林业、果品、花卉种苗产业的快速发展，区林业局的职能主要以提供林业技术指导、提供产前产后服务为主。引进更新果树优新品种、组织培训、参观示范园区、推广生物防治病虫害技术。</w:t>
      </w:r>
      <w:bookmarkStart w:id="0" w:name="_Toc476749157"/>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职责分类绩效目标：</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一、森防股主要职责</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根据《秦皇岛市人民政府办公厅关于印发秦皇岛市北戴河区园林管理局主要职责内设机构和人员编制规定的通知》相关规定及局内具体业务分工，森防股主要职责为：宣传贯彻《森林法》、</w:t>
      </w:r>
      <w:r w:rsidRPr="00370E00">
        <w:rPr>
          <w:rFonts w:ascii="仿宋_GB2312" w:eastAsia="仿宋_GB2312" w:hAnsi="仿宋" w:cs="仿宋" w:hint="eastAsia"/>
          <w:color w:val="333333"/>
          <w:sz w:val="32"/>
          <w:szCs w:val="32"/>
        </w:rPr>
        <w:lastRenderedPageBreak/>
        <w:t>《植物检疫条例》、《森林病虫害防治条例》及有关森防工作的方针政策。组织指导全区林业有害生物监测、防治及检疫工作，为林业生态发展和林产品生产提供公共支撑。具体职责如下：</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1、宣传贯彻国家和地方政府关于园林（林业）有害生物防治检疫的方针、政策和法规，在本区范围内依法开展园林（林业）有害生物预测预报、检疫、和除治工作，防止危险性林业有害生物的传播蔓延。</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2、负责本地区园林（林业）有害生物防治的组织管理工作和执行森林植物检疫任务。</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3、制定本地园林（林业）有害生物事件应急预案和处置办法，及时发布森防预警预报，并提出防治方案。</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4、制定监测预警和除治措施，提出防治经费预算，合理调配防治药剂、药械，协助防治单位做好除治技术指导。</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5、组织森林植物产地检疫、调运检疫、疫情普查，签发产地检疫合格证，指导种苗生产、培育无检疫对象种苗。</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lastRenderedPageBreak/>
        <w:t>6、受理森林植物检疫报检申请，依法检疫并签发《植物检疫证书》，开展证书信息网上传输业务，根据调入情况及时进行复检和补检工作。</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7、独立行使国家森防检疫职权，负责执行国家森林检疫任务，依法查处一切违反森防检疫法规的行政案件。</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8、负责全区林业有害生物和检疫对象的普查工作。</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9. 按时上报上级森防部门规定的有关图表、技术报告和工作总结。</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二、森防股岗位职责</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森防股共设 3 个岗位，分别是股长岗，检疫及防治岗、测报及内勤岗。各岗位具体职责如下：</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1股长岗：负责主持森防股全面工作。</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2检疫及防治岗：负责种苗产地检疫、调运植物检疫的组织与管理工作。负责管理和指导全区园林及林业病虫害防治工作。全区园林（林业）有害生物的防治及专项调查具体组织管理工作。负责制定防治技术方案、防治设计、技术指导、检查监督工作。</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lastRenderedPageBreak/>
        <w:t>3测报及内勤岗：负责全区园林（林业）有害生物的预测预报具体组织管理工作。负责全区测报规划、技术指导、检查监督工作。拟写病虫情分析报告，管理和指导全区的测报工作。负责区、乡、村测报三级网络建设工作和测报数据库的建立与维护，并及时向国家、省、市业务部门报送测报、防治网络数据。  负责撰写或收集森防稿件，并负责资料档案保管。负责森防站人员考勤工作。</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Pr>
          <w:rFonts w:ascii="仿宋_GB2312" w:eastAsia="仿宋_GB2312" w:hAnsi="仿宋" w:cs="仿宋" w:hint="eastAsia"/>
          <w:color w:val="333333"/>
          <w:sz w:val="32"/>
          <w:szCs w:val="32"/>
        </w:rPr>
        <w:t>三</w:t>
      </w:r>
      <w:r w:rsidRPr="00370E00">
        <w:rPr>
          <w:rFonts w:ascii="仿宋_GB2312" w:eastAsia="仿宋_GB2312" w:hAnsi="仿宋" w:cs="仿宋" w:hint="eastAsia"/>
          <w:color w:val="333333"/>
          <w:sz w:val="32"/>
          <w:szCs w:val="32"/>
        </w:rPr>
        <w:t>、林果股主要职责</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1、贯彻执行上级关于林业及其生态建设的方针、政策和法律法规；负责拟订、实施林业及生态建设的发展战略、中长期规划和年度生产计划；</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2、组织重点林业、果品、花卉建设项目的申报、实施、管理和监督；</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3、负责全区造林、村屯绿化、果树发展的组织发动与指导监督工作；组织或指导退耕还林、防沙治沙、防治水土流失、应对气候变化等工作;</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4、林、果、花标准化管理等工作；</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lastRenderedPageBreak/>
        <w:t>5、组织、指导公益林、商品林、林木种苗、花木培育、经济林培育管护工作，负责种苗、花卉、造林、营林质量管理；</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6、负责全区种苗管理工作；</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7、果品安全监督管理工作；</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8、组织、指导林业综合开发和低产林改造；</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9、协助、指导生物质能源基地建设和林业产业结构调整；</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10、农村造林、村屯绿化的工程设计；</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11、林、果、花新品种引进、试验、示范推广工作；</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12、开展培训技术咨询与服务，为林农、果农、花农提供产前、产中、产后服务。</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实现年度发展规划目标的保障措施</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1、加强领导，落实齐抓共管的工作机制</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建立健全林业和园林绿化建设目标责任制，明确各级政府是本地林业和园林绿化建设的责任主体，政府主要领导是林业和园林绿化建设的第一责任人，分管领导是主要责任人，各级园林林业部</w:t>
      </w:r>
      <w:r w:rsidRPr="00370E00">
        <w:rPr>
          <w:rFonts w:ascii="仿宋_GB2312" w:eastAsia="仿宋_GB2312" w:hAnsi="仿宋" w:cs="仿宋" w:hint="eastAsia"/>
          <w:color w:val="333333"/>
          <w:sz w:val="32"/>
          <w:szCs w:val="32"/>
        </w:rPr>
        <w:lastRenderedPageBreak/>
        <w:t>门是直接负责人，层层落实责任，严格目标管理考核。各园林林业部门要结合实际制定相应的实施意见和配套措施，切实做好本规划的落实工作，要按照职责分工，密切配合，通力协作，加大林业和园林绿化建设。</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2、广泛宣传，形成全民共建爱绿护绿意识</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要广泛运用各种新闻媒体，采取各种形式、手段，大力宣传中央园林（林业）工作会议和林业和园林绿化各项政策、法律、法规，积极倡导生态文明理念，引导社会力量共同参与，共同支持林业和园林绿化建设。继续深入开展全民义务植树活动，让全社会参与，逐步强化全区人民的生态安全意识、绿化美化意识，环境保护意识，形成全社会爱绿、植绿、护绿的良好氛围。围绕目标，在坚持政府主导的基础上，依靠体制改革和机制创新，通过创建省市级园林式单位、北戴河区优秀绿化庭院、小区、镇村的评比表彰等工作，充分调动社会和群众的积极性。</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3、严格执法，强化管养能力保护绿化成果</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重视和关心林业队伍建设，健全林业执法工作新秩序，保障法律的权威性和约束力；加强森林资源管理、种苗管理、森林病虫害管理、森林防火等执法工作，坚决防止和严格依法惩治乱挖乱</w:t>
      </w:r>
      <w:r w:rsidRPr="00370E00">
        <w:rPr>
          <w:rFonts w:ascii="仿宋_GB2312" w:eastAsia="仿宋_GB2312" w:hAnsi="仿宋" w:cs="仿宋" w:hint="eastAsia"/>
          <w:color w:val="333333"/>
          <w:sz w:val="32"/>
          <w:szCs w:val="32"/>
        </w:rPr>
        <w:lastRenderedPageBreak/>
        <w:t>占、乱砍滥伐等破坏生态环境等违法行为；开展专业培训和继续教育，加强现有专业技术人员的能力建设，全面提高绿化人力资源素质与能力。</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4、科教兴林，强化科技推进产业结构升级</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实施科教兴林、兴绿战略，以科研单位和大专院校为技术依托，开展相关项目课题研究和示范推广，认真搞好科技普及和技术培训，推进林业产业结构升级，努力提高林业和园林绿化科技创新能力。</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5、搞好服务，完善配套政策提供良好环境</w:t>
      </w:r>
    </w:p>
    <w:p w:rsidR="00370E00" w:rsidRPr="00370E00" w:rsidRDefault="00370E00" w:rsidP="00370E00">
      <w:pPr>
        <w:adjustRightInd/>
        <w:snapToGrid/>
        <w:spacing w:after="0" w:line="600" w:lineRule="exact"/>
        <w:ind w:firstLineChars="250" w:firstLine="800"/>
        <w:rPr>
          <w:rFonts w:ascii="仿宋_GB2312" w:eastAsia="仿宋_GB2312" w:hAnsi="仿宋" w:cs="仿宋"/>
          <w:color w:val="333333"/>
          <w:sz w:val="32"/>
          <w:szCs w:val="32"/>
        </w:rPr>
      </w:pPr>
      <w:r w:rsidRPr="00370E00">
        <w:rPr>
          <w:rFonts w:ascii="仿宋_GB2312" w:eastAsia="仿宋_GB2312" w:hAnsi="仿宋" w:cs="仿宋" w:hint="eastAsia"/>
          <w:color w:val="333333"/>
          <w:sz w:val="32"/>
          <w:szCs w:val="32"/>
        </w:rPr>
        <w:t>制定和完善发展林业相关配套政策，切实给农民提供良好的政策环境。放活经营，切实让农民在林地经营中得到实惠。搞好服务，切实为农民提供便捷的技术、信息、林地承包经营流转等服务。激发农民的生产积极性，促进农民发展林业。</w:t>
      </w:r>
    </w:p>
    <w:p w:rsidR="00370E00" w:rsidRPr="00370E00" w:rsidRDefault="00370E00" w:rsidP="00370E00">
      <w:pPr>
        <w:adjustRightInd/>
        <w:snapToGrid/>
        <w:spacing w:after="0" w:line="600" w:lineRule="exact"/>
        <w:ind w:firstLineChars="250" w:firstLine="800"/>
        <w:rPr>
          <w:rFonts w:ascii="仿宋_GB2312" w:eastAsia="仿宋_GB2312" w:hAnsi="宋体" w:cs="宋体"/>
          <w:sz w:val="24"/>
          <w:szCs w:val="24"/>
        </w:rPr>
      </w:pPr>
      <w:r w:rsidRPr="004724EB">
        <w:rPr>
          <w:rFonts w:ascii="仿宋_GB2312" w:eastAsia="仿宋_GB2312" w:hAnsi="仿宋" w:cs="仿宋" w:hint="eastAsia"/>
          <w:color w:val="333333"/>
          <w:sz w:val="32"/>
          <w:szCs w:val="32"/>
        </w:rPr>
        <w:t>部门职责-工作活动绩效目标</w:t>
      </w:r>
    </w:p>
    <w:p w:rsidR="00DE3883" w:rsidRPr="004724EB" w:rsidRDefault="00DE3883" w:rsidP="004724EB">
      <w:pPr>
        <w:adjustRightInd/>
        <w:snapToGrid/>
        <w:spacing w:after="0" w:line="600" w:lineRule="exact"/>
        <w:ind w:firstLineChars="250" w:firstLine="800"/>
        <w:jc w:val="center"/>
        <w:rPr>
          <w:rFonts w:ascii="仿宋_GB2312" w:eastAsia="仿宋_GB2312" w:hAnsi="宋体" w:cs="宋体"/>
          <w:sz w:val="24"/>
          <w:szCs w:val="24"/>
        </w:rPr>
      </w:pPr>
      <w:r w:rsidRPr="004724EB">
        <w:rPr>
          <w:rFonts w:ascii="仿宋_GB2312" w:eastAsia="仿宋_GB2312" w:hAnsi="仿宋" w:cs="仿宋" w:hint="eastAsia"/>
          <w:color w:val="333333"/>
          <w:sz w:val="32"/>
          <w:szCs w:val="32"/>
        </w:rPr>
        <w:t>部门职责-工作活动绩效目标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41"/>
        <w:gridCol w:w="1276"/>
        <w:gridCol w:w="2976"/>
        <w:gridCol w:w="2976"/>
        <w:gridCol w:w="1417"/>
        <w:gridCol w:w="737"/>
        <w:gridCol w:w="737"/>
        <w:gridCol w:w="737"/>
        <w:gridCol w:w="737"/>
      </w:tblGrid>
      <w:tr w:rsidR="00DE3883" w:rsidRPr="004724EB">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 xml:space="preserve">327林业局              </w:t>
            </w:r>
          </w:p>
        </w:tc>
        <w:tc>
          <w:tcPr>
            <w:tcW w:w="2948" w:type="dxa"/>
            <w:gridSpan w:val="4"/>
            <w:tcBorders>
              <w:top w:val="single" w:sz="6" w:space="0" w:color="FFFFFF"/>
              <w:left w:val="single" w:sz="6" w:space="0" w:color="FFFFFF"/>
              <w:right w:val="single" w:sz="6" w:space="0" w:color="FFFFFF"/>
            </w:tcBorders>
            <w:vAlign w:val="center"/>
          </w:tcPr>
          <w:p w:rsidR="00DE3883" w:rsidRPr="004724EB" w:rsidRDefault="00DE3883" w:rsidP="004724EB">
            <w:pPr>
              <w:spacing w:after="0"/>
              <w:jc w:val="right"/>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单位：万元</w:t>
            </w:r>
          </w:p>
        </w:tc>
      </w:tr>
      <w:tr w:rsidR="00DE3883" w:rsidRPr="004724EB">
        <w:trPr>
          <w:trHeight w:val="227"/>
          <w:tblHeader/>
          <w:jc w:val="center"/>
        </w:trPr>
        <w:tc>
          <w:tcPr>
            <w:tcW w:w="2341" w:type="dxa"/>
            <w:vMerge w:val="restart"/>
            <w:vAlign w:val="center"/>
          </w:tcPr>
          <w:p w:rsidR="00DE3883" w:rsidRPr="004724EB" w:rsidRDefault="00DE3883" w:rsidP="004724EB">
            <w:pPr>
              <w:spacing w:after="0"/>
              <w:jc w:val="center"/>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职责活动</w:t>
            </w:r>
          </w:p>
        </w:tc>
        <w:tc>
          <w:tcPr>
            <w:tcW w:w="1276" w:type="dxa"/>
            <w:vMerge w:val="restart"/>
            <w:vAlign w:val="center"/>
          </w:tcPr>
          <w:p w:rsidR="00DE3883" w:rsidRPr="004724EB" w:rsidRDefault="00DE3883" w:rsidP="004724EB">
            <w:pPr>
              <w:spacing w:after="0"/>
              <w:jc w:val="center"/>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年度预算数</w:t>
            </w:r>
          </w:p>
        </w:tc>
        <w:tc>
          <w:tcPr>
            <w:tcW w:w="2976" w:type="dxa"/>
            <w:vMerge w:val="restart"/>
            <w:vAlign w:val="center"/>
          </w:tcPr>
          <w:p w:rsidR="00DE3883" w:rsidRPr="004724EB" w:rsidRDefault="00DE3883" w:rsidP="004724EB">
            <w:pPr>
              <w:spacing w:after="0"/>
              <w:jc w:val="center"/>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内容描述</w:t>
            </w:r>
          </w:p>
        </w:tc>
        <w:tc>
          <w:tcPr>
            <w:tcW w:w="2976" w:type="dxa"/>
            <w:vMerge w:val="restart"/>
            <w:vAlign w:val="center"/>
          </w:tcPr>
          <w:p w:rsidR="00DE3883" w:rsidRPr="004724EB" w:rsidRDefault="00DE3883" w:rsidP="004724EB">
            <w:pPr>
              <w:spacing w:after="0"/>
              <w:jc w:val="center"/>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绩效目标</w:t>
            </w:r>
          </w:p>
        </w:tc>
        <w:tc>
          <w:tcPr>
            <w:tcW w:w="1417" w:type="dxa"/>
            <w:vMerge w:val="restart"/>
            <w:vAlign w:val="center"/>
          </w:tcPr>
          <w:p w:rsidR="00DE3883" w:rsidRPr="004724EB" w:rsidRDefault="00DE3883" w:rsidP="004724EB">
            <w:pPr>
              <w:spacing w:after="0"/>
              <w:jc w:val="center"/>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绩效指标</w:t>
            </w:r>
          </w:p>
        </w:tc>
        <w:tc>
          <w:tcPr>
            <w:tcW w:w="2948" w:type="dxa"/>
            <w:gridSpan w:val="4"/>
            <w:vAlign w:val="center"/>
          </w:tcPr>
          <w:p w:rsidR="00DE3883" w:rsidRPr="004724EB" w:rsidRDefault="00DE3883" w:rsidP="004724EB">
            <w:pPr>
              <w:spacing w:after="0"/>
              <w:jc w:val="center"/>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评价标准</w:t>
            </w:r>
          </w:p>
        </w:tc>
      </w:tr>
      <w:tr w:rsidR="00DE3883" w:rsidRPr="004724EB">
        <w:trPr>
          <w:trHeight w:val="227"/>
          <w:tblHeader/>
          <w:jc w:val="center"/>
        </w:trPr>
        <w:tc>
          <w:tcPr>
            <w:tcW w:w="2341" w:type="dxa"/>
            <w:vMerge/>
            <w:vAlign w:val="center"/>
          </w:tcPr>
          <w:p w:rsidR="00DE3883" w:rsidRPr="004724EB" w:rsidRDefault="00DE3883" w:rsidP="004724EB">
            <w:pPr>
              <w:spacing w:after="0"/>
              <w:outlineLvl w:val="0"/>
              <w:rPr>
                <w:rFonts w:asciiTheme="minorEastAsia" w:eastAsiaTheme="minorEastAsia" w:hAnsiTheme="minorEastAsia" w:cs="宋体"/>
                <w:sz w:val="24"/>
                <w:szCs w:val="24"/>
              </w:rPr>
            </w:pPr>
          </w:p>
        </w:tc>
        <w:tc>
          <w:tcPr>
            <w:tcW w:w="1276" w:type="dxa"/>
            <w:vMerge/>
            <w:vAlign w:val="center"/>
          </w:tcPr>
          <w:p w:rsidR="00DE3883" w:rsidRPr="004724EB" w:rsidRDefault="00DE3883" w:rsidP="004724EB">
            <w:pPr>
              <w:spacing w:after="0"/>
              <w:outlineLvl w:val="0"/>
              <w:rPr>
                <w:rFonts w:asciiTheme="minorEastAsia" w:eastAsiaTheme="minorEastAsia" w:hAnsiTheme="minorEastAsia" w:cs="宋体"/>
                <w:sz w:val="24"/>
                <w:szCs w:val="24"/>
              </w:rPr>
            </w:pPr>
          </w:p>
        </w:tc>
        <w:tc>
          <w:tcPr>
            <w:tcW w:w="2976" w:type="dxa"/>
            <w:vMerge/>
            <w:vAlign w:val="center"/>
          </w:tcPr>
          <w:p w:rsidR="00DE3883" w:rsidRPr="004724EB" w:rsidRDefault="00DE3883" w:rsidP="004724EB">
            <w:pPr>
              <w:spacing w:after="0"/>
              <w:outlineLvl w:val="0"/>
              <w:rPr>
                <w:rFonts w:asciiTheme="minorEastAsia" w:eastAsiaTheme="minorEastAsia" w:hAnsiTheme="minorEastAsia" w:cs="宋体"/>
                <w:sz w:val="24"/>
                <w:szCs w:val="24"/>
              </w:rPr>
            </w:pPr>
          </w:p>
        </w:tc>
        <w:tc>
          <w:tcPr>
            <w:tcW w:w="2976" w:type="dxa"/>
            <w:vMerge/>
            <w:vAlign w:val="center"/>
          </w:tcPr>
          <w:p w:rsidR="00DE3883" w:rsidRPr="004724EB" w:rsidRDefault="00DE3883" w:rsidP="004724EB">
            <w:pPr>
              <w:spacing w:after="0"/>
              <w:outlineLvl w:val="0"/>
              <w:rPr>
                <w:rFonts w:asciiTheme="minorEastAsia" w:eastAsiaTheme="minorEastAsia" w:hAnsiTheme="minorEastAsia" w:cs="宋体"/>
                <w:sz w:val="24"/>
                <w:szCs w:val="24"/>
              </w:rPr>
            </w:pPr>
          </w:p>
        </w:tc>
        <w:tc>
          <w:tcPr>
            <w:tcW w:w="1417" w:type="dxa"/>
            <w:vMerge/>
            <w:vAlign w:val="center"/>
          </w:tcPr>
          <w:p w:rsidR="00DE3883" w:rsidRPr="004724EB" w:rsidRDefault="00DE3883" w:rsidP="004724EB">
            <w:pPr>
              <w:spacing w:after="0"/>
              <w:outlineLvl w:val="0"/>
              <w:rPr>
                <w:rFonts w:asciiTheme="minorEastAsia" w:eastAsiaTheme="minorEastAsia" w:hAnsiTheme="minorEastAsia" w:cs="宋体"/>
                <w:sz w:val="24"/>
                <w:szCs w:val="24"/>
              </w:rPr>
            </w:pPr>
          </w:p>
        </w:tc>
        <w:tc>
          <w:tcPr>
            <w:tcW w:w="737" w:type="dxa"/>
            <w:vAlign w:val="center"/>
          </w:tcPr>
          <w:p w:rsidR="00DE3883" w:rsidRPr="004724EB" w:rsidRDefault="00DE3883" w:rsidP="004724EB">
            <w:pPr>
              <w:spacing w:after="0"/>
              <w:jc w:val="center"/>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优</w:t>
            </w:r>
          </w:p>
        </w:tc>
        <w:tc>
          <w:tcPr>
            <w:tcW w:w="737" w:type="dxa"/>
            <w:vAlign w:val="center"/>
          </w:tcPr>
          <w:p w:rsidR="00DE3883" w:rsidRPr="004724EB" w:rsidRDefault="00DE3883" w:rsidP="004724EB">
            <w:pPr>
              <w:spacing w:after="0"/>
              <w:jc w:val="center"/>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良</w:t>
            </w:r>
          </w:p>
        </w:tc>
        <w:tc>
          <w:tcPr>
            <w:tcW w:w="737" w:type="dxa"/>
            <w:vAlign w:val="center"/>
          </w:tcPr>
          <w:p w:rsidR="00DE3883" w:rsidRPr="004724EB" w:rsidRDefault="00DE3883" w:rsidP="004724EB">
            <w:pPr>
              <w:spacing w:after="0"/>
              <w:jc w:val="center"/>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中</w:t>
            </w:r>
          </w:p>
        </w:tc>
        <w:tc>
          <w:tcPr>
            <w:tcW w:w="737" w:type="dxa"/>
            <w:vAlign w:val="center"/>
          </w:tcPr>
          <w:p w:rsidR="00DE3883" w:rsidRPr="004724EB" w:rsidRDefault="00DE3883" w:rsidP="004724EB">
            <w:pPr>
              <w:spacing w:after="0"/>
              <w:jc w:val="center"/>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差</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lastRenderedPageBreak/>
              <w:t>一、林业生态建设</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557.99</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贯彻执行上级关于林业及其生态建设的方针、政策和法律法规；拟订、实施全区林业及生态建设的发展战略、中长期规划和年度生产计划；负责全区造林、村屯绿化的组织发动与指导监督工作；负责造林、营林质量管理。组织或指导退耕还林、防沙治沙、防治水土流失、应对气候变化等工作。加强国家公益林保护管理。</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完成国家下达和市委市政府制定的造林任务及全市森林覆盖率考核目标。有效改善生态环境。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森林覆盖率</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1、　2006年绿满北戴河造林土地补贴</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19.30</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对“绿满北戴河”活动实施的造林，验收合格的地块，在市政府每亩每年平均给予土地补贴150元的基础上，区委、区政府每亩每年再补贴250元，生态林连补20年。</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保存造林成果，提高全区绿化水平和森林覆盖率，改善生态环境。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保存造林面积482.4亩。</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2、2008年造林土地补贴</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12.24</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根据《中共北戴河区委 北戴河区人民政府关于印发&lt;北戴河区2008年度绿化实</w:t>
            </w:r>
            <w:r w:rsidRPr="004724EB">
              <w:rPr>
                <w:rFonts w:asciiTheme="minorEastAsia" w:eastAsiaTheme="minorEastAsia" w:hAnsiTheme="minorEastAsia" w:cs="宋体" w:hint="eastAsia"/>
                <w:sz w:val="24"/>
                <w:szCs w:val="24"/>
              </w:rPr>
              <w:lastRenderedPageBreak/>
              <w:t>施方案&gt;的通知》（北字[2008]4号）文件精神，对当年验收合格地块，造林补贴延续2006年“绿满北戴河”补贴标准。</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保存造林成果，提高全区绿化水平和森林覆盖率，改善生态环境。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保存造林面积305.84亩</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lastRenderedPageBreak/>
              <w:t>3、2009年造林土地补贴</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31.40</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为完成上级下达的造林任务，我区开展了沿海防护林造林工程，为保持造林绿化净化美化环境的效果，执行《北戴河区2009年农村造林实施细则》即北政[2009]8号文件补贴标准。</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保存造林成果，提高全区绿化水平和森林覆盖率，改善生态环境。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保存造林面积785亩。</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4、2011年造林土地补贴</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45.37</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为完成上级下达的造林任务，我区开展了沿海防护林造林工程，为保持造林绿化净化美化环境的效果，执行《北戴河区2010-2011年度造林绿化实施细则》北政办[2011]6号文件补贴标准。</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保存造林成果，提高全区绿化水平和森林覆盖率，改善生态环境。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保存造林面积1134.2亩。</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5、2012年造林土地补贴</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11.79</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为完成上级下达的造林任务，我区开展了沿海防护</w:t>
            </w:r>
            <w:r w:rsidRPr="004724EB">
              <w:rPr>
                <w:rFonts w:asciiTheme="minorEastAsia" w:eastAsiaTheme="minorEastAsia" w:hAnsiTheme="minorEastAsia" w:cs="宋体" w:hint="eastAsia"/>
                <w:sz w:val="24"/>
                <w:szCs w:val="24"/>
              </w:rPr>
              <w:lastRenderedPageBreak/>
              <w:t>林造林工程，为保持造林绿化净化美化环境的效果，执行《北戴河区2010-2011年度造林绿化实施细则》北政办[2011]6号文件补贴标准。</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保存造林成果，提高全区绿化水平和森林覆盖率，</w:t>
            </w:r>
            <w:r w:rsidRPr="004724EB">
              <w:rPr>
                <w:rFonts w:asciiTheme="minorEastAsia" w:eastAsiaTheme="minorEastAsia" w:hAnsiTheme="minorEastAsia" w:cs="宋体" w:hint="eastAsia"/>
                <w:sz w:val="24"/>
                <w:szCs w:val="24"/>
              </w:rPr>
              <w:lastRenderedPageBreak/>
              <w:t>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保存造林面积286亩。</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lastRenderedPageBreak/>
              <w:t xml:space="preserve">　6、2013年造林土地补贴</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8.08</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为完成上级下达的造林任务，我区开展了沿海防护林造林工程，为保持造林绿化净化美化环境的效果，执行《北戴河区2010-2011年度造林绿化实施细则》北政办[2011]6号文件补贴标准。</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保存造林成果，提高全区绿化水平和森林覆盖率，改善生态环境。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保存造林面积202亩。</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7、2014年造林土地补贴</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10.25</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为完成上级下达的造林任务，我区开展了沿海防护林造林工程，为鼓励农民的造林积极性，保持造林绿化净化美化环境的效果，执行《北戴河区2014年城乡增绿工程实施方案》北政办[2014]11号文件补贴政策。</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保存造林成果，提高全区绿化水平和森林覆盖率，改善生态环境。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保存造林面积256.1亩。</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lastRenderedPageBreak/>
              <w:t xml:space="preserve">　　8、“3318”环城造林土地补贴</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180.64</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为进一步巩固“3318”环城造林绿化成果，保持我区良好的生态环境和森林覆盖率指标，继续对环城绿化生态林执行区委、区政府制定《北戴河区环城绿化“3318”造林补贴办法》（北政[2010]5号）补贴标准。</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保存造林成果，提高全区绿化水平和森林覆盖率，改善生态环境。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保存造林面积4294.694亩。</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9、牛头崖镇造林土地补贴</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26.84</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按照2010年秦皇岛市造林绿化方案，实施了沿海高速、京沈高速绿化工程、沿海防护林工程。由于区划调整，牛头崖镇土地补贴费沿续当时市政府制定的补贴政策。</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保存造林成果，提高全区绿化水平和森林覆盖率，改善生态环境。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保存造林面积671亩。</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10、退耕还林</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按照规划和国家下达的年度计划，组织实施退耕还林、荒山荒地造林及巩固退耕成果等工程，兑现政策补助资金。</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保存造林成果，提高全区绿化水平和森林覆盖率，改善生态环境。提高森林质量，促进林业持续发展。</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保存造林面积83.485亩</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11、森林抚育</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组织全区对中幼龄林进行抚育作业，低质低效林改</w:t>
            </w:r>
            <w:r w:rsidRPr="004724EB">
              <w:rPr>
                <w:rFonts w:asciiTheme="minorEastAsia" w:eastAsiaTheme="minorEastAsia" w:hAnsiTheme="minorEastAsia" w:cs="宋体" w:hint="eastAsia"/>
                <w:sz w:val="24"/>
                <w:szCs w:val="24"/>
              </w:rPr>
              <w:lastRenderedPageBreak/>
              <w:t>造，更新造林。</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提高森林质量，促进林业持续发展。</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完成森林抚育任务</w:t>
            </w:r>
            <w:r w:rsidRPr="004724EB">
              <w:rPr>
                <w:rFonts w:asciiTheme="minorEastAsia" w:eastAsiaTheme="minorEastAsia" w:hAnsiTheme="minorEastAsia" w:cs="宋体" w:hint="eastAsia"/>
                <w:sz w:val="24"/>
                <w:szCs w:val="24"/>
              </w:rPr>
              <w:lastRenderedPageBreak/>
              <w:t>15000亩。</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lastRenderedPageBreak/>
              <w:t xml:space="preserve">　 12、防沙治沙</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组织实施全区防沙治沙、石漠化防治及沙化土地封禁保护区建设规划，监督沙化土地的合理利用.</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沙化土地得以治理，重点治理区生态状况明显改善。</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完成省和市委市政府下达的防沙治沙任务，对沙尘暴预测和应急处置。</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13、公益林管理</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加强对国家级公益林林权权利人和管护人员的指导、服务和检查，管好，用好国家级公益林森林生态效益补偿基金</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加强公益林的管理和保护，公益林面积不减少，长势良好。</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完成年度管理任务</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14、2016年造林土地补贴</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212.08</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按照市造林方案要求，我区计划造林3500亩，对当年验收合格地块，执行《北戴河区2010-2011年度造林绿化实施细则》北政办[2011]6号文件补贴标准。</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保存造林成果，提高全区绿化水平和森林覆盖率，改善生态环境。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保存造林面积5116亩。</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15、2016年造林苗木费</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按照市造林方案要求，我区计划造林3500亩，需采购造林苗木</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保存造林成果，提高全区绿化水平和森林覆盖率，改善生态环境。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保存造林面积5116亩。</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lastRenderedPageBreak/>
              <w:t>二、林果产业发展</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7.00</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扶持果品、苗木、花卉、经济林的标准化生产、管理和基地建设，推动果品、花卉的结构调整。指导全区林业产业相关工作，扶持林业企业发展；果品安全生产环节监督管理工作。</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推进林果产业标准化生产，改善品种，调整结构，提升品质和产量，提升经济效益。</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主要果品优质果率达到85%以上。</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98%及以上</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95%及以上</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95%及以下</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95%以下</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1、果品安全监管检测</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2.00</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实现上级提出的食品安全目标，本着从生产源头抓起，切实提升我区果品安全的总体水平，要求水果农药残留检测总合格率和果品标准化生产普及率达到政府规定指标，确保群众的人身安全。</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促进全区果品种植品种提档升级，全面提高果品质量安全水平。</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林果产品质量监督检测完成率</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98%及以上</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95%及以上</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95%及以下</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95%以下</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2、林果技术推广</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5.00</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促进全区林业、果品、花卉种苗产业的快速发展，提供林业技术指导,提供产前产后服务。</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发挥林业科技支撑作用，通过新技术成果的展示，辐射带动全区适宜区域的林果行业技术推广应用。</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新技术推广完成率</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98%及以上</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95%及以上</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95%及以下</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95%以下</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3、支持果品产业发展</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组织实施果品结构调整和基地建设，指导果品品种改良、品质提高和标准化</w:t>
            </w:r>
            <w:r w:rsidRPr="004724EB">
              <w:rPr>
                <w:rFonts w:asciiTheme="minorEastAsia" w:eastAsiaTheme="minorEastAsia" w:hAnsiTheme="minorEastAsia" w:cs="宋体" w:hint="eastAsia"/>
                <w:sz w:val="24"/>
                <w:szCs w:val="24"/>
              </w:rPr>
              <w:lastRenderedPageBreak/>
              <w:t>生产工作。</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促进全区果品种植品种提档升级，全面提高果品质量安全水平。</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林果产品质量监督检测完成率</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lastRenderedPageBreak/>
              <w:t xml:space="preserve">　4、支持苗木花卉产业发展</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改善苗木花卉产业生产基础设施条件，改变落后的生产方式和技术手段，培育和壮大龙头企业。</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提高我区苗木和花卉产业的整体水平</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推广新品种花卉种植比例。</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50%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40%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30%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20%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5、支持林业产业发展</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谋划林业产业政策，扶持林业重点企业和合作组织发展，加强木材行业管理，发展林下经济、森林旅游等。实施林业贷款贴息项目。</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提高我区林业产业的整体水平。</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新技术推广完成率</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98%以上</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95%以上</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90%以上</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90%以下</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6、林木良种繁育</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负责全区林木良种引种及林木种质资源管理。</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提高林木种苗质量，保障林木良种供应，加快林木良种推广步伐。</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完成年度林木良种培育任务。</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98%以上</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95%以上</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90%以上</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90%以下</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三、森防</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62.00</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 xml:space="preserve">宣传贯彻《森林法》、《植物检疫条例》、《森林病虫害防治条例》及有关森防工作的方针政策。组织指导全区林业有害生物防治及检疫工作，为林业生态发展和林产品生产提供公共支撑。  </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推广林业有害生物防治先进技术，提高林产品品质和经济效益，保护全区生态安全。</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全区林木有害生物成灾率</w:t>
            </w:r>
          </w:p>
          <w:p w:rsidR="00DE3883" w:rsidRPr="004724EB" w:rsidRDefault="00DE3883" w:rsidP="004724EB">
            <w:pPr>
              <w:spacing w:after="0"/>
              <w:rPr>
                <w:rFonts w:asciiTheme="minorEastAsia" w:eastAsiaTheme="minorEastAsia" w:hAnsiTheme="minorEastAsia" w:cs="宋体"/>
                <w:sz w:val="24"/>
                <w:szCs w:val="24"/>
              </w:rPr>
            </w:pP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≤1‰</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≤3‰</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≤4‰</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＞4‰</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1、林业有害生物</w:t>
            </w:r>
            <w:r w:rsidRPr="004724EB">
              <w:rPr>
                <w:rFonts w:asciiTheme="minorEastAsia" w:eastAsiaTheme="minorEastAsia" w:hAnsiTheme="minorEastAsia" w:cs="宋体" w:hint="eastAsia"/>
                <w:b/>
                <w:sz w:val="24"/>
                <w:szCs w:val="24"/>
              </w:rPr>
              <w:lastRenderedPageBreak/>
              <w:t>（含美国白蛾）综合防治及检疫</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62.00</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负责森林植物产地、调运</w:t>
            </w:r>
            <w:r w:rsidRPr="004724EB">
              <w:rPr>
                <w:rFonts w:asciiTheme="minorEastAsia" w:eastAsiaTheme="minorEastAsia" w:hAnsiTheme="minorEastAsia" w:cs="宋体" w:hint="eastAsia"/>
                <w:sz w:val="24"/>
                <w:szCs w:val="24"/>
              </w:rPr>
              <w:lastRenderedPageBreak/>
              <w:t>检疫及区内森林植物检疫对象的监测；负责林业有害生物的普查、测报和防治；推广林业有害生物防治技术，组织基层技术培训，进行行业指导及技术服务；完成上级批准的林业有害生物防治项目建设。</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林业有害生物灾害防治。</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全区有害生</w:t>
            </w:r>
            <w:r w:rsidRPr="004724EB">
              <w:rPr>
                <w:rFonts w:asciiTheme="minorEastAsia" w:eastAsiaTheme="minorEastAsia" w:hAnsiTheme="minorEastAsia" w:cs="宋体" w:hint="eastAsia"/>
                <w:sz w:val="24"/>
                <w:szCs w:val="24"/>
              </w:rPr>
              <w:lastRenderedPageBreak/>
              <w:t>物成灾率</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w:t>
            </w:r>
            <w:r w:rsidRPr="004724EB">
              <w:rPr>
                <w:rFonts w:asciiTheme="minorEastAsia" w:eastAsiaTheme="minorEastAsia" w:hAnsiTheme="minorEastAsia" w:cs="宋体" w:hint="eastAsia"/>
                <w:sz w:val="24"/>
                <w:szCs w:val="24"/>
              </w:rPr>
              <w:lastRenderedPageBreak/>
              <w:t>1‰</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w:t>
            </w:r>
            <w:r w:rsidRPr="004724EB">
              <w:rPr>
                <w:rFonts w:asciiTheme="minorEastAsia" w:eastAsiaTheme="minorEastAsia" w:hAnsiTheme="minorEastAsia" w:cs="宋体" w:hint="eastAsia"/>
                <w:sz w:val="24"/>
                <w:szCs w:val="24"/>
              </w:rPr>
              <w:lastRenderedPageBreak/>
              <w:t>3‰</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w:t>
            </w:r>
            <w:r w:rsidRPr="004724EB">
              <w:rPr>
                <w:rFonts w:asciiTheme="minorEastAsia" w:eastAsiaTheme="minorEastAsia" w:hAnsiTheme="minorEastAsia" w:cs="宋体" w:hint="eastAsia"/>
                <w:sz w:val="24"/>
                <w:szCs w:val="24"/>
              </w:rPr>
              <w:lastRenderedPageBreak/>
              <w:t>4‰</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w:t>
            </w:r>
            <w:r w:rsidRPr="004724EB">
              <w:rPr>
                <w:rFonts w:asciiTheme="minorEastAsia" w:eastAsiaTheme="minorEastAsia" w:hAnsiTheme="minorEastAsia" w:cs="宋体" w:hint="eastAsia"/>
                <w:sz w:val="24"/>
                <w:szCs w:val="24"/>
              </w:rPr>
              <w:lastRenderedPageBreak/>
              <w:t>4‰</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lastRenderedPageBreak/>
              <w:t>四、野生动植物保护及疫源疫病监控</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依法组织指导陆生野生动植物的救护繁育、栖息地恢复发展。依法组织指导全区陆生野生动物疫源疫病监测工作。</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加强野生动植物保护和陆生野生动物疫源疫病监测防控，保障生态安全。</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全区有害生物成灾率</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≤1‰</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≤3‰</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≤4‰</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＞4‰</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1、野生动植物保护及疫源疫病监控</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开展林业生物种质资源、转基因生物安全、植物新品种和生物多样性保护等工作。依法组织指导陆生野生动植物的救护繁育、栖息地恢复发展。依法组织指导全市陆生野生动物疫源疫病监测工作。</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野生动物疫源疫病监测防控。</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全区有害生物成灾率</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≤1‰</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≤3‰</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≤4‰</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＞4‰</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五、森林资源管理</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组织实施全市林权、森林</w:t>
            </w:r>
            <w:r w:rsidRPr="004724EB">
              <w:rPr>
                <w:rFonts w:asciiTheme="minorEastAsia" w:eastAsiaTheme="minorEastAsia" w:hAnsiTheme="minorEastAsia" w:cs="宋体" w:hint="eastAsia"/>
                <w:sz w:val="24"/>
                <w:szCs w:val="24"/>
              </w:rPr>
              <w:lastRenderedPageBreak/>
              <w:t>采伐限额管理，拟订林地保护利用规划并指导实施，依法承担林地征用、占用的初审工作。监督检查林木凭证采伐、运输。监管全市国有林业资产和森林资源资产。</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规范林地、林权和森林资</w:t>
            </w:r>
            <w:r w:rsidRPr="004724EB">
              <w:rPr>
                <w:rFonts w:asciiTheme="minorEastAsia" w:eastAsiaTheme="minorEastAsia" w:hAnsiTheme="minorEastAsia" w:cs="宋体" w:hint="eastAsia"/>
                <w:sz w:val="24"/>
                <w:szCs w:val="24"/>
              </w:rPr>
              <w:lastRenderedPageBreak/>
              <w:t>源管理，提高林业资源资产安全性、完整性和使用效益。</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组织实施全</w:t>
            </w:r>
            <w:r w:rsidRPr="004724EB">
              <w:rPr>
                <w:rFonts w:asciiTheme="minorEastAsia" w:eastAsiaTheme="minorEastAsia" w:hAnsiTheme="minorEastAsia" w:cs="宋体" w:hint="eastAsia"/>
                <w:sz w:val="24"/>
                <w:szCs w:val="24"/>
              </w:rPr>
              <w:lastRenderedPageBreak/>
              <w:t>区林权、森林采伐限额管理，依法承担林地征用、占用的初审工作。监督检查林木凭证采伐、运输、加工；木材经营加工审批及监管。监管全区国有林业资产和森林资源资产。</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95%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lastRenderedPageBreak/>
              <w:t xml:space="preserve">　　1、森林资源管理</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组织实施全区林权、森林采伐限额管理，依法承担林地征用、占用的初审工作。监督检查林木凭证采伐、运输、加工；木材经营加工审批及监管。监管全区国有林业资产和森林</w:t>
            </w:r>
            <w:r w:rsidRPr="004724EB">
              <w:rPr>
                <w:rFonts w:asciiTheme="minorEastAsia" w:eastAsiaTheme="minorEastAsia" w:hAnsiTheme="minorEastAsia" w:cs="宋体" w:hint="eastAsia"/>
                <w:sz w:val="24"/>
                <w:szCs w:val="24"/>
              </w:rPr>
              <w:lastRenderedPageBreak/>
              <w:t>资源资产。</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组织实施全区林权、森林采伐限额管理，依法承担林地征用、占用的初审工作。监督检查林木凭证采伐、运输、加工；木材经营加工审批及监管。监管全区国有林业资产和森林</w:t>
            </w:r>
            <w:r w:rsidRPr="004724EB">
              <w:rPr>
                <w:rFonts w:asciiTheme="minorEastAsia" w:eastAsiaTheme="minorEastAsia" w:hAnsiTheme="minorEastAsia" w:cs="宋体" w:hint="eastAsia"/>
                <w:sz w:val="24"/>
                <w:szCs w:val="24"/>
              </w:rPr>
              <w:lastRenderedPageBreak/>
              <w:t>资源资产。</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组织实施全区林权、森林采伐限额管理，依法承担林地征用、占用的初审工作。</w:t>
            </w:r>
            <w:r w:rsidRPr="004724EB">
              <w:rPr>
                <w:rFonts w:asciiTheme="minorEastAsia" w:eastAsiaTheme="minorEastAsia" w:hAnsiTheme="minorEastAsia" w:cs="宋体" w:hint="eastAsia"/>
                <w:sz w:val="24"/>
                <w:szCs w:val="24"/>
              </w:rPr>
              <w:lastRenderedPageBreak/>
              <w:t>监督检查林木凭证采伐、运输、加工；木材经营加工审批及监管。监管全区国有林业资产和森林资源资产。</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95%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lastRenderedPageBreak/>
              <w:t>六、湿地公园保护与建设</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组织实施监督和检查，组织开展森林资源、承担林业生态文明建设的有关工作。</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有效改善生态环境。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依法指导林业系统管理的森林、荒漠化和陆生野生动物类型、湿地类型等自然保护区以及湿地公园、保护小区的建设和管理，开展湿地保护与恢复，</w:t>
            </w:r>
            <w:r w:rsidRPr="004724EB">
              <w:rPr>
                <w:rFonts w:asciiTheme="minorEastAsia" w:eastAsiaTheme="minorEastAsia" w:hAnsiTheme="minorEastAsia" w:cs="宋体" w:hint="eastAsia"/>
                <w:sz w:val="24"/>
                <w:szCs w:val="24"/>
              </w:rPr>
              <w:lastRenderedPageBreak/>
              <w:t>监督湿地、森林公园合理利用。</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95%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lastRenderedPageBreak/>
              <w:t xml:space="preserve">　　1、湿地公园保护与建设</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依法指导林业系统管理的森林、荒漠化和陆生野生动物类型、湿地类型等自然保护区以及湿地公园、保护小区的建设和管理，开展湿地保护与恢复，监督湿地、森林公园合理利用。</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有效改善生态环境。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依法指导林业系统管理的森林、荒漠化和陆生野生动物类型、湿地类型等自然保护区以及湿地公园、保护小区的建设和管理，开展湿地保护与恢复，监督湿地、森林公园合理利用。</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七林政执法</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预防、制止和查处各类破坏森林和野生动植物资源的违法犯罪活动；依法查处各类林业行政案件；刑</w:t>
            </w:r>
            <w:r w:rsidRPr="004724EB">
              <w:rPr>
                <w:rFonts w:asciiTheme="minorEastAsia" w:eastAsiaTheme="minorEastAsia" w:hAnsiTheme="minorEastAsia" w:cs="宋体" w:hint="eastAsia"/>
                <w:sz w:val="24"/>
                <w:szCs w:val="24"/>
              </w:rPr>
              <w:lastRenderedPageBreak/>
              <w:t>事案件依法移交当地公安机关处理</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提高林业执法队伍素质，减少林区各类案件的发生、保护森林及野生动物资源</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林业行政案件查处能力得到加强</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lastRenderedPageBreak/>
              <w:t xml:space="preserve">　　1、林政执法</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预防、制止和查处各类破坏森林和野生动植物资源的违法犯罪活动；依法查处各类林业行政案件；刑事案件依法移交当地公安机关处理</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提高林业执法队伍素质，减少林区各类案件的发生、保护森林及野生动物资源</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林业行政案件查处能力得到加强</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八、行政审批</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依法依规履行林业行政审批工作。</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依法依规完成林业行政审批工作任务，确保行政审批正常运行，提高业务工作效率。</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依法依规严格按时限完成林业行政审批工作任务。</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1、行政审批</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bookmarkStart w:id="1" w:name="_GoBack"/>
            <w:bookmarkEnd w:id="1"/>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依法依规完成林木采伐、木材运输、木材经营加工、驯养繁殖野生动物、征占用林地、植物检疫、种子生产经营许可证等各项林业行政审批工作任务，确保行政审批正常运行，提高业务工作效率。</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保障全区林业事业健康科学持续发展</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依法依规严格按时限完成林业行政审批工作任务。</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九、古树名木保护工作</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21.00</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组织开展古树名木的普查、档案管理、宣传、保</w:t>
            </w:r>
            <w:r w:rsidRPr="004724EB">
              <w:rPr>
                <w:rFonts w:asciiTheme="minorEastAsia" w:eastAsiaTheme="minorEastAsia" w:hAnsiTheme="minorEastAsia" w:cs="宋体" w:hint="eastAsia"/>
                <w:sz w:val="24"/>
                <w:szCs w:val="24"/>
              </w:rPr>
              <w:lastRenderedPageBreak/>
              <w:t>护复壮工作。</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加大古树名木宣传力度、采取保护复壮措施，保护</w:t>
            </w:r>
            <w:r w:rsidRPr="004724EB">
              <w:rPr>
                <w:rFonts w:asciiTheme="minorEastAsia" w:eastAsiaTheme="minorEastAsia" w:hAnsiTheme="minorEastAsia" w:cs="宋体" w:hint="eastAsia"/>
                <w:sz w:val="24"/>
                <w:szCs w:val="24"/>
              </w:rPr>
              <w:lastRenderedPageBreak/>
              <w:t>好北戴河区古树名木资源。</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古树名木保护、复壮情</w:t>
            </w:r>
            <w:r w:rsidRPr="004724EB">
              <w:rPr>
                <w:rFonts w:asciiTheme="minorEastAsia" w:eastAsiaTheme="minorEastAsia" w:hAnsiTheme="minorEastAsia" w:cs="宋体" w:hint="eastAsia"/>
                <w:sz w:val="24"/>
                <w:szCs w:val="24"/>
              </w:rPr>
              <w:lastRenderedPageBreak/>
              <w:t>况</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95%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lastRenderedPageBreak/>
              <w:t xml:space="preserve">　　1、古树名木保护</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21.00</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制定古树名木保护方案，管理古树名木档案，宣传保护古树名木的意义（古树名木是宝贵的自然资源和活的文物，保护好古树名木对于科学研究和园林事业具有重要意义），对濒危及长势较差的古树名木采取保护措施。</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通过古树名木普查工作，使古树名木档案资料得到进一步完善更新；对部分衰弱古树名木采取修剪、打药、施肥等复壮措施，使我区古树名木健康生长，古树名木资源得到有效保护。</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古树名木档案管理情况</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100%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85%</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十、森林防火</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贯彻执行各级森林防火方针政策和法律法规，开展防火项目和基础设施建设，制定火灾应急预案，组织、协调、指导全区森林火灾的预防与扑救工作，承担区森林防火指挥部办公室具体工作。</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预防和减少森林火灾对森林资源的损失，保护森林资源。</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火灾发生率(％)</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＜0.3‰</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＜0.6‰</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＜0.9‰</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＞0.9‰</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1、联峰山等国有林区森林防火</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负责森林消防专业队伍建设与管理；制定森林火灾扑救预案和森林防火措施，指挥扑救森林火灾；</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预防和减少森林火灾对森林资源的损失，保护森林资源。</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火灾发生率(％)</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＜0.3‰</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＜0.6‰</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＜0.9‰</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＞0.9‰</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lastRenderedPageBreak/>
              <w:t>十一、2017年造林土地补贴</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477.6</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贯彻执行上级关于林业及其生态建设的方针、政策和法律法规；拟订、实施全区林业及生态建设的发展战略、中长期规划和年度生产计划；负责全区造林、村屯绿化的组织发动与指导监督工作；负责造林、营林质量管理。</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完成国家下达和市委市政府制定的造林任务及全市森林覆盖率考核目标。有效改善生态环境。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造林合格面积</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1、2017年造林土地补贴</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477.6</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按照《北戴河区2017年植树造林工程实施方案》，计划造林15000亩，对当年验收合格地块，按照方案补贴标准，予以土地补贴。</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完成年度造林目标，提高全区绿化水平和森林覆盖率，改善生态环境。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造林合格面积</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十二、2017年造林苗木</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贯彻执行上级关于林业及其生态建设的方针、政策和法律法规；拟订、实施全区林业及生态建设的发展战略、中长期规划和年度生产计划；负责全区造林、村屯绿化的组织发动与指导监督工作；负责造</w:t>
            </w:r>
            <w:r w:rsidRPr="004724EB">
              <w:rPr>
                <w:rFonts w:asciiTheme="minorEastAsia" w:eastAsiaTheme="minorEastAsia" w:hAnsiTheme="minorEastAsia" w:cs="宋体" w:hint="eastAsia"/>
                <w:sz w:val="24"/>
                <w:szCs w:val="24"/>
              </w:rPr>
              <w:lastRenderedPageBreak/>
              <w:t>林、营林质量管理。</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完成国家下达和市委市政府制定的造林任务及全市森林覆盖率考核目标。有效改善生态环境。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保存造林面积</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lastRenderedPageBreak/>
              <w:t xml:space="preserve">　　1、2017年造林苗木</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1000.00</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按照《北戴河区2017年植树造林工程实施方案》，计划造林15000亩，需采购苗木。</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完成年度造林目标，提高全区绿化水平和森林覆盖率，改善生态环境。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造林苗木</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70%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60%</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十三、2018年造林土地补贴</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460.00</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贯彻执行上级关于林业及其生态建设的方针、政策和法律法规；拟订、实施全区林业及生态建设的发展战略、中长期规划和年度生产计划；负责全区造林、村屯绿化的组织发动与指导监督工作；负责造林、营林质量管理。</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完成国家下达和市委市政府制定的造林任务及全市森林覆盖率考核目标。有效改善生态环境。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完成造林面积1500亩。</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100%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85%</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1、2018年造林土地补贴</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460.00</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按照《北戴河区今秋明春造林计划汇报》（2017年8月31日稿），我区计划完成造林1500亩，为鼓励农民的造林积极性，按照《北戴河区2017年度植树造林工程实施方案》文件有关补贴的规定，给予奖补资金，生态林连补20</w:t>
            </w:r>
            <w:r w:rsidRPr="004724EB">
              <w:rPr>
                <w:rFonts w:asciiTheme="minorEastAsia" w:eastAsiaTheme="minorEastAsia" w:hAnsiTheme="minorEastAsia" w:cs="宋体" w:hint="eastAsia"/>
                <w:sz w:val="24"/>
                <w:szCs w:val="24"/>
              </w:rPr>
              <w:lastRenderedPageBreak/>
              <w:t>年，经济林连补7年,另外，对公司或大户流转土地进行规模造林，前五年区政府根据一次性流转土地数量给予相应奖励。</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保存造林成果，提高全区绿化水平和森林覆盖率，改善生态环境。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完成造林面积1500亩。</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100%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85%</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lastRenderedPageBreak/>
              <w:t>十四、2018年造林苗木</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100.00</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贯彻执行上级关于林业及其生态建设的方针、政策和法律法规；拟订、实施全区林业及生态建设的发展战略、中长期规划和年度生产计划；负责全区造林、村屯绿化的组织发动与指导监督工作；负责造林、营林质量管理。</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保存造林成果，提高全区绿化水平和森林覆盖率，改善生态环境。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完成造林面积1500亩。</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100%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85%</w:t>
            </w:r>
          </w:p>
        </w:tc>
      </w:tr>
      <w:tr w:rsidR="00DE3883" w:rsidRPr="004724EB">
        <w:trPr>
          <w:trHeight w:val="227"/>
          <w:jc w:val="center"/>
        </w:trPr>
        <w:tc>
          <w:tcPr>
            <w:tcW w:w="2341" w:type="dxa"/>
            <w:vAlign w:val="center"/>
          </w:tcPr>
          <w:p w:rsidR="00DE3883" w:rsidRPr="004724EB" w:rsidRDefault="00DE3883" w:rsidP="004724EB">
            <w:pPr>
              <w:spacing w:after="0"/>
              <w:rPr>
                <w:rFonts w:asciiTheme="minorEastAsia" w:eastAsiaTheme="minorEastAsia" w:hAnsiTheme="minorEastAsia" w:cs="宋体"/>
                <w:b/>
                <w:sz w:val="24"/>
                <w:szCs w:val="24"/>
              </w:rPr>
            </w:pPr>
            <w:r w:rsidRPr="004724EB">
              <w:rPr>
                <w:rFonts w:asciiTheme="minorEastAsia" w:eastAsiaTheme="minorEastAsia" w:hAnsiTheme="minorEastAsia" w:cs="宋体" w:hint="eastAsia"/>
                <w:b/>
                <w:sz w:val="24"/>
                <w:szCs w:val="24"/>
              </w:rPr>
              <w:t xml:space="preserve">　　1、2018年造林苗木费</w:t>
            </w:r>
          </w:p>
        </w:tc>
        <w:tc>
          <w:tcPr>
            <w:tcW w:w="12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100.00</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按照《北戴河区今秋明春造林计划汇报》（2017年8月31日稿），我区计划完成造林1500亩，为鼓励农民的造林积极性，按照《北戴河区2017年度植树造林工程实施方案》文件有关补贴的规定，给予奖补资金，生态林连补20</w:t>
            </w:r>
            <w:r w:rsidRPr="004724EB">
              <w:rPr>
                <w:rFonts w:asciiTheme="minorEastAsia" w:eastAsiaTheme="minorEastAsia" w:hAnsiTheme="minorEastAsia" w:cs="宋体" w:hint="eastAsia"/>
                <w:sz w:val="24"/>
                <w:szCs w:val="24"/>
              </w:rPr>
              <w:lastRenderedPageBreak/>
              <w:t>年，经济林连补7年,另外，对公司或大户流转土地进行规模造林，前五年区政府根据一次性流转土地数量给予相应奖励。</w:t>
            </w:r>
          </w:p>
        </w:tc>
        <w:tc>
          <w:tcPr>
            <w:tcW w:w="2976"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lastRenderedPageBreak/>
              <w:t>保存造林成果，提高全区绿化水平和森林覆盖率，改善生态环境。</w:t>
            </w:r>
          </w:p>
        </w:tc>
        <w:tc>
          <w:tcPr>
            <w:tcW w:w="1417" w:type="dxa"/>
            <w:vAlign w:val="center"/>
          </w:tcPr>
          <w:p w:rsidR="00DE3883" w:rsidRPr="004724EB" w:rsidRDefault="00DE3883" w:rsidP="004724EB">
            <w:pPr>
              <w:spacing w:after="0"/>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完成造林面积1500亩。</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100%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95%</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90%</w:t>
            </w:r>
          </w:p>
        </w:tc>
        <w:tc>
          <w:tcPr>
            <w:tcW w:w="737" w:type="dxa"/>
            <w:vAlign w:val="center"/>
          </w:tcPr>
          <w:p w:rsidR="00DE3883" w:rsidRPr="004724EB" w:rsidRDefault="00DE3883" w:rsidP="004724EB">
            <w:pPr>
              <w:spacing w:after="0"/>
              <w:jc w:val="center"/>
              <w:rPr>
                <w:rFonts w:asciiTheme="minorEastAsia" w:eastAsiaTheme="minorEastAsia" w:hAnsiTheme="minorEastAsia" w:cs="宋体"/>
                <w:sz w:val="24"/>
                <w:szCs w:val="24"/>
              </w:rPr>
            </w:pPr>
            <w:r w:rsidRPr="004724EB">
              <w:rPr>
                <w:rFonts w:asciiTheme="minorEastAsia" w:eastAsiaTheme="minorEastAsia" w:hAnsiTheme="minorEastAsia" w:cs="宋体" w:hint="eastAsia"/>
                <w:sz w:val="24"/>
                <w:szCs w:val="24"/>
              </w:rPr>
              <w:t>85%</w:t>
            </w:r>
          </w:p>
        </w:tc>
      </w:tr>
    </w:tbl>
    <w:p w:rsidR="00370E00" w:rsidRDefault="00370E00" w:rsidP="004724EB">
      <w:pPr>
        <w:spacing w:after="0" w:line="600" w:lineRule="exact"/>
        <w:outlineLvl w:val="0"/>
        <w:rPr>
          <w:rFonts w:ascii="仿宋_GB2312" w:eastAsia="仿宋_GB2312" w:hAnsi="黑体" w:cs="宋体"/>
          <w:sz w:val="32"/>
          <w:szCs w:val="32"/>
        </w:rPr>
      </w:pPr>
      <w:r w:rsidRPr="003E227A">
        <w:rPr>
          <w:rFonts w:ascii="仿宋_GB2312" w:eastAsia="仿宋_GB2312" w:hAnsi="黑体" w:cs="宋体" w:hint="eastAsia"/>
          <w:sz w:val="32"/>
          <w:szCs w:val="32"/>
        </w:rPr>
        <w:lastRenderedPageBreak/>
        <w:t>备注：表中的年度预算数为项目支出，部门工作活动虽未安排项目支出，但由基本支出保障，由于基本支出无法拆分到相应的工作活动，因此部分工作活动没有列示年度预算数。</w:t>
      </w:r>
    </w:p>
    <w:p w:rsidR="00DE3883" w:rsidRPr="00FA56C9" w:rsidRDefault="00FA56C9" w:rsidP="00FA56C9">
      <w:pPr>
        <w:adjustRightInd/>
        <w:snapToGrid/>
        <w:spacing w:after="0" w:line="600" w:lineRule="exact"/>
        <w:ind w:left="300" w:firstLine="480"/>
        <w:rPr>
          <w:rFonts w:ascii="黑体" w:eastAsia="黑体" w:hAnsi="黑体" w:cs="仿宋"/>
          <w:b/>
          <w:color w:val="333333"/>
          <w:sz w:val="32"/>
          <w:szCs w:val="32"/>
        </w:rPr>
      </w:pPr>
      <w:r w:rsidRPr="00FA56C9">
        <w:rPr>
          <w:rFonts w:ascii="黑体" w:eastAsia="黑体" w:hAnsi="黑体" w:cs="仿宋" w:hint="eastAsia"/>
          <w:b/>
          <w:color w:val="333333"/>
          <w:sz w:val="32"/>
          <w:szCs w:val="32"/>
        </w:rPr>
        <w:t>六</w:t>
      </w:r>
      <w:r w:rsidR="00DE3883" w:rsidRPr="00FA56C9">
        <w:rPr>
          <w:rFonts w:ascii="黑体" w:eastAsia="黑体" w:hAnsi="黑体" w:cs="仿宋" w:hint="eastAsia"/>
          <w:b/>
          <w:color w:val="333333"/>
          <w:sz w:val="32"/>
          <w:szCs w:val="32"/>
        </w:rPr>
        <w:t>、</w:t>
      </w:r>
      <w:r w:rsidRPr="00FA56C9">
        <w:rPr>
          <w:rFonts w:ascii="黑体" w:eastAsia="黑体" w:hAnsi="黑体" w:cs="仿宋" w:hint="eastAsia"/>
          <w:b/>
          <w:color w:val="333333"/>
          <w:sz w:val="32"/>
          <w:szCs w:val="32"/>
        </w:rPr>
        <w:t>政府采购预算情况</w:t>
      </w:r>
    </w:p>
    <w:p w:rsidR="00DE3883" w:rsidRDefault="00DE3883" w:rsidP="004724EB">
      <w:pPr>
        <w:adjustRightInd/>
        <w:snapToGrid/>
        <w:spacing w:after="0" w:line="600" w:lineRule="exact"/>
        <w:ind w:left="300" w:firstLine="482"/>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我部门年初没有政府采购预算。</w:t>
      </w:r>
      <w:r w:rsidR="001218E4">
        <w:rPr>
          <w:rFonts w:ascii="仿宋_GB2312" w:eastAsia="仿宋_GB2312" w:hAnsi="仿宋" w:cs="仿宋" w:hint="eastAsia"/>
          <w:color w:val="333333"/>
          <w:sz w:val="32"/>
          <w:szCs w:val="32"/>
        </w:rPr>
        <w:t>以空表列示说明。</w:t>
      </w:r>
    </w:p>
    <w:p w:rsidR="00530E6E" w:rsidRDefault="00530E6E" w:rsidP="00530E6E">
      <w:pPr>
        <w:jc w:val="center"/>
        <w:outlineLvl w:val="0"/>
        <w:rPr>
          <w:rFonts w:ascii="方正小标宋_GBK" w:eastAsia="方正小标宋_GBK"/>
          <w:sz w:val="32"/>
        </w:rPr>
      </w:pPr>
      <w:r>
        <w:rPr>
          <w:rFonts w:ascii="方正小标宋_GBK" w:eastAsia="方正小标宋_GBK" w:hint="eastAsia"/>
          <w:sz w:val="32"/>
        </w:rPr>
        <w:t>部门政府采购预算</w:t>
      </w:r>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309"/>
        <w:gridCol w:w="1037"/>
        <w:gridCol w:w="919"/>
        <w:gridCol w:w="930"/>
        <w:gridCol w:w="718"/>
        <w:gridCol w:w="718"/>
        <w:gridCol w:w="800"/>
        <w:gridCol w:w="908"/>
        <w:gridCol w:w="908"/>
        <w:gridCol w:w="908"/>
        <w:gridCol w:w="908"/>
        <w:gridCol w:w="910"/>
        <w:gridCol w:w="910"/>
        <w:gridCol w:w="869"/>
      </w:tblGrid>
      <w:tr w:rsidR="00530E6E" w:rsidTr="00530E6E">
        <w:trPr>
          <w:tblHeader/>
          <w:jc w:val="center"/>
        </w:trPr>
        <w:tc>
          <w:tcPr>
            <w:tcW w:w="2702" w:type="pct"/>
            <w:gridSpan w:val="7"/>
            <w:tcBorders>
              <w:top w:val="single" w:sz="6" w:space="0" w:color="FFFFFF"/>
              <w:left w:val="single" w:sz="6" w:space="0" w:color="FFFFFF"/>
              <w:bottom w:val="single" w:sz="6" w:space="0" w:color="000000"/>
              <w:right w:val="single" w:sz="6" w:space="0" w:color="FFFFFF"/>
            </w:tcBorders>
            <w:vAlign w:val="center"/>
            <w:hideMark/>
          </w:tcPr>
          <w:p w:rsidR="00530E6E" w:rsidRDefault="00530E6E">
            <w:pPr>
              <w:widowControl w:val="0"/>
              <w:spacing w:line="300" w:lineRule="exact"/>
              <w:jc w:val="both"/>
              <w:rPr>
                <w:rFonts w:ascii="方正小标宋_GBK" w:hAnsi="Calibri"/>
                <w:kern w:val="2"/>
                <w:sz w:val="21"/>
                <w:szCs w:val="24"/>
              </w:rPr>
            </w:pPr>
            <w:r w:rsidRPr="00530E6E">
              <w:rPr>
                <w:rFonts w:ascii="方正小标宋_GBK" w:hint="eastAsia"/>
              </w:rPr>
              <w:t>327</w:t>
            </w:r>
            <w:r w:rsidRPr="00530E6E">
              <w:rPr>
                <w:rFonts w:ascii="方正小标宋_GBK" w:hint="eastAsia"/>
              </w:rPr>
              <w:t>林业</w:t>
            </w:r>
          </w:p>
        </w:tc>
        <w:tc>
          <w:tcPr>
            <w:tcW w:w="2298" w:type="pct"/>
            <w:gridSpan w:val="7"/>
            <w:tcBorders>
              <w:top w:val="single" w:sz="6" w:space="0" w:color="FFFFFF"/>
              <w:left w:val="single" w:sz="6" w:space="0" w:color="FFFFFF"/>
              <w:bottom w:val="single" w:sz="6" w:space="0" w:color="000000"/>
              <w:right w:val="single" w:sz="6" w:space="0" w:color="FFFFFF"/>
            </w:tcBorders>
            <w:vAlign w:val="center"/>
            <w:hideMark/>
          </w:tcPr>
          <w:p w:rsidR="00530E6E" w:rsidRDefault="00530E6E">
            <w:pPr>
              <w:widowControl w:val="0"/>
              <w:spacing w:line="300" w:lineRule="exact"/>
              <w:jc w:val="right"/>
              <w:rPr>
                <w:rFonts w:ascii="方正书宋_GBK" w:eastAsia="方正书宋_GBK" w:hAnsi="Calibri"/>
                <w:kern w:val="2"/>
                <w:sz w:val="21"/>
                <w:szCs w:val="24"/>
              </w:rPr>
            </w:pPr>
            <w:r>
              <w:rPr>
                <w:rFonts w:ascii="方正书宋_GBK" w:eastAsia="方正书宋_GBK" w:hint="eastAsia"/>
              </w:rPr>
              <w:t>单位：万元</w:t>
            </w:r>
          </w:p>
        </w:tc>
      </w:tr>
      <w:tr w:rsidR="00530E6E" w:rsidTr="00530E6E">
        <w:trPr>
          <w:tblHeader/>
          <w:jc w:val="center"/>
        </w:trPr>
        <w:tc>
          <w:tcPr>
            <w:tcW w:w="1217" w:type="pct"/>
            <w:gridSpan w:val="2"/>
            <w:tcBorders>
              <w:top w:val="single" w:sz="6" w:space="0" w:color="000000"/>
              <w:left w:val="single" w:sz="6" w:space="0" w:color="000000"/>
              <w:bottom w:val="single" w:sz="6" w:space="0" w:color="000000"/>
              <w:right w:val="single" w:sz="6" w:space="0" w:color="000000"/>
            </w:tcBorders>
            <w:vAlign w:val="center"/>
            <w:hideMark/>
          </w:tcPr>
          <w:p w:rsidR="00530E6E" w:rsidRDefault="00530E6E">
            <w:pPr>
              <w:widowControl w:val="0"/>
              <w:spacing w:line="300" w:lineRule="exact"/>
              <w:jc w:val="center"/>
              <w:rPr>
                <w:rFonts w:ascii="方正书宋_GBK" w:eastAsia="方正书宋_GBK" w:hAnsi="Calibri"/>
                <w:b/>
                <w:kern w:val="2"/>
                <w:sz w:val="21"/>
                <w:szCs w:val="24"/>
              </w:rPr>
            </w:pPr>
            <w:r>
              <w:rPr>
                <w:rFonts w:ascii="方正书宋_GBK" w:eastAsia="方正书宋_GBK" w:hint="eastAsia"/>
                <w:b/>
              </w:rPr>
              <w:t>政府采购项目来源</w:t>
            </w:r>
          </w:p>
        </w:tc>
        <w:tc>
          <w:tcPr>
            <w:tcW w:w="334" w:type="pct"/>
            <w:vMerge w:val="restart"/>
            <w:tcBorders>
              <w:top w:val="single" w:sz="6" w:space="0" w:color="000000"/>
              <w:left w:val="single" w:sz="6" w:space="0" w:color="000000"/>
              <w:bottom w:val="single" w:sz="6" w:space="0" w:color="000000"/>
              <w:right w:val="single" w:sz="6" w:space="0" w:color="000000"/>
            </w:tcBorders>
            <w:vAlign w:val="center"/>
            <w:hideMark/>
          </w:tcPr>
          <w:p w:rsidR="00530E6E" w:rsidRDefault="00530E6E">
            <w:pPr>
              <w:widowControl w:val="0"/>
              <w:spacing w:line="300" w:lineRule="exact"/>
              <w:jc w:val="center"/>
              <w:rPr>
                <w:rFonts w:ascii="方正书宋_GBK" w:eastAsia="方正书宋_GBK" w:hAnsi="Calibri"/>
                <w:b/>
                <w:kern w:val="2"/>
                <w:sz w:val="21"/>
                <w:szCs w:val="24"/>
              </w:rPr>
            </w:pPr>
            <w:r>
              <w:rPr>
                <w:rFonts w:ascii="方正书宋_GBK" w:eastAsia="方正书宋_GBK" w:hint="eastAsia"/>
                <w:b/>
              </w:rPr>
              <w:t>采购物品名称</w:t>
            </w:r>
          </w:p>
        </w:tc>
        <w:tc>
          <w:tcPr>
            <w:tcW w:w="338" w:type="pct"/>
            <w:vMerge w:val="restart"/>
            <w:tcBorders>
              <w:top w:val="single" w:sz="6" w:space="0" w:color="000000"/>
              <w:left w:val="single" w:sz="6" w:space="0" w:color="000000"/>
              <w:bottom w:val="single" w:sz="6" w:space="0" w:color="000000"/>
              <w:right w:val="single" w:sz="6" w:space="0" w:color="000000"/>
            </w:tcBorders>
            <w:vAlign w:val="center"/>
            <w:hideMark/>
          </w:tcPr>
          <w:p w:rsidR="00530E6E" w:rsidRDefault="00530E6E">
            <w:pPr>
              <w:widowControl w:val="0"/>
              <w:spacing w:line="300" w:lineRule="exact"/>
              <w:jc w:val="center"/>
              <w:rPr>
                <w:rFonts w:ascii="方正书宋_GBK" w:eastAsia="方正书宋_GBK" w:hAnsi="Calibri"/>
                <w:b/>
                <w:kern w:val="2"/>
                <w:sz w:val="21"/>
                <w:szCs w:val="24"/>
              </w:rPr>
            </w:pPr>
            <w:r>
              <w:rPr>
                <w:rFonts w:ascii="方正书宋_GBK" w:eastAsia="方正书宋_GBK" w:hint="eastAsia"/>
                <w:b/>
              </w:rPr>
              <w:t>政府采购目录序号</w:t>
            </w:r>
          </w:p>
        </w:tc>
        <w:tc>
          <w:tcPr>
            <w:tcW w:w="261" w:type="pct"/>
            <w:vMerge w:val="restart"/>
            <w:tcBorders>
              <w:top w:val="single" w:sz="6" w:space="0" w:color="000000"/>
              <w:left w:val="single" w:sz="6" w:space="0" w:color="000000"/>
              <w:bottom w:val="single" w:sz="6" w:space="0" w:color="000000"/>
              <w:right w:val="single" w:sz="6" w:space="0" w:color="000000"/>
            </w:tcBorders>
            <w:vAlign w:val="center"/>
            <w:hideMark/>
          </w:tcPr>
          <w:p w:rsidR="00530E6E" w:rsidRDefault="00530E6E">
            <w:pPr>
              <w:widowControl w:val="0"/>
              <w:spacing w:line="300" w:lineRule="exact"/>
              <w:jc w:val="center"/>
              <w:rPr>
                <w:rFonts w:ascii="方正书宋_GBK" w:eastAsia="方正书宋_GBK" w:hAnsi="Calibri"/>
                <w:b/>
                <w:kern w:val="2"/>
                <w:sz w:val="21"/>
                <w:szCs w:val="24"/>
              </w:rPr>
            </w:pPr>
            <w:r>
              <w:rPr>
                <w:rFonts w:ascii="方正书宋_GBK" w:eastAsia="方正书宋_GBK" w:hint="eastAsia"/>
                <w:b/>
              </w:rPr>
              <w:t>数量  单位</w:t>
            </w:r>
          </w:p>
        </w:tc>
        <w:tc>
          <w:tcPr>
            <w:tcW w:w="261" w:type="pct"/>
            <w:vMerge w:val="restart"/>
            <w:tcBorders>
              <w:top w:val="single" w:sz="6" w:space="0" w:color="000000"/>
              <w:left w:val="single" w:sz="6" w:space="0" w:color="000000"/>
              <w:bottom w:val="single" w:sz="6" w:space="0" w:color="000000"/>
              <w:right w:val="single" w:sz="6" w:space="0" w:color="000000"/>
            </w:tcBorders>
            <w:vAlign w:val="center"/>
            <w:hideMark/>
          </w:tcPr>
          <w:p w:rsidR="00530E6E" w:rsidRDefault="00530E6E">
            <w:pPr>
              <w:widowControl w:val="0"/>
              <w:spacing w:line="300" w:lineRule="exact"/>
              <w:jc w:val="center"/>
              <w:rPr>
                <w:rFonts w:ascii="方正书宋_GBK" w:eastAsia="方正书宋_GBK" w:hAnsi="Calibri"/>
                <w:b/>
                <w:kern w:val="2"/>
                <w:sz w:val="21"/>
                <w:szCs w:val="24"/>
              </w:rPr>
            </w:pPr>
            <w:r>
              <w:rPr>
                <w:rFonts w:ascii="方正书宋_GBK" w:eastAsia="方正书宋_GBK" w:hint="eastAsia"/>
                <w:b/>
              </w:rPr>
              <w:t>数量</w:t>
            </w:r>
          </w:p>
        </w:tc>
        <w:tc>
          <w:tcPr>
            <w:tcW w:w="291" w:type="pct"/>
            <w:vMerge w:val="restart"/>
            <w:tcBorders>
              <w:top w:val="single" w:sz="6" w:space="0" w:color="000000"/>
              <w:left w:val="single" w:sz="6" w:space="0" w:color="000000"/>
              <w:bottom w:val="single" w:sz="6" w:space="0" w:color="000000"/>
              <w:right w:val="single" w:sz="6" w:space="0" w:color="000000"/>
            </w:tcBorders>
            <w:vAlign w:val="center"/>
            <w:hideMark/>
          </w:tcPr>
          <w:p w:rsidR="00530E6E" w:rsidRDefault="00530E6E">
            <w:pPr>
              <w:widowControl w:val="0"/>
              <w:spacing w:line="300" w:lineRule="exact"/>
              <w:jc w:val="center"/>
              <w:rPr>
                <w:rFonts w:ascii="方正书宋_GBK" w:eastAsia="方正书宋_GBK" w:hAnsi="Calibri"/>
                <w:b/>
                <w:kern w:val="2"/>
                <w:sz w:val="21"/>
                <w:szCs w:val="24"/>
              </w:rPr>
            </w:pPr>
            <w:r>
              <w:rPr>
                <w:rFonts w:ascii="方正书宋_GBK" w:eastAsia="方正书宋_GBK" w:hint="eastAsia"/>
                <w:b/>
              </w:rPr>
              <w:t>单价</w:t>
            </w:r>
          </w:p>
        </w:tc>
        <w:tc>
          <w:tcPr>
            <w:tcW w:w="2298" w:type="pct"/>
            <w:gridSpan w:val="7"/>
            <w:tcBorders>
              <w:top w:val="single" w:sz="6" w:space="0" w:color="000000"/>
              <w:left w:val="single" w:sz="6" w:space="0" w:color="000000"/>
              <w:bottom w:val="single" w:sz="6" w:space="0" w:color="000000"/>
              <w:right w:val="single" w:sz="6" w:space="0" w:color="000000"/>
            </w:tcBorders>
            <w:vAlign w:val="center"/>
            <w:hideMark/>
          </w:tcPr>
          <w:p w:rsidR="00530E6E" w:rsidRDefault="00530E6E">
            <w:pPr>
              <w:widowControl w:val="0"/>
              <w:spacing w:line="300" w:lineRule="exact"/>
              <w:jc w:val="center"/>
              <w:rPr>
                <w:rFonts w:ascii="方正书宋_GBK" w:eastAsia="方正书宋_GBK" w:hAnsi="Calibri"/>
                <w:b/>
                <w:kern w:val="2"/>
                <w:sz w:val="21"/>
                <w:szCs w:val="24"/>
              </w:rPr>
            </w:pPr>
            <w:r>
              <w:rPr>
                <w:rFonts w:ascii="方正书宋_GBK" w:eastAsia="方正书宋_GBK" w:hint="eastAsia"/>
                <w:b/>
              </w:rPr>
              <w:t>政府采购金额</w:t>
            </w:r>
          </w:p>
        </w:tc>
      </w:tr>
      <w:tr w:rsidR="00530E6E" w:rsidTr="00530E6E">
        <w:trPr>
          <w:tblHeader/>
          <w:jc w:val="center"/>
        </w:trPr>
        <w:tc>
          <w:tcPr>
            <w:tcW w:w="840" w:type="pct"/>
            <w:vMerge w:val="restart"/>
            <w:tcBorders>
              <w:top w:val="single" w:sz="6" w:space="0" w:color="000000"/>
              <w:left w:val="single" w:sz="6" w:space="0" w:color="000000"/>
              <w:bottom w:val="single" w:sz="6" w:space="0" w:color="000000"/>
              <w:right w:val="single" w:sz="6" w:space="0" w:color="000000"/>
            </w:tcBorders>
            <w:vAlign w:val="center"/>
            <w:hideMark/>
          </w:tcPr>
          <w:p w:rsidR="00530E6E" w:rsidRDefault="00530E6E">
            <w:pPr>
              <w:widowControl w:val="0"/>
              <w:spacing w:line="300" w:lineRule="exact"/>
              <w:jc w:val="center"/>
              <w:rPr>
                <w:rFonts w:ascii="方正书宋_GBK" w:eastAsia="方正书宋_GBK" w:hAnsi="Calibri"/>
                <w:b/>
                <w:kern w:val="2"/>
                <w:sz w:val="21"/>
                <w:szCs w:val="24"/>
              </w:rPr>
            </w:pPr>
            <w:r>
              <w:rPr>
                <w:rFonts w:ascii="方正书宋_GBK" w:eastAsia="方正书宋_GBK" w:hint="eastAsia"/>
                <w:b/>
              </w:rPr>
              <w:t>项目名称</w:t>
            </w:r>
          </w:p>
        </w:tc>
        <w:tc>
          <w:tcPr>
            <w:tcW w:w="377" w:type="pct"/>
            <w:vMerge w:val="restart"/>
            <w:tcBorders>
              <w:top w:val="single" w:sz="6" w:space="0" w:color="000000"/>
              <w:left w:val="single" w:sz="6" w:space="0" w:color="000000"/>
              <w:bottom w:val="single" w:sz="6" w:space="0" w:color="000000"/>
              <w:right w:val="single" w:sz="6" w:space="0" w:color="000000"/>
            </w:tcBorders>
            <w:vAlign w:val="center"/>
            <w:hideMark/>
          </w:tcPr>
          <w:p w:rsidR="00530E6E" w:rsidRDefault="00530E6E">
            <w:pPr>
              <w:widowControl w:val="0"/>
              <w:spacing w:line="300" w:lineRule="exact"/>
              <w:jc w:val="center"/>
              <w:rPr>
                <w:rFonts w:ascii="方正书宋_GBK" w:eastAsia="方正书宋_GBK" w:hAnsi="Calibri"/>
                <w:b/>
                <w:kern w:val="2"/>
                <w:sz w:val="21"/>
                <w:szCs w:val="24"/>
              </w:rPr>
            </w:pPr>
            <w:r>
              <w:rPr>
                <w:rFonts w:ascii="方正书宋_GBK" w:eastAsia="方正书宋_GBK" w:hint="eastAsia"/>
                <w:b/>
              </w:rPr>
              <w:t>预算资金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方正书宋_GBK" w:eastAsia="方正书宋_GBK" w:hAnsi="Calibri"/>
                <w:b/>
                <w:kern w:val="2"/>
                <w:sz w:val="21"/>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方正书宋_GBK" w:eastAsia="方正书宋_GBK" w:hAnsi="Calibri"/>
                <w:b/>
                <w:kern w:val="2"/>
                <w:sz w:val="21"/>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方正书宋_GBK" w:eastAsia="方正书宋_GBK" w:hAnsi="Calibri"/>
                <w:b/>
                <w:kern w:val="2"/>
                <w:sz w:val="21"/>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方正书宋_GBK" w:eastAsia="方正书宋_GBK" w:hAnsi="Calibri"/>
                <w:b/>
                <w:kern w:val="2"/>
                <w:sz w:val="21"/>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方正书宋_GBK" w:eastAsia="方正书宋_GBK" w:hAnsi="Calibri"/>
                <w:b/>
                <w:kern w:val="2"/>
                <w:sz w:val="21"/>
                <w:szCs w:val="24"/>
              </w:rPr>
            </w:pPr>
          </w:p>
        </w:tc>
        <w:tc>
          <w:tcPr>
            <w:tcW w:w="330" w:type="pct"/>
            <w:vMerge w:val="restart"/>
            <w:tcBorders>
              <w:top w:val="single" w:sz="6" w:space="0" w:color="000000"/>
              <w:left w:val="single" w:sz="6" w:space="0" w:color="000000"/>
              <w:bottom w:val="single" w:sz="6" w:space="0" w:color="000000"/>
              <w:right w:val="single" w:sz="6" w:space="0" w:color="000000"/>
            </w:tcBorders>
            <w:vAlign w:val="center"/>
            <w:hideMark/>
          </w:tcPr>
          <w:p w:rsidR="00530E6E" w:rsidRDefault="00530E6E">
            <w:pPr>
              <w:widowControl w:val="0"/>
              <w:spacing w:line="300" w:lineRule="exact"/>
              <w:jc w:val="center"/>
              <w:rPr>
                <w:rFonts w:ascii="方正书宋_GBK" w:eastAsia="方正书宋_GBK" w:hAnsi="Calibri"/>
                <w:b/>
                <w:kern w:val="2"/>
                <w:sz w:val="21"/>
                <w:szCs w:val="24"/>
              </w:rPr>
            </w:pPr>
            <w:r>
              <w:rPr>
                <w:rFonts w:ascii="方正书宋_GBK" w:eastAsia="方正书宋_GBK" w:hint="eastAsia"/>
                <w:b/>
              </w:rPr>
              <w:t>总计</w:t>
            </w:r>
          </w:p>
        </w:tc>
        <w:tc>
          <w:tcPr>
            <w:tcW w:w="1652" w:type="pct"/>
            <w:gridSpan w:val="5"/>
            <w:tcBorders>
              <w:top w:val="single" w:sz="6" w:space="0" w:color="000000"/>
              <w:left w:val="single" w:sz="6" w:space="0" w:color="000000"/>
              <w:bottom w:val="single" w:sz="6" w:space="0" w:color="000000"/>
              <w:right w:val="single" w:sz="6" w:space="0" w:color="000000"/>
            </w:tcBorders>
            <w:vAlign w:val="center"/>
            <w:hideMark/>
          </w:tcPr>
          <w:p w:rsidR="00530E6E" w:rsidRDefault="00530E6E">
            <w:pPr>
              <w:widowControl w:val="0"/>
              <w:spacing w:line="300" w:lineRule="exact"/>
              <w:jc w:val="center"/>
              <w:rPr>
                <w:rFonts w:ascii="方正书宋_GBK" w:eastAsia="方正书宋_GBK" w:hAnsi="Calibri"/>
                <w:b/>
                <w:kern w:val="2"/>
                <w:sz w:val="21"/>
                <w:szCs w:val="24"/>
              </w:rPr>
            </w:pPr>
            <w:r>
              <w:rPr>
                <w:rFonts w:ascii="方正书宋_GBK" w:eastAsia="方正书宋_GBK" w:hint="eastAsia"/>
                <w:b/>
              </w:rPr>
              <w:t>当年部门预算安排资金</w:t>
            </w:r>
          </w:p>
        </w:tc>
        <w:tc>
          <w:tcPr>
            <w:tcW w:w="316" w:type="pct"/>
            <w:vMerge w:val="restart"/>
            <w:tcBorders>
              <w:top w:val="single" w:sz="6" w:space="0" w:color="000000"/>
              <w:left w:val="single" w:sz="6" w:space="0" w:color="000000"/>
              <w:bottom w:val="single" w:sz="6" w:space="0" w:color="000000"/>
              <w:right w:val="single" w:sz="6" w:space="0" w:color="000000"/>
            </w:tcBorders>
            <w:vAlign w:val="center"/>
            <w:hideMark/>
          </w:tcPr>
          <w:p w:rsidR="00530E6E" w:rsidRDefault="00530E6E">
            <w:pPr>
              <w:widowControl w:val="0"/>
              <w:spacing w:line="300" w:lineRule="exact"/>
              <w:jc w:val="center"/>
              <w:rPr>
                <w:rFonts w:ascii="方正书宋_GBK" w:eastAsia="方正书宋_GBK" w:hAnsi="Calibri"/>
                <w:b/>
                <w:kern w:val="2"/>
                <w:sz w:val="21"/>
                <w:szCs w:val="24"/>
              </w:rPr>
            </w:pPr>
            <w:r>
              <w:rPr>
                <w:rFonts w:ascii="方正书宋_GBK" w:eastAsia="方正书宋_GBK" w:hint="eastAsia"/>
                <w:b/>
              </w:rPr>
              <w:t>其他渠道资金</w:t>
            </w:r>
          </w:p>
        </w:tc>
      </w:tr>
      <w:tr w:rsidR="00530E6E" w:rsidTr="00530E6E">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方正书宋_GBK" w:eastAsia="方正书宋_GBK" w:hAnsi="Calibri"/>
                <w:b/>
                <w:kern w:val="2"/>
                <w:sz w:val="21"/>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方正书宋_GBK" w:eastAsia="方正书宋_GBK" w:hAnsi="Calibri"/>
                <w:b/>
                <w:kern w:val="2"/>
                <w:sz w:val="21"/>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方正书宋_GBK" w:eastAsia="方正书宋_GBK" w:hAnsi="Calibri"/>
                <w:b/>
                <w:kern w:val="2"/>
                <w:sz w:val="21"/>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方正书宋_GBK" w:eastAsia="方正书宋_GBK" w:hAnsi="Calibri"/>
                <w:b/>
                <w:kern w:val="2"/>
                <w:sz w:val="21"/>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方正书宋_GBK" w:eastAsia="方正书宋_GBK" w:hAnsi="Calibri"/>
                <w:b/>
                <w:kern w:val="2"/>
                <w:sz w:val="21"/>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方正书宋_GBK" w:eastAsia="方正书宋_GBK" w:hAnsi="Calibri"/>
                <w:b/>
                <w:kern w:val="2"/>
                <w:sz w:val="21"/>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方正书宋_GBK" w:eastAsia="方正书宋_GBK" w:hAnsi="Calibri"/>
                <w:b/>
                <w:kern w:val="2"/>
                <w:sz w:val="21"/>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方正书宋_GBK" w:eastAsia="方正书宋_GBK" w:hAnsi="Calibri"/>
                <w:b/>
                <w:kern w:val="2"/>
                <w:sz w:val="21"/>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widowControl w:val="0"/>
              <w:spacing w:line="300" w:lineRule="exact"/>
              <w:jc w:val="center"/>
              <w:rPr>
                <w:rFonts w:ascii="方正书宋_GBK" w:eastAsia="方正书宋_GBK" w:hAnsi="Calibri"/>
                <w:b/>
                <w:kern w:val="2"/>
                <w:sz w:val="21"/>
                <w:szCs w:val="24"/>
              </w:rPr>
            </w:pPr>
            <w:r>
              <w:rPr>
                <w:rFonts w:ascii="方正书宋_GBK" w:eastAsia="方正书宋_GBK" w:hint="eastAsia"/>
                <w:b/>
              </w:rPr>
              <w:t>合计</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widowControl w:val="0"/>
              <w:spacing w:line="300" w:lineRule="exact"/>
              <w:jc w:val="center"/>
              <w:rPr>
                <w:rFonts w:ascii="方正书宋_GBK" w:eastAsia="方正书宋_GBK" w:hAnsi="Calibri"/>
                <w:b/>
                <w:kern w:val="2"/>
                <w:sz w:val="21"/>
                <w:szCs w:val="24"/>
              </w:rPr>
            </w:pPr>
            <w:r>
              <w:rPr>
                <w:rFonts w:ascii="方正书宋_GBK" w:eastAsia="方正书宋_GBK" w:hint="eastAsia"/>
                <w:b/>
              </w:rPr>
              <w:t>一般公共预算拨款</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widowControl w:val="0"/>
              <w:spacing w:line="300" w:lineRule="exact"/>
              <w:jc w:val="center"/>
              <w:rPr>
                <w:rFonts w:ascii="方正书宋_GBK" w:eastAsia="方正书宋_GBK" w:hAnsi="Calibri"/>
                <w:b/>
                <w:kern w:val="2"/>
                <w:sz w:val="21"/>
                <w:szCs w:val="24"/>
              </w:rPr>
            </w:pPr>
            <w:r>
              <w:rPr>
                <w:rFonts w:ascii="方正书宋_GBK" w:eastAsia="方正书宋_GBK" w:hint="eastAsia"/>
                <w:b/>
              </w:rPr>
              <w:t>基金预算拨款</w:t>
            </w:r>
          </w:p>
        </w:tc>
        <w:tc>
          <w:tcPr>
            <w:tcW w:w="331"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widowControl w:val="0"/>
              <w:spacing w:line="300" w:lineRule="exact"/>
              <w:jc w:val="center"/>
              <w:rPr>
                <w:rFonts w:ascii="方正书宋_GBK" w:eastAsia="方正书宋_GBK" w:hAnsi="Calibri"/>
                <w:b/>
                <w:kern w:val="2"/>
                <w:sz w:val="21"/>
                <w:szCs w:val="24"/>
              </w:rPr>
            </w:pPr>
            <w:r>
              <w:rPr>
                <w:rFonts w:ascii="方正书宋_GBK" w:eastAsia="方正书宋_GBK" w:hint="eastAsia"/>
                <w:b/>
              </w:rPr>
              <w:t>财政专户核拨</w:t>
            </w:r>
          </w:p>
        </w:tc>
        <w:tc>
          <w:tcPr>
            <w:tcW w:w="331"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widowControl w:val="0"/>
              <w:spacing w:line="300" w:lineRule="exact"/>
              <w:jc w:val="center"/>
              <w:rPr>
                <w:rFonts w:ascii="方正书宋_GBK" w:eastAsia="方正书宋_GBK" w:hAnsi="Calibri"/>
                <w:b/>
                <w:kern w:val="2"/>
                <w:sz w:val="21"/>
                <w:szCs w:val="24"/>
              </w:rPr>
            </w:pPr>
            <w:r>
              <w:rPr>
                <w:rFonts w:ascii="方正书宋_GBK" w:eastAsia="方正书宋_GBK" w:hint="eastAsia"/>
                <w:b/>
              </w:rPr>
              <w:t>其他来源收入</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方正书宋_GBK" w:eastAsia="方正书宋_GBK" w:hAnsi="Calibri"/>
                <w:b/>
                <w:kern w:val="2"/>
                <w:sz w:val="21"/>
                <w:szCs w:val="24"/>
              </w:rPr>
            </w:pPr>
          </w:p>
        </w:tc>
      </w:tr>
      <w:tr w:rsidR="00530E6E" w:rsidTr="00530E6E">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widowControl w:val="0"/>
              <w:spacing w:line="300" w:lineRule="exact"/>
              <w:jc w:val="center"/>
              <w:rPr>
                <w:rFonts w:ascii="方正书宋_GBK" w:eastAsia="方正书宋_GBK" w:hAnsi="Calibri"/>
                <w:b/>
                <w:kern w:val="2"/>
                <w:sz w:val="21"/>
                <w:szCs w:val="24"/>
              </w:rPr>
            </w:pPr>
            <w:r>
              <w:rPr>
                <w:rFonts w:ascii="方正书宋_GBK" w:eastAsia="方正书宋_GBK" w:hint="eastAsia"/>
                <w:b/>
              </w:rPr>
              <w:lastRenderedPageBreak/>
              <w:t>合　计</w:t>
            </w:r>
          </w:p>
        </w:tc>
        <w:tc>
          <w:tcPr>
            <w:tcW w:w="377"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both"/>
              <w:rPr>
                <w:rFonts w:ascii="方正书宋_GBK" w:eastAsia="方正书宋_GBK" w:hAnsi="Calibri"/>
                <w:b/>
                <w:kern w:val="2"/>
                <w:sz w:val="21"/>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both"/>
              <w:rPr>
                <w:rFonts w:ascii="方正书宋_GBK" w:eastAsia="方正书宋_GBK" w:hAnsi="Calibri"/>
                <w:b/>
                <w:kern w:val="2"/>
                <w:sz w:val="21"/>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both"/>
              <w:rPr>
                <w:rFonts w:ascii="方正书宋_GBK" w:eastAsia="方正书宋_GBK" w:hAnsi="Calibri"/>
                <w:b/>
                <w:kern w:val="2"/>
                <w:sz w:val="21"/>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r>
      <w:tr w:rsidR="00530E6E" w:rsidTr="00530E6E">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both"/>
              <w:rPr>
                <w:rFonts w:ascii="方正书宋_GBK" w:eastAsia="方正书宋_GBK" w:hAnsi="Calibri"/>
                <w:b/>
                <w:kern w:val="2"/>
                <w:sz w:val="21"/>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both"/>
              <w:rPr>
                <w:rFonts w:ascii="方正书宋_GBK" w:eastAsia="方正书宋_GBK" w:hAnsi="Calibri"/>
                <w:b/>
                <w:kern w:val="2"/>
                <w:sz w:val="21"/>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both"/>
              <w:rPr>
                <w:rFonts w:ascii="方正书宋_GBK" w:eastAsia="方正书宋_GBK" w:hAnsi="Calibri"/>
                <w:b/>
                <w:kern w:val="2"/>
                <w:sz w:val="21"/>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r>
      <w:tr w:rsidR="00530E6E" w:rsidTr="00530E6E">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both"/>
              <w:rPr>
                <w:rFonts w:ascii="方正书宋_GBK" w:eastAsia="方正书宋_GBK" w:hAnsi="Calibri"/>
                <w:b/>
                <w:kern w:val="2"/>
                <w:sz w:val="21"/>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both"/>
              <w:rPr>
                <w:rFonts w:ascii="方正书宋_GBK" w:eastAsia="方正书宋_GBK" w:hAnsi="Calibri"/>
                <w:b/>
                <w:kern w:val="2"/>
                <w:sz w:val="21"/>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both"/>
              <w:rPr>
                <w:rFonts w:ascii="方正书宋_GBK" w:eastAsia="方正书宋_GBK" w:hAnsi="Calibri"/>
                <w:b/>
                <w:kern w:val="2"/>
                <w:sz w:val="21"/>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r>
      <w:tr w:rsidR="00530E6E" w:rsidTr="00530E6E">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both"/>
              <w:rPr>
                <w:rFonts w:ascii="方正书宋_GBK" w:eastAsia="方正书宋_GBK" w:hAnsi="Calibri"/>
                <w:b/>
                <w:kern w:val="2"/>
                <w:sz w:val="21"/>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both"/>
              <w:rPr>
                <w:rFonts w:ascii="方正书宋_GBK" w:eastAsia="方正书宋_GBK" w:hAnsi="Calibri"/>
                <w:b/>
                <w:kern w:val="2"/>
                <w:sz w:val="21"/>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both"/>
              <w:rPr>
                <w:rFonts w:ascii="方正书宋_GBK" w:eastAsia="方正书宋_GBK" w:hAnsi="Calibri"/>
                <w:b/>
                <w:kern w:val="2"/>
                <w:sz w:val="21"/>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r>
      <w:tr w:rsidR="00530E6E" w:rsidTr="00530E6E">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both"/>
              <w:rPr>
                <w:rFonts w:ascii="方正书宋_GBK" w:eastAsia="方正书宋_GBK" w:hAnsi="Calibri"/>
                <w:b/>
                <w:kern w:val="2"/>
                <w:sz w:val="21"/>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both"/>
              <w:rPr>
                <w:rFonts w:ascii="方正书宋_GBK" w:eastAsia="方正书宋_GBK" w:hAnsi="Calibri"/>
                <w:b/>
                <w:kern w:val="2"/>
                <w:sz w:val="21"/>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both"/>
              <w:rPr>
                <w:rFonts w:ascii="方正书宋_GBK" w:eastAsia="方正书宋_GBK" w:hAnsi="Calibri"/>
                <w:b/>
                <w:kern w:val="2"/>
                <w:sz w:val="21"/>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530E6E" w:rsidRDefault="00530E6E">
            <w:pPr>
              <w:rPr>
                <w:rFonts w:asciiTheme="minorHAnsi" w:eastAsiaTheme="minorEastAsia" w:hAnsiTheme="minorHAnsi" w:cstheme="minorBidi"/>
                <w:kern w:val="2"/>
                <w:sz w:val="21"/>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530E6E" w:rsidRDefault="00530E6E">
            <w:pPr>
              <w:widowControl w:val="0"/>
              <w:spacing w:line="300" w:lineRule="exact"/>
              <w:jc w:val="right"/>
              <w:rPr>
                <w:rFonts w:ascii="方正书宋_GBK" w:eastAsia="方正书宋_GBK" w:hAnsi="Calibri"/>
                <w:b/>
                <w:kern w:val="2"/>
                <w:sz w:val="21"/>
                <w:szCs w:val="24"/>
              </w:rPr>
            </w:pPr>
          </w:p>
        </w:tc>
      </w:tr>
    </w:tbl>
    <w:p w:rsidR="00DE3883" w:rsidRPr="00FA56C9" w:rsidRDefault="00FA56C9" w:rsidP="00FA56C9">
      <w:pPr>
        <w:adjustRightInd/>
        <w:snapToGrid/>
        <w:spacing w:after="0" w:line="600" w:lineRule="exact"/>
        <w:ind w:left="300" w:firstLine="480"/>
        <w:rPr>
          <w:rFonts w:ascii="黑体" w:eastAsia="黑体" w:hAnsi="黑体" w:cs="仿宋"/>
          <w:b/>
          <w:color w:val="333333"/>
          <w:sz w:val="32"/>
          <w:szCs w:val="32"/>
        </w:rPr>
      </w:pPr>
      <w:r w:rsidRPr="00FA56C9">
        <w:rPr>
          <w:rFonts w:ascii="黑体" w:eastAsia="黑体" w:hAnsi="黑体" w:cs="仿宋" w:hint="eastAsia"/>
          <w:b/>
          <w:color w:val="333333"/>
          <w:sz w:val="32"/>
          <w:szCs w:val="32"/>
        </w:rPr>
        <w:t>七、国有资产信息</w:t>
      </w:r>
    </w:p>
    <w:p w:rsidR="00DE3883" w:rsidRPr="004724EB" w:rsidRDefault="00DE3883" w:rsidP="004724EB">
      <w:pPr>
        <w:adjustRightInd/>
        <w:snapToGrid/>
        <w:spacing w:after="0" w:line="600" w:lineRule="exact"/>
        <w:ind w:left="300" w:firstLine="482"/>
        <w:rPr>
          <w:rFonts w:ascii="仿宋_GB2312" w:eastAsia="仿宋_GB2312" w:hAnsi="仿宋" w:cs="仿宋"/>
          <w:sz w:val="32"/>
          <w:szCs w:val="32"/>
        </w:rPr>
      </w:pPr>
      <w:r w:rsidRPr="004724EB">
        <w:rPr>
          <w:rFonts w:ascii="仿宋_GB2312" w:eastAsia="仿宋_GB2312" w:hAnsi="仿宋" w:cs="仿宋" w:hint="eastAsia"/>
          <w:sz w:val="32"/>
          <w:szCs w:val="32"/>
        </w:rPr>
        <w:t>截至2017年12月31日，本部门固定资产金额为621.02万元。本部门共有公务用车1辆。2018年未安排国有资产购置预算。</w:t>
      </w:r>
    </w:p>
    <w:p w:rsidR="00DE3883" w:rsidRPr="004724EB" w:rsidRDefault="00DE3883" w:rsidP="004724EB">
      <w:pPr>
        <w:spacing w:after="0" w:line="600" w:lineRule="exact"/>
        <w:jc w:val="center"/>
        <w:rPr>
          <w:rFonts w:ascii="仿宋_GB2312" w:eastAsia="仿宋_GB2312" w:hAnsi="宋体" w:cs="宋体"/>
          <w:sz w:val="32"/>
          <w:szCs w:val="32"/>
        </w:rPr>
      </w:pPr>
      <w:r w:rsidRPr="004724EB">
        <w:rPr>
          <w:rFonts w:ascii="仿宋_GB2312" w:eastAsia="仿宋_GB2312" w:hAnsi="宋体" w:cs="宋体" w:hint="eastAsia"/>
          <w:bCs/>
          <w:color w:val="000000"/>
          <w:sz w:val="32"/>
          <w:szCs w:val="32"/>
        </w:rPr>
        <w:t>部门固定资产占用情况表</w:t>
      </w:r>
    </w:p>
    <w:tbl>
      <w:tblPr>
        <w:tblW w:w="12037" w:type="dxa"/>
        <w:tblInd w:w="964" w:type="dxa"/>
        <w:tblLayout w:type="fixed"/>
        <w:tblLook w:val="00A0"/>
      </w:tblPr>
      <w:tblGrid>
        <w:gridCol w:w="4012"/>
        <w:gridCol w:w="2006"/>
        <w:gridCol w:w="2006"/>
        <w:gridCol w:w="4013"/>
      </w:tblGrid>
      <w:tr w:rsidR="00DE3883" w:rsidRPr="004724EB" w:rsidTr="004724EB">
        <w:trPr>
          <w:trHeight w:val="110"/>
        </w:trPr>
        <w:tc>
          <w:tcPr>
            <w:tcW w:w="6018" w:type="dxa"/>
            <w:gridSpan w:val="2"/>
            <w:tcBorders>
              <w:top w:val="nil"/>
              <w:left w:val="nil"/>
              <w:bottom w:val="single" w:sz="4" w:space="0" w:color="auto"/>
              <w:right w:val="nil"/>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编制部门：</w:t>
            </w:r>
            <w:r w:rsidRPr="004724EB">
              <w:rPr>
                <w:rFonts w:asciiTheme="minorEastAsia" w:eastAsiaTheme="minorEastAsia" w:hAnsiTheme="minorEastAsia" w:cs="宋体" w:hint="eastAsia"/>
                <w:color w:val="333333"/>
                <w:sz w:val="24"/>
                <w:szCs w:val="24"/>
              </w:rPr>
              <w:t>北戴河区林业局</w:t>
            </w:r>
          </w:p>
        </w:tc>
        <w:tc>
          <w:tcPr>
            <w:tcW w:w="6019" w:type="dxa"/>
            <w:gridSpan w:val="2"/>
            <w:tcBorders>
              <w:top w:val="nil"/>
              <w:left w:val="nil"/>
              <w:bottom w:val="single" w:sz="4" w:space="0" w:color="auto"/>
              <w:right w:val="nil"/>
            </w:tcBorders>
          </w:tcPr>
          <w:p w:rsidR="00DE3883" w:rsidRPr="004724EB" w:rsidRDefault="00DE3883" w:rsidP="004724EB">
            <w:pPr>
              <w:spacing w:after="0"/>
              <w:ind w:firstLineChars="1050" w:firstLine="252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 xml:space="preserve">截止时间：2017年12月31日 </w:t>
            </w:r>
          </w:p>
        </w:tc>
      </w:tr>
      <w:tr w:rsidR="00DE3883" w:rsidRPr="004724EB" w:rsidTr="004724EB">
        <w:trPr>
          <w:trHeight w:val="110"/>
        </w:trPr>
        <w:tc>
          <w:tcPr>
            <w:tcW w:w="4012" w:type="dxa"/>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 xml:space="preserve">项 目 </w:t>
            </w:r>
          </w:p>
        </w:tc>
        <w:tc>
          <w:tcPr>
            <w:tcW w:w="4012" w:type="dxa"/>
            <w:gridSpan w:val="2"/>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 xml:space="preserve">数量 </w:t>
            </w:r>
          </w:p>
        </w:tc>
        <w:tc>
          <w:tcPr>
            <w:tcW w:w="4013" w:type="dxa"/>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 xml:space="preserve">价值（金额单位：万元） </w:t>
            </w:r>
          </w:p>
        </w:tc>
      </w:tr>
      <w:tr w:rsidR="00DE3883" w:rsidRPr="004724EB" w:rsidTr="004724EB">
        <w:trPr>
          <w:trHeight w:val="110"/>
        </w:trPr>
        <w:tc>
          <w:tcPr>
            <w:tcW w:w="4012" w:type="dxa"/>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lastRenderedPageBreak/>
              <w:t xml:space="preserve">资产总额 </w:t>
            </w:r>
          </w:p>
        </w:tc>
        <w:tc>
          <w:tcPr>
            <w:tcW w:w="4012" w:type="dxa"/>
            <w:gridSpan w:val="2"/>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 xml:space="preserve">—— </w:t>
            </w:r>
          </w:p>
        </w:tc>
        <w:tc>
          <w:tcPr>
            <w:tcW w:w="4013" w:type="dxa"/>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621.02</w:t>
            </w:r>
          </w:p>
        </w:tc>
      </w:tr>
      <w:tr w:rsidR="00DE3883" w:rsidRPr="004724EB" w:rsidTr="004724EB">
        <w:trPr>
          <w:trHeight w:val="110"/>
        </w:trPr>
        <w:tc>
          <w:tcPr>
            <w:tcW w:w="4012" w:type="dxa"/>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 xml:space="preserve">1、房屋（平方米） </w:t>
            </w:r>
          </w:p>
        </w:tc>
        <w:tc>
          <w:tcPr>
            <w:tcW w:w="4012" w:type="dxa"/>
            <w:gridSpan w:val="2"/>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0</w:t>
            </w:r>
          </w:p>
        </w:tc>
        <w:tc>
          <w:tcPr>
            <w:tcW w:w="4013" w:type="dxa"/>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205</w:t>
            </w:r>
          </w:p>
        </w:tc>
      </w:tr>
      <w:tr w:rsidR="00DE3883" w:rsidRPr="004724EB" w:rsidTr="004724EB">
        <w:trPr>
          <w:trHeight w:val="110"/>
        </w:trPr>
        <w:tc>
          <w:tcPr>
            <w:tcW w:w="4012" w:type="dxa"/>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 xml:space="preserve">其中：办公用房（平方米） </w:t>
            </w:r>
          </w:p>
        </w:tc>
        <w:tc>
          <w:tcPr>
            <w:tcW w:w="4012" w:type="dxa"/>
            <w:gridSpan w:val="2"/>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0</w:t>
            </w:r>
          </w:p>
        </w:tc>
        <w:tc>
          <w:tcPr>
            <w:tcW w:w="4013" w:type="dxa"/>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0</w:t>
            </w:r>
          </w:p>
        </w:tc>
      </w:tr>
      <w:tr w:rsidR="00DE3883" w:rsidRPr="004724EB" w:rsidTr="004724EB">
        <w:trPr>
          <w:trHeight w:val="110"/>
        </w:trPr>
        <w:tc>
          <w:tcPr>
            <w:tcW w:w="4012" w:type="dxa"/>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 xml:space="preserve">2、车辆（台、辆） </w:t>
            </w:r>
          </w:p>
        </w:tc>
        <w:tc>
          <w:tcPr>
            <w:tcW w:w="4012" w:type="dxa"/>
            <w:gridSpan w:val="2"/>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1</w:t>
            </w:r>
          </w:p>
        </w:tc>
        <w:tc>
          <w:tcPr>
            <w:tcW w:w="4013" w:type="dxa"/>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8.5</w:t>
            </w:r>
          </w:p>
        </w:tc>
      </w:tr>
      <w:tr w:rsidR="00DE3883" w:rsidRPr="004724EB" w:rsidTr="004724EB">
        <w:trPr>
          <w:trHeight w:val="110"/>
        </w:trPr>
        <w:tc>
          <w:tcPr>
            <w:tcW w:w="4012" w:type="dxa"/>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 xml:space="preserve">3、单价在20万元以上的设备 </w:t>
            </w:r>
          </w:p>
        </w:tc>
        <w:tc>
          <w:tcPr>
            <w:tcW w:w="4012" w:type="dxa"/>
            <w:gridSpan w:val="2"/>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 xml:space="preserve">—— </w:t>
            </w:r>
          </w:p>
        </w:tc>
        <w:tc>
          <w:tcPr>
            <w:tcW w:w="4013" w:type="dxa"/>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 xml:space="preserve">—— </w:t>
            </w:r>
          </w:p>
        </w:tc>
      </w:tr>
      <w:tr w:rsidR="00DE3883" w:rsidRPr="004724EB" w:rsidTr="004724EB">
        <w:trPr>
          <w:trHeight w:val="110"/>
        </w:trPr>
        <w:tc>
          <w:tcPr>
            <w:tcW w:w="4012" w:type="dxa"/>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 xml:space="preserve">4、其他固定资产 </w:t>
            </w:r>
          </w:p>
        </w:tc>
        <w:tc>
          <w:tcPr>
            <w:tcW w:w="4012" w:type="dxa"/>
            <w:gridSpan w:val="2"/>
            <w:tcBorders>
              <w:top w:val="single" w:sz="4" w:space="0" w:color="auto"/>
              <w:left w:val="single" w:sz="4" w:space="0" w:color="auto"/>
              <w:bottom w:val="single" w:sz="4" w:space="0" w:color="auto"/>
              <w:right w:val="single" w:sz="4" w:space="0" w:color="auto"/>
            </w:tcBorders>
          </w:tcPr>
          <w:p w:rsidR="00DE3883" w:rsidRPr="004724EB" w:rsidRDefault="006341F0" w:rsidP="004724EB">
            <w:pPr>
              <w:spacing w:after="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534</w:t>
            </w:r>
          </w:p>
        </w:tc>
        <w:tc>
          <w:tcPr>
            <w:tcW w:w="4013" w:type="dxa"/>
            <w:tcBorders>
              <w:top w:val="single" w:sz="4" w:space="0" w:color="auto"/>
              <w:left w:val="single" w:sz="4" w:space="0" w:color="auto"/>
              <w:bottom w:val="single" w:sz="4" w:space="0" w:color="auto"/>
              <w:right w:val="single" w:sz="4" w:space="0" w:color="auto"/>
            </w:tcBorders>
          </w:tcPr>
          <w:p w:rsidR="00DE3883" w:rsidRPr="004724EB" w:rsidRDefault="00DE3883" w:rsidP="004724EB">
            <w:pPr>
              <w:spacing w:after="0"/>
              <w:rPr>
                <w:rFonts w:asciiTheme="minorEastAsia" w:eastAsiaTheme="minorEastAsia" w:hAnsiTheme="minorEastAsia" w:cs="宋体"/>
                <w:color w:val="000000"/>
                <w:sz w:val="24"/>
                <w:szCs w:val="24"/>
              </w:rPr>
            </w:pPr>
            <w:r w:rsidRPr="004724EB">
              <w:rPr>
                <w:rFonts w:asciiTheme="minorEastAsia" w:eastAsiaTheme="minorEastAsia" w:hAnsiTheme="minorEastAsia" w:cs="宋体" w:hint="eastAsia"/>
                <w:color w:val="000000"/>
                <w:sz w:val="24"/>
                <w:szCs w:val="24"/>
              </w:rPr>
              <w:t>612.52</w:t>
            </w:r>
          </w:p>
        </w:tc>
      </w:tr>
    </w:tbl>
    <w:p w:rsidR="00DE3883" w:rsidRPr="00FA56C9" w:rsidRDefault="00DE3883" w:rsidP="004724EB">
      <w:pPr>
        <w:adjustRightInd/>
        <w:snapToGrid/>
        <w:spacing w:after="0" w:line="600" w:lineRule="exact"/>
        <w:ind w:left="300" w:firstLine="480"/>
        <w:rPr>
          <w:rFonts w:ascii="黑体" w:eastAsia="黑体" w:hAnsi="黑体" w:cs="仿宋"/>
          <w:b/>
          <w:color w:val="333333"/>
          <w:sz w:val="32"/>
          <w:szCs w:val="32"/>
        </w:rPr>
      </w:pPr>
      <w:r w:rsidRPr="00FA56C9">
        <w:rPr>
          <w:rFonts w:ascii="黑体" w:eastAsia="黑体" w:hAnsi="黑体" w:cs="仿宋" w:hint="eastAsia"/>
          <w:b/>
          <w:color w:val="333333"/>
          <w:sz w:val="32"/>
          <w:szCs w:val="32"/>
        </w:rPr>
        <w:t>八、名词解释</w:t>
      </w:r>
    </w:p>
    <w:p w:rsidR="00370E00" w:rsidRPr="003E227A" w:rsidRDefault="00370E00" w:rsidP="00370E00">
      <w:pPr>
        <w:spacing w:line="600" w:lineRule="exact"/>
        <w:ind w:left="300" w:firstLine="480"/>
        <w:rPr>
          <w:rFonts w:ascii="仿宋_GB2312" w:eastAsia="仿宋_GB2312" w:hAnsi="仿宋" w:cs="仿宋"/>
          <w:sz w:val="32"/>
          <w:szCs w:val="32"/>
        </w:rPr>
      </w:pPr>
      <w:r w:rsidRPr="003E227A">
        <w:rPr>
          <w:rFonts w:ascii="仿宋_GB2312" w:eastAsia="仿宋_GB2312" w:hAnsi="仿宋" w:cs="仿宋" w:hint="eastAsia"/>
          <w:sz w:val="32"/>
          <w:szCs w:val="32"/>
        </w:rPr>
        <w:t>1、一般公共预算拨款收入：指省级财政当年拨付的资金。</w:t>
      </w:r>
    </w:p>
    <w:p w:rsidR="00370E00" w:rsidRPr="003E227A" w:rsidRDefault="00370E00" w:rsidP="00370E00">
      <w:pPr>
        <w:spacing w:line="600" w:lineRule="exact"/>
        <w:ind w:left="300" w:firstLine="480"/>
        <w:rPr>
          <w:rFonts w:ascii="仿宋_GB2312" w:eastAsia="仿宋_GB2312" w:hAnsi="仿宋" w:cs="仿宋"/>
          <w:sz w:val="32"/>
          <w:szCs w:val="32"/>
        </w:rPr>
      </w:pPr>
      <w:r w:rsidRPr="003E227A">
        <w:rPr>
          <w:rFonts w:ascii="仿宋_GB2312" w:eastAsia="仿宋_GB2312" w:hAnsi="仿宋" w:cs="仿宋" w:hint="eastAsia"/>
          <w:sz w:val="32"/>
          <w:szCs w:val="32"/>
        </w:rPr>
        <w:t>2、事业收入：指事业单位开展专业业务活动及辅助活动所取得的收入。</w:t>
      </w:r>
    </w:p>
    <w:p w:rsidR="00370E00" w:rsidRPr="003E227A" w:rsidRDefault="00370E00" w:rsidP="00370E00">
      <w:pPr>
        <w:spacing w:line="600" w:lineRule="exact"/>
        <w:ind w:left="300" w:firstLine="480"/>
        <w:rPr>
          <w:rFonts w:ascii="仿宋_GB2312" w:eastAsia="仿宋_GB2312" w:hAnsi="仿宋" w:cs="仿宋"/>
          <w:sz w:val="32"/>
          <w:szCs w:val="32"/>
        </w:rPr>
      </w:pPr>
      <w:r w:rsidRPr="003E227A">
        <w:rPr>
          <w:rFonts w:ascii="仿宋_GB2312" w:eastAsia="仿宋_GB2312" w:hAnsi="仿宋" w:cs="仿宋" w:hint="eastAsia"/>
          <w:sz w:val="32"/>
          <w:szCs w:val="32"/>
        </w:rPr>
        <w:t>3、其他收入：指除“一般公共预算拨款收入”、“事业收入”等以外的收入。主要是按规定动用的租房收入、存款利息收入等。</w:t>
      </w:r>
    </w:p>
    <w:p w:rsidR="00370E00" w:rsidRPr="003E227A" w:rsidRDefault="00370E00" w:rsidP="00370E00">
      <w:pPr>
        <w:spacing w:line="600" w:lineRule="exact"/>
        <w:ind w:left="300" w:firstLine="480"/>
        <w:rPr>
          <w:rFonts w:ascii="仿宋_GB2312" w:eastAsia="仿宋_GB2312" w:hAnsi="仿宋" w:cs="仿宋"/>
          <w:sz w:val="32"/>
          <w:szCs w:val="32"/>
        </w:rPr>
      </w:pPr>
      <w:r w:rsidRPr="003E227A">
        <w:rPr>
          <w:rFonts w:ascii="仿宋_GB2312" w:eastAsia="仿宋_GB2312" w:hAnsi="仿宋" w:cs="仿宋" w:hint="eastAsia"/>
          <w:sz w:val="32"/>
          <w:szCs w:val="32"/>
        </w:rPr>
        <w:t>4、基本支出：指为保障机构正常运转、完成日常工作任务而发生的人员支出和公用支出。</w:t>
      </w:r>
    </w:p>
    <w:p w:rsidR="00370E00" w:rsidRPr="003E227A" w:rsidRDefault="00370E00" w:rsidP="00370E00">
      <w:pPr>
        <w:spacing w:line="600" w:lineRule="exact"/>
        <w:ind w:left="300" w:firstLine="480"/>
        <w:rPr>
          <w:rFonts w:ascii="仿宋_GB2312" w:eastAsia="仿宋_GB2312" w:hAnsi="仿宋" w:cs="仿宋"/>
          <w:sz w:val="32"/>
          <w:szCs w:val="32"/>
        </w:rPr>
      </w:pPr>
      <w:r w:rsidRPr="003E227A">
        <w:rPr>
          <w:rFonts w:ascii="仿宋_GB2312" w:eastAsia="仿宋_GB2312" w:hAnsi="仿宋" w:cs="仿宋" w:hint="eastAsia"/>
          <w:sz w:val="32"/>
          <w:szCs w:val="32"/>
        </w:rPr>
        <w:t>5、项目支出：指在基本支出之外为完成特定行政任务和事业发展目标所发生的支出。</w:t>
      </w:r>
    </w:p>
    <w:p w:rsidR="00370E00" w:rsidRPr="003E227A" w:rsidRDefault="00370E00" w:rsidP="00370E00">
      <w:pPr>
        <w:spacing w:line="600" w:lineRule="exact"/>
        <w:ind w:left="300" w:firstLine="480"/>
        <w:rPr>
          <w:rFonts w:ascii="仿宋_GB2312" w:eastAsia="仿宋_GB2312" w:hAnsi="仿宋" w:cs="仿宋"/>
          <w:sz w:val="32"/>
          <w:szCs w:val="32"/>
        </w:rPr>
      </w:pPr>
      <w:r w:rsidRPr="003E227A">
        <w:rPr>
          <w:rFonts w:ascii="仿宋_GB2312" w:eastAsia="仿宋_GB2312" w:hAnsi="仿宋" w:cs="仿宋" w:hint="eastAsia"/>
          <w:sz w:val="32"/>
          <w:szCs w:val="32"/>
        </w:rPr>
        <w:t>6、上缴上级支出：指下级单位上缴上级的支出。</w:t>
      </w:r>
    </w:p>
    <w:p w:rsidR="00370E00" w:rsidRPr="003E227A" w:rsidRDefault="00370E00" w:rsidP="00370E00">
      <w:pPr>
        <w:spacing w:line="600" w:lineRule="exact"/>
        <w:ind w:left="300" w:firstLine="480"/>
        <w:rPr>
          <w:rFonts w:ascii="仿宋_GB2312" w:eastAsia="仿宋_GB2312" w:hAnsi="仿宋" w:cs="仿宋"/>
          <w:sz w:val="32"/>
          <w:szCs w:val="32"/>
        </w:rPr>
      </w:pPr>
      <w:r w:rsidRPr="003E227A">
        <w:rPr>
          <w:rFonts w:ascii="仿宋_GB2312" w:eastAsia="仿宋_GB2312" w:hAnsi="仿宋" w:cs="仿宋" w:hint="eastAsia"/>
          <w:sz w:val="32"/>
          <w:szCs w:val="32"/>
        </w:rPr>
        <w:lastRenderedPageBreak/>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70E00" w:rsidRPr="003E227A" w:rsidRDefault="00370E00" w:rsidP="00370E00">
      <w:pPr>
        <w:spacing w:line="600" w:lineRule="exact"/>
        <w:ind w:left="300" w:firstLine="480"/>
        <w:rPr>
          <w:rFonts w:ascii="仿宋_GB2312" w:eastAsia="仿宋_GB2312" w:hAnsi="仿宋" w:cs="仿宋"/>
          <w:sz w:val="32"/>
          <w:szCs w:val="32"/>
        </w:rPr>
      </w:pPr>
      <w:r w:rsidRPr="003E227A">
        <w:rPr>
          <w:rFonts w:ascii="仿宋_GB2312" w:eastAsia="仿宋_GB2312" w:hAnsi="仿宋" w:cs="仿宋" w:hint="eastAsia"/>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370E00" w:rsidRPr="003E227A" w:rsidRDefault="00370E00" w:rsidP="00370E00">
      <w:pPr>
        <w:spacing w:line="600" w:lineRule="exact"/>
        <w:ind w:left="300" w:firstLine="480"/>
        <w:rPr>
          <w:rFonts w:ascii="仿宋_GB2312" w:eastAsia="仿宋_GB2312" w:hAnsi="仿宋" w:cs="仿宋"/>
          <w:sz w:val="32"/>
          <w:szCs w:val="32"/>
        </w:rPr>
      </w:pPr>
      <w:r w:rsidRPr="003E227A">
        <w:rPr>
          <w:rFonts w:ascii="仿宋_GB2312" w:eastAsia="仿宋_GB2312" w:hAnsi="仿宋" w:cs="仿宋" w:hint="eastAsia"/>
          <w:sz w:val="32"/>
          <w:szCs w:val="32"/>
        </w:rPr>
        <w:t>9、上年结转：指以前年度尚未完成、结转到本年仍按原规定用途继续使用的资金。</w:t>
      </w:r>
    </w:p>
    <w:p w:rsidR="00DE3883" w:rsidRPr="00370E00" w:rsidRDefault="00370E00" w:rsidP="00370E00">
      <w:pPr>
        <w:ind w:firstLineChars="200" w:firstLine="640"/>
      </w:pPr>
      <w:r w:rsidRPr="003E227A">
        <w:rPr>
          <w:rFonts w:ascii="仿宋_GB2312" w:eastAsia="仿宋_GB2312" w:hAnsi="仿宋" w:cs="仿宋" w:hint="eastAsia"/>
          <w:sz w:val="32"/>
          <w:szCs w:val="32"/>
        </w:rPr>
        <w:t>10、事业单位经营支出：指事业单位在专业业务活动及其辅助活动之外开展非独立核算经营活动发生的支出。</w:t>
      </w:r>
    </w:p>
    <w:p w:rsidR="00DE3883" w:rsidRPr="00FA56C9" w:rsidRDefault="00DE3883" w:rsidP="004724EB">
      <w:pPr>
        <w:adjustRightInd/>
        <w:snapToGrid/>
        <w:spacing w:after="0" w:line="600" w:lineRule="exact"/>
        <w:ind w:left="300" w:firstLine="480"/>
        <w:rPr>
          <w:rFonts w:ascii="黑体" w:eastAsia="黑体" w:hAnsi="黑体" w:cs="仿宋"/>
          <w:b/>
          <w:color w:val="333333"/>
          <w:sz w:val="32"/>
          <w:szCs w:val="32"/>
        </w:rPr>
      </w:pPr>
      <w:r w:rsidRPr="00FA56C9">
        <w:rPr>
          <w:rFonts w:ascii="黑体" w:eastAsia="黑体" w:hAnsi="黑体" w:cs="仿宋" w:hint="eastAsia"/>
          <w:b/>
          <w:color w:val="333333"/>
          <w:sz w:val="32"/>
          <w:szCs w:val="32"/>
        </w:rPr>
        <w:t>九、其他需说明的事项</w:t>
      </w:r>
    </w:p>
    <w:p w:rsidR="00DE3883" w:rsidRPr="004724EB" w:rsidRDefault="00DE3883" w:rsidP="00FA56C9">
      <w:pPr>
        <w:adjustRightInd/>
        <w:snapToGrid/>
        <w:spacing w:after="0" w:line="600" w:lineRule="exact"/>
        <w:ind w:left="300" w:firstLine="480"/>
        <w:rPr>
          <w:rFonts w:ascii="仿宋_GB2312" w:eastAsia="仿宋_GB2312" w:hAnsi="仿宋" w:cs="仿宋"/>
          <w:color w:val="333333"/>
          <w:sz w:val="32"/>
          <w:szCs w:val="32"/>
        </w:rPr>
      </w:pPr>
      <w:r w:rsidRPr="004724EB">
        <w:rPr>
          <w:rFonts w:ascii="仿宋_GB2312" w:eastAsia="仿宋_GB2312" w:hAnsi="仿宋" w:cs="仿宋" w:hint="eastAsia"/>
          <w:color w:val="333333"/>
          <w:sz w:val="32"/>
          <w:szCs w:val="32"/>
        </w:rPr>
        <w:t>无其他需说明的事项。</w:t>
      </w:r>
    </w:p>
    <w:sectPr w:rsidR="00DE3883" w:rsidRPr="004724EB" w:rsidSect="00B2369B">
      <w:headerReference w:type="default" r:id="rId7"/>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5A2" w:rsidRDefault="00E655A2" w:rsidP="00B2369B">
      <w:pPr>
        <w:spacing w:after="0"/>
      </w:pPr>
      <w:r>
        <w:separator/>
      </w:r>
    </w:p>
  </w:endnote>
  <w:endnote w:type="continuationSeparator" w:id="1">
    <w:p w:rsidR="00E655A2" w:rsidRDefault="00E655A2" w:rsidP="00B2369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5A2" w:rsidRDefault="00E655A2" w:rsidP="00B2369B">
      <w:pPr>
        <w:spacing w:after="0"/>
      </w:pPr>
      <w:r>
        <w:separator/>
      </w:r>
    </w:p>
  </w:footnote>
  <w:footnote w:type="continuationSeparator" w:id="1">
    <w:p w:rsidR="00E655A2" w:rsidRDefault="00E655A2" w:rsidP="00B2369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883" w:rsidRDefault="00DE388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050580"/>
    <w:multiLevelType w:val="singleLevel"/>
    <w:tmpl w:val="AD050580"/>
    <w:lvl w:ilvl="0">
      <w:start w:val="16"/>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720"/>
  <w:characterSpacingControl w:val="doNotCompress"/>
  <w:noLineBreaksAfter w:lang="zh-CN" w:val="$([{£¥·‘“〈《「『【〔〖〝﹙﹛﹝＄（．［｛￡￥"/>
  <w:noLineBreaksBefore w:lang="zh-CN" w:val="!%),.:;&gt;?]}¢¨°·ˇˉ―‖’”…‰′″›℃∶、。〃〉》」』】〕〗〞︶︺︾﹀﹄﹚﹜﹞！＂％＇），．：；？］｀｜｝～￠"/>
  <w:hdrShapeDefaults>
    <o:shapedefaults v:ext="edit" spidmax="15362"/>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2017C"/>
    <w:rsid w:val="0006547B"/>
    <w:rsid w:val="000A2792"/>
    <w:rsid w:val="001218E4"/>
    <w:rsid w:val="0012249C"/>
    <w:rsid w:val="001416DC"/>
    <w:rsid w:val="001C3F5E"/>
    <w:rsid w:val="001D121D"/>
    <w:rsid w:val="001D76BE"/>
    <w:rsid w:val="001F7A59"/>
    <w:rsid w:val="002925DB"/>
    <w:rsid w:val="00323B43"/>
    <w:rsid w:val="00370E00"/>
    <w:rsid w:val="00391721"/>
    <w:rsid w:val="0039401F"/>
    <w:rsid w:val="003D37D8"/>
    <w:rsid w:val="00426133"/>
    <w:rsid w:val="004358AB"/>
    <w:rsid w:val="00453944"/>
    <w:rsid w:val="00462B06"/>
    <w:rsid w:val="004724EB"/>
    <w:rsid w:val="00486752"/>
    <w:rsid w:val="004D7881"/>
    <w:rsid w:val="00527E1A"/>
    <w:rsid w:val="00530E6E"/>
    <w:rsid w:val="00533D04"/>
    <w:rsid w:val="00573664"/>
    <w:rsid w:val="005C768F"/>
    <w:rsid w:val="005F1B54"/>
    <w:rsid w:val="00606B35"/>
    <w:rsid w:val="006121DF"/>
    <w:rsid w:val="006341F0"/>
    <w:rsid w:val="0064621D"/>
    <w:rsid w:val="006C2156"/>
    <w:rsid w:val="006D1FBA"/>
    <w:rsid w:val="00714250"/>
    <w:rsid w:val="0073360C"/>
    <w:rsid w:val="00753720"/>
    <w:rsid w:val="007D3A08"/>
    <w:rsid w:val="007E064B"/>
    <w:rsid w:val="0082525E"/>
    <w:rsid w:val="0084490B"/>
    <w:rsid w:val="0087294A"/>
    <w:rsid w:val="008A23D7"/>
    <w:rsid w:val="008B7726"/>
    <w:rsid w:val="008D2064"/>
    <w:rsid w:val="008F7C35"/>
    <w:rsid w:val="00932BC5"/>
    <w:rsid w:val="00995D1E"/>
    <w:rsid w:val="00A0057D"/>
    <w:rsid w:val="00AD0656"/>
    <w:rsid w:val="00AE5D49"/>
    <w:rsid w:val="00B22BA8"/>
    <w:rsid w:val="00B22FD8"/>
    <w:rsid w:val="00B2369B"/>
    <w:rsid w:val="00B30F2E"/>
    <w:rsid w:val="00C031F7"/>
    <w:rsid w:val="00C07656"/>
    <w:rsid w:val="00C1530D"/>
    <w:rsid w:val="00C323AF"/>
    <w:rsid w:val="00C54A94"/>
    <w:rsid w:val="00C60348"/>
    <w:rsid w:val="00C7444A"/>
    <w:rsid w:val="00C913CA"/>
    <w:rsid w:val="00C925C7"/>
    <w:rsid w:val="00D037E2"/>
    <w:rsid w:val="00D10F90"/>
    <w:rsid w:val="00D1208C"/>
    <w:rsid w:val="00D31D50"/>
    <w:rsid w:val="00D43EBF"/>
    <w:rsid w:val="00D83955"/>
    <w:rsid w:val="00DB2D94"/>
    <w:rsid w:val="00DE3883"/>
    <w:rsid w:val="00E03632"/>
    <w:rsid w:val="00E655A2"/>
    <w:rsid w:val="00EF52EC"/>
    <w:rsid w:val="00F052B8"/>
    <w:rsid w:val="00F632D9"/>
    <w:rsid w:val="00F64CF8"/>
    <w:rsid w:val="00F953BD"/>
    <w:rsid w:val="00FA120B"/>
    <w:rsid w:val="00FA5361"/>
    <w:rsid w:val="00FA56C9"/>
    <w:rsid w:val="00FE0256"/>
    <w:rsid w:val="19FC1412"/>
    <w:rsid w:val="2ADD0D87"/>
    <w:rsid w:val="319D3524"/>
    <w:rsid w:val="3CD479C3"/>
    <w:rsid w:val="417271D5"/>
    <w:rsid w:val="582A523C"/>
    <w:rsid w:val="5D2570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69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69B"/>
    <w:pPr>
      <w:tabs>
        <w:tab w:val="center" w:pos="4153"/>
        <w:tab w:val="right" w:pos="8306"/>
      </w:tabs>
    </w:pPr>
    <w:rPr>
      <w:sz w:val="18"/>
      <w:szCs w:val="18"/>
    </w:rPr>
  </w:style>
  <w:style w:type="character" w:customStyle="1" w:styleId="Char">
    <w:name w:val="页脚 Char"/>
    <w:basedOn w:val="a0"/>
    <w:link w:val="a3"/>
    <w:uiPriority w:val="99"/>
    <w:semiHidden/>
    <w:locked/>
    <w:rsid w:val="00B2369B"/>
    <w:rPr>
      <w:rFonts w:ascii="Tahoma" w:hAnsi="Tahoma" w:cs="Times New Roman"/>
      <w:kern w:val="0"/>
      <w:sz w:val="18"/>
      <w:szCs w:val="18"/>
    </w:rPr>
  </w:style>
  <w:style w:type="paragraph" w:styleId="a4">
    <w:name w:val="header"/>
    <w:basedOn w:val="a"/>
    <w:link w:val="Char0"/>
    <w:uiPriority w:val="99"/>
    <w:rsid w:val="00B2369B"/>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locked/>
    <w:rsid w:val="00B2369B"/>
    <w:rPr>
      <w:rFonts w:ascii="Tahoma" w:hAnsi="Tahoma" w:cs="Times New Roman"/>
      <w:kern w:val="0"/>
      <w:sz w:val="18"/>
      <w:szCs w:val="18"/>
    </w:rPr>
  </w:style>
  <w:style w:type="paragraph" w:styleId="a5">
    <w:name w:val="Normal (Web)"/>
    <w:basedOn w:val="a"/>
    <w:uiPriority w:val="99"/>
    <w:semiHidden/>
    <w:rsid w:val="00B2369B"/>
    <w:pPr>
      <w:adjustRightInd/>
      <w:snapToGrid/>
      <w:spacing w:before="100" w:beforeAutospacing="1" w:after="100" w:afterAutospacing="1"/>
    </w:pPr>
    <w:rPr>
      <w:rFonts w:ascii="宋体" w:eastAsia="宋体" w:hAnsi="宋体" w:cs="宋体"/>
      <w:sz w:val="24"/>
      <w:szCs w:val="24"/>
    </w:rPr>
  </w:style>
  <w:style w:type="character" w:styleId="a6">
    <w:name w:val="Hyperlink"/>
    <w:basedOn w:val="a0"/>
    <w:uiPriority w:val="99"/>
    <w:semiHidden/>
    <w:rsid w:val="00B2369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89994709">
      <w:bodyDiv w:val="1"/>
      <w:marLeft w:val="0"/>
      <w:marRight w:val="0"/>
      <w:marTop w:val="0"/>
      <w:marBottom w:val="0"/>
      <w:divBdr>
        <w:top w:val="none" w:sz="0" w:space="0" w:color="auto"/>
        <w:left w:val="none" w:sz="0" w:space="0" w:color="auto"/>
        <w:bottom w:val="none" w:sz="0" w:space="0" w:color="auto"/>
        <w:right w:val="none" w:sz="0" w:space="0" w:color="auto"/>
      </w:divBdr>
    </w:div>
    <w:div w:id="85068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32</Pages>
  <Words>1973</Words>
  <Characters>11249</Characters>
  <Application>Microsoft Office Word</Application>
  <DocSecurity>0</DocSecurity>
  <Lines>93</Lines>
  <Paragraphs>26</Paragraphs>
  <ScaleCrop>false</ScaleCrop>
  <Company/>
  <LinksUpToDate>false</LinksUpToDate>
  <CharactersWithSpaces>13196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预算编审中心</cp:lastModifiedBy>
  <cp:revision>30</cp:revision>
  <dcterms:created xsi:type="dcterms:W3CDTF">2008-09-11T17:20:00Z</dcterms:created>
  <dcterms:modified xsi:type="dcterms:W3CDTF">2019-01-29T07:09:00Z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