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BA4" w:rsidRPr="009C7571" w:rsidRDefault="000F0BA4" w:rsidP="005D5B06">
      <w:pPr>
        <w:widowControl/>
        <w:spacing w:line="432" w:lineRule="atLeast"/>
        <w:jc w:val="center"/>
        <w:rPr>
          <w:rFonts w:asciiTheme="minorEastAsia" w:eastAsiaTheme="minorEastAsia" w:hAnsiTheme="minorEastAsia" w:cs="宋体"/>
          <w:color w:val="333333"/>
          <w:kern w:val="0"/>
          <w:sz w:val="44"/>
          <w:szCs w:val="32"/>
        </w:rPr>
      </w:pPr>
      <w:r w:rsidRPr="009C7571">
        <w:rPr>
          <w:rFonts w:asciiTheme="minorEastAsia" w:eastAsiaTheme="minorEastAsia" w:hAnsiTheme="minorEastAsia" w:cs="宋体" w:hint="eastAsia"/>
          <w:color w:val="333333"/>
          <w:kern w:val="0"/>
          <w:sz w:val="44"/>
          <w:szCs w:val="32"/>
        </w:rPr>
        <w:t>秦皇岛市北戴河区旅游局</w:t>
      </w:r>
      <w:r w:rsidR="001E2A83" w:rsidRPr="009C7571">
        <w:rPr>
          <w:rFonts w:asciiTheme="minorEastAsia" w:eastAsiaTheme="minorEastAsia" w:hAnsiTheme="minorEastAsia" w:cs="宋体" w:hint="eastAsia"/>
          <w:color w:val="333333"/>
          <w:kern w:val="0"/>
          <w:sz w:val="44"/>
          <w:szCs w:val="32"/>
        </w:rPr>
        <w:t>2018</w:t>
      </w:r>
      <w:r w:rsidRPr="009C7571">
        <w:rPr>
          <w:rFonts w:asciiTheme="minorEastAsia" w:eastAsiaTheme="minorEastAsia" w:hAnsiTheme="minorEastAsia" w:cs="宋体" w:hint="eastAsia"/>
          <w:color w:val="333333"/>
          <w:kern w:val="0"/>
          <w:sz w:val="44"/>
          <w:szCs w:val="32"/>
        </w:rPr>
        <w:t>年部门预算</w:t>
      </w:r>
    </w:p>
    <w:p w:rsidR="009C7571" w:rsidRDefault="009C7571" w:rsidP="009C7571">
      <w:pPr>
        <w:pStyle w:val="a4"/>
        <w:spacing w:before="0" w:beforeAutospacing="0" w:after="0" w:afterAutospacing="0" w:line="600" w:lineRule="exact"/>
        <w:ind w:left="300" w:right="600" w:firstLine="420"/>
        <w:rPr>
          <w:rFonts w:ascii="仿宋_GB2312" w:eastAsia="仿宋_GB2312"/>
          <w:sz w:val="32"/>
          <w:szCs w:val="32"/>
        </w:rPr>
      </w:pPr>
      <w:r>
        <w:rPr>
          <w:rFonts w:ascii="仿宋_GB2312" w:eastAsia="仿宋_GB2312" w:hAnsi="仿宋" w:hint="eastAsia"/>
          <w:sz w:val="32"/>
          <w:szCs w:val="32"/>
        </w:rPr>
        <w:t>按照《预算法》、《河北省预决算公开操作规程实施细则》和《秦皇岛市市级预算公开办法》规定，现将</w:t>
      </w:r>
      <w:r>
        <w:rPr>
          <w:rFonts w:ascii="仿宋_GB2312" w:eastAsia="仿宋_GB2312" w:hAnsi="仿宋_GB2312" w:hint="eastAsia"/>
          <w:color w:val="333333"/>
          <w:sz w:val="32"/>
          <w:szCs w:val="32"/>
        </w:rPr>
        <w:t>北戴河区</w:t>
      </w:r>
      <w:r w:rsidRPr="005D5B06">
        <w:rPr>
          <w:rFonts w:ascii="仿宋_GB2312" w:eastAsia="仿宋_GB2312" w:hint="eastAsia"/>
          <w:color w:val="333333"/>
          <w:sz w:val="32"/>
          <w:szCs w:val="32"/>
        </w:rPr>
        <w:t>旅游局</w:t>
      </w:r>
      <w:r>
        <w:rPr>
          <w:rFonts w:ascii="仿宋_GB2312" w:eastAsia="仿宋_GB2312" w:hAnsi="仿宋" w:hint="eastAsia"/>
          <w:sz w:val="32"/>
          <w:szCs w:val="32"/>
        </w:rPr>
        <w:t>2018年部门预算公开如下：</w:t>
      </w:r>
    </w:p>
    <w:p w:rsidR="000F0BA4" w:rsidRPr="009C7571" w:rsidRDefault="000F0BA4" w:rsidP="005D5B06">
      <w:pPr>
        <w:widowControl/>
        <w:spacing w:line="600" w:lineRule="exact"/>
        <w:ind w:left="300" w:firstLine="480"/>
        <w:jc w:val="left"/>
        <w:rPr>
          <w:rFonts w:ascii="黑体" w:eastAsia="黑体" w:hAnsi="黑体" w:cs="宋体"/>
          <w:b/>
          <w:color w:val="333333"/>
          <w:kern w:val="0"/>
          <w:sz w:val="32"/>
          <w:szCs w:val="32"/>
        </w:rPr>
      </w:pPr>
      <w:r w:rsidRPr="009C7571">
        <w:rPr>
          <w:rFonts w:ascii="黑体" w:eastAsia="黑体" w:hAnsi="黑体" w:cs="宋体" w:hint="eastAsia"/>
          <w:b/>
          <w:color w:val="333333"/>
          <w:kern w:val="0"/>
          <w:sz w:val="32"/>
          <w:szCs w:val="32"/>
        </w:rPr>
        <w:t>一、部门职责、机构设置等基本情况</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部门职责如下：</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（一）</w:t>
      </w:r>
      <w:r w:rsidR="00152BC1" w:rsidRPr="005D5B06">
        <w:rPr>
          <w:rFonts w:ascii="仿宋_GB2312" w:eastAsia="仿宋_GB2312" w:hAnsi="仿宋" w:hint="eastAsia"/>
          <w:sz w:val="32"/>
          <w:szCs w:val="32"/>
        </w:rPr>
        <w:t>制定我区国内旅游、入境旅游和出境旅游的市场开发战略并组织实施；策划、推广我区旅游产品及旅游线路，开展国内外旅游市场促销工作，指导支持我区旅游市场开发工作，重视乡村旅游推广宣传和管理工作。</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（二）</w:t>
      </w:r>
      <w:r w:rsidR="00152BC1" w:rsidRPr="005D5B06">
        <w:rPr>
          <w:rFonts w:ascii="仿宋_GB2312" w:eastAsia="仿宋_GB2312" w:hAnsi="仿宋" w:hint="eastAsia"/>
          <w:sz w:val="32"/>
          <w:szCs w:val="32"/>
        </w:rPr>
        <w:t>开展乡村旅游（民宿）从业人员系列培训，提升民宿从业人员素质、专业技能；与媒体、网站合作开展宣传，印制发放宣传资料，举办民宿及乡村旅游活动，提高民宿、乡村旅游知名度；招募大学生志愿者智援民宿；开展民宿考核，提升民宿业管理水平和民宿的服务品质；开展高星级和精品民宿评定，指导区内民宿高端化发展；指导老院落融合乡村民宿、城市酒店、家和老屋记忆等元素，建设生态养生、特色鲜明、时尚高端的精品民宿</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lastRenderedPageBreak/>
        <w:t>（三）</w:t>
      </w:r>
      <w:r w:rsidR="00152BC1" w:rsidRPr="005D5B06">
        <w:rPr>
          <w:rFonts w:ascii="仿宋_GB2312" w:eastAsia="仿宋_GB2312" w:hAnsi="仿宋" w:hint="eastAsia"/>
          <w:sz w:val="32"/>
          <w:szCs w:val="32"/>
        </w:rPr>
        <w:t>制定北戴河智慧旅游建设发展的总体规划和分阶段实施计划，并组织实施；负责北戴河智慧旅游网、信息亭和其他应用系统的维护和管理；负责北戴河内外网的维护和管理。</w:t>
      </w:r>
    </w:p>
    <w:p w:rsidR="00152BC1" w:rsidRPr="005D5B06" w:rsidRDefault="00152BC1" w:rsidP="005D5B06">
      <w:pPr>
        <w:spacing w:line="600" w:lineRule="exact"/>
        <w:ind w:left="320" w:hangingChars="100" w:hanging="320"/>
        <w:jc w:val="left"/>
        <w:rPr>
          <w:rFonts w:ascii="仿宋_GB2312" w:eastAsia="仿宋_GB2312" w:hAnsi="仿宋"/>
          <w:sz w:val="32"/>
          <w:szCs w:val="32"/>
        </w:rPr>
      </w:pPr>
      <w:r w:rsidRPr="005D5B06">
        <w:rPr>
          <w:rFonts w:ascii="仿宋_GB2312" w:eastAsia="仿宋_GB2312" w:hAnsi="仿宋" w:cs="宋体" w:hint="eastAsia"/>
          <w:color w:val="333333"/>
          <w:kern w:val="0"/>
          <w:sz w:val="32"/>
          <w:szCs w:val="32"/>
        </w:rPr>
        <w:t xml:space="preserve">     </w:t>
      </w:r>
      <w:r w:rsidR="000F0BA4" w:rsidRPr="005D5B06">
        <w:rPr>
          <w:rFonts w:ascii="仿宋_GB2312" w:eastAsia="仿宋_GB2312" w:hAnsi="仿宋" w:cs="宋体" w:hint="eastAsia"/>
          <w:color w:val="333333"/>
          <w:kern w:val="0"/>
          <w:sz w:val="32"/>
          <w:szCs w:val="32"/>
        </w:rPr>
        <w:t>（四）</w:t>
      </w:r>
      <w:r w:rsidRPr="005D5B06">
        <w:rPr>
          <w:rFonts w:ascii="仿宋_GB2312" w:eastAsia="仿宋_GB2312" w:hAnsi="仿宋" w:hint="eastAsia"/>
          <w:sz w:val="32"/>
          <w:szCs w:val="32"/>
        </w:rPr>
        <w:t>指导北戴河创建全域旅游示范区，树立“城区即景区”和“四季北戴河”理念，构建全域全季旅游空间布局，把景点旅游变成全域旅游、把一季旅游变成四季旅游、把小旅游变成大旅游，实现“四季全时、全域发展、富民兴业”的目标任务。</w:t>
      </w:r>
    </w:p>
    <w:p w:rsidR="000F0BA4" w:rsidRPr="005D5B06" w:rsidRDefault="005D5B06" w:rsidP="005D5B06">
      <w:pPr>
        <w:spacing w:line="600" w:lineRule="exact"/>
        <w:ind w:left="320" w:hangingChars="100" w:hanging="320"/>
        <w:jc w:val="left"/>
        <w:rPr>
          <w:rFonts w:ascii="仿宋_GB2312" w:eastAsia="仿宋_GB2312" w:hAnsi="仿宋"/>
          <w:sz w:val="32"/>
          <w:szCs w:val="32"/>
        </w:rPr>
      </w:pPr>
      <w:r>
        <w:rPr>
          <w:rFonts w:ascii="仿宋_GB2312" w:eastAsia="仿宋_GB2312" w:hAnsi="仿宋" w:hint="eastAsia"/>
          <w:sz w:val="32"/>
          <w:szCs w:val="32"/>
        </w:rPr>
        <w:t xml:space="preserve">      </w:t>
      </w:r>
      <w:r w:rsidR="00152BC1" w:rsidRPr="005D5B06">
        <w:rPr>
          <w:rFonts w:ascii="仿宋_GB2312" w:eastAsia="仿宋_GB2312" w:hAnsi="仿宋" w:hint="eastAsia"/>
          <w:sz w:val="32"/>
          <w:szCs w:val="32"/>
        </w:rPr>
        <w:t>(五)开发维护北戴河智慧旅游网，为游客、商家、景区搭建交流平台，打造北戴河旅游网络门户；开发网上应用系统，为游客提供免费WiFi；搭建智慧旅游服务平台，为企业营销和游客提供高效便捷支持。</w:t>
      </w:r>
    </w:p>
    <w:p w:rsidR="000F0BA4" w:rsidRPr="005D5B06" w:rsidRDefault="005D5B06" w:rsidP="005D5B06">
      <w:pPr>
        <w:widowControl/>
        <w:spacing w:line="600" w:lineRule="exact"/>
        <w:ind w:leftChars="143" w:left="300" w:firstLineChars="100" w:firstLine="32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（六）</w:t>
      </w:r>
      <w:r w:rsidR="000F0BA4" w:rsidRPr="005D5B06">
        <w:rPr>
          <w:rFonts w:ascii="仿宋_GB2312" w:eastAsia="仿宋_GB2312" w:hAnsi="仿宋" w:cs="宋体" w:hint="eastAsia"/>
          <w:color w:val="333333"/>
          <w:kern w:val="0"/>
          <w:sz w:val="32"/>
          <w:szCs w:val="32"/>
        </w:rPr>
        <w:t>组织全市旅游资源普查、规划、开发和相关保护。指导全市重点旅游区域、旅游目的地和旅游线路的规划开发，引导旅游业社会投资，提高资金使用效益。监测全市旅游经济运行；协调和指导全市假日旅游、红色旅游工作。</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w:t>
      </w:r>
      <w:r w:rsidR="005D5B06">
        <w:rPr>
          <w:rFonts w:ascii="仿宋_GB2312" w:eastAsia="仿宋_GB2312" w:hAnsi="仿宋" w:cs="宋体" w:hint="eastAsia"/>
          <w:color w:val="333333"/>
          <w:kern w:val="0"/>
          <w:sz w:val="32"/>
          <w:szCs w:val="32"/>
        </w:rPr>
        <w:t>七)</w:t>
      </w:r>
      <w:r w:rsidRPr="005D5B06">
        <w:rPr>
          <w:rFonts w:ascii="仿宋_GB2312" w:eastAsia="仿宋_GB2312" w:hAnsi="仿宋" w:cs="宋体" w:hint="eastAsia"/>
          <w:color w:val="333333"/>
          <w:kern w:val="0"/>
          <w:sz w:val="32"/>
          <w:szCs w:val="32"/>
        </w:rPr>
        <w:t>负责贯彻国家发展旅游业的方针、政策、法规，监督管理服务质量，维护旅游消费者和经营者合法权益；负责日常监管和行业培训。</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lastRenderedPageBreak/>
        <w:t>（八）拟订全区重大旅游政策、标准，起草地方性法规、规章并监督实施，指导全区旅游工作；开展旅游行业管理，负责日常监管、行业培训。</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机构设置如下：</w:t>
      </w:r>
    </w:p>
    <w:p w:rsidR="000F0BA4" w:rsidRPr="005D5B06" w:rsidRDefault="00152BC1"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2018</w:t>
      </w:r>
      <w:r w:rsidR="000F0BA4" w:rsidRPr="005D5B06">
        <w:rPr>
          <w:rFonts w:ascii="仿宋_GB2312" w:eastAsia="仿宋_GB2312" w:hAnsi="仿宋" w:cs="宋体" w:hint="eastAsia"/>
          <w:color w:val="333333"/>
          <w:kern w:val="0"/>
          <w:sz w:val="32"/>
          <w:szCs w:val="32"/>
        </w:rPr>
        <w:t>年纳入本部门预算汇编范围的独立核算单位共一个，单位名称为秦皇岛市北戴河区旅游局，单位性质为行政机关，内设科室如下：北戴河区旅游局办公室、市场开发股、规划发展股、行业指导股、旅游质监所、旅游产业促进中心、财务股、智慧旅游办公室、乡村办及民宿办。</w:t>
      </w:r>
    </w:p>
    <w:p w:rsidR="009C7571" w:rsidRPr="009C7571" w:rsidRDefault="009C7571" w:rsidP="009C7571">
      <w:pPr>
        <w:widowControl/>
        <w:spacing w:line="600" w:lineRule="exact"/>
        <w:ind w:left="300" w:firstLine="480"/>
        <w:jc w:val="left"/>
        <w:rPr>
          <w:rFonts w:ascii="黑体" w:eastAsia="黑体" w:hAnsi="黑体" w:cs="宋体"/>
          <w:b/>
          <w:color w:val="333333"/>
          <w:kern w:val="0"/>
          <w:sz w:val="32"/>
          <w:szCs w:val="32"/>
        </w:rPr>
      </w:pPr>
      <w:r w:rsidRPr="009C7571">
        <w:rPr>
          <w:rFonts w:ascii="黑体" w:eastAsia="黑体" w:hAnsi="黑体" w:cs="宋体" w:hint="eastAsia"/>
          <w:b/>
          <w:color w:val="333333"/>
          <w:kern w:val="0"/>
          <w:sz w:val="32"/>
          <w:szCs w:val="32"/>
        </w:rPr>
        <w:t>二、部门预算安排的总体情况</w:t>
      </w:r>
    </w:p>
    <w:p w:rsidR="009C7571" w:rsidRPr="00302B25" w:rsidRDefault="00302B25" w:rsidP="00302B25">
      <w:pPr>
        <w:ind w:firstLineChars="200" w:firstLine="640"/>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按照预算管理有关规定，目前我区部门预算的编制实行综合预算管理，即全部收入和支出都反映在预算中。</w:t>
      </w:r>
      <w:r w:rsidR="009C7571" w:rsidRPr="005D5B06">
        <w:rPr>
          <w:rFonts w:ascii="仿宋_GB2312" w:eastAsia="仿宋_GB2312" w:hAnsi="仿宋" w:cs="宋体" w:hint="eastAsia"/>
          <w:color w:val="333333"/>
          <w:kern w:val="0"/>
          <w:sz w:val="32"/>
          <w:szCs w:val="32"/>
        </w:rPr>
        <w:t>秦皇岛市北戴河区旅游局机关及所属单位的收支都包含在部门预算中。</w:t>
      </w:r>
    </w:p>
    <w:p w:rsidR="009C7571" w:rsidRPr="005D5B06" w:rsidRDefault="009C7571" w:rsidP="009C7571">
      <w:pPr>
        <w:pStyle w:val="a8"/>
        <w:widowControl/>
        <w:numPr>
          <w:ilvl w:val="0"/>
          <w:numId w:val="1"/>
        </w:numPr>
        <w:spacing w:line="600" w:lineRule="exact"/>
        <w:ind w:firstLineChars="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收入说明</w:t>
      </w:r>
    </w:p>
    <w:p w:rsidR="009C7571" w:rsidRPr="005D5B06" w:rsidRDefault="009C7571" w:rsidP="009C7571">
      <w:pPr>
        <w:widowControl/>
        <w:spacing w:line="600" w:lineRule="exact"/>
        <w:ind w:firstLineChars="200" w:firstLine="64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反映本部门当年全部收入。2018年预算收入420.54万元，其中：一般公共预算收入420.54万元，事业收入0万元，其他收入0万元。</w:t>
      </w:r>
    </w:p>
    <w:p w:rsidR="009C7571" w:rsidRPr="005D5B06" w:rsidRDefault="009C7571" w:rsidP="009C7571">
      <w:pPr>
        <w:widowControl/>
        <w:spacing w:line="600" w:lineRule="exact"/>
        <w:ind w:left="7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2、支出说明</w:t>
      </w:r>
    </w:p>
    <w:p w:rsidR="009C7571" w:rsidRPr="00302B25" w:rsidRDefault="00302B25" w:rsidP="00302B25">
      <w:pPr>
        <w:ind w:firstLineChars="200" w:firstLine="640"/>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lastRenderedPageBreak/>
        <w:t>收支预算总表支出栏、基本支出表、项目支出表按经济分类和支出功能分类科目编制，反映年度部门预算中支出预算的总体情况。</w:t>
      </w:r>
      <w:r w:rsidR="009C7571" w:rsidRPr="005D5B06">
        <w:rPr>
          <w:rFonts w:ascii="仿宋_GB2312" w:eastAsia="仿宋_GB2312" w:hAnsi="仿宋" w:cs="宋体" w:hint="eastAsia"/>
          <w:color w:val="333333"/>
          <w:kern w:val="0"/>
          <w:sz w:val="32"/>
          <w:szCs w:val="32"/>
        </w:rPr>
        <w:t>2018年度预算总体安排420.54万元。其中基本支出</w:t>
      </w:r>
      <w:r w:rsidR="00BF0940">
        <w:rPr>
          <w:rFonts w:ascii="仿宋_GB2312" w:eastAsia="仿宋_GB2312" w:hAnsi="仿宋" w:cs="宋体" w:hint="eastAsia"/>
          <w:color w:val="333333"/>
          <w:kern w:val="0"/>
          <w:sz w:val="32"/>
          <w:szCs w:val="32"/>
        </w:rPr>
        <w:t>343.74</w:t>
      </w:r>
      <w:r w:rsidR="009C7571" w:rsidRPr="005D5B06">
        <w:rPr>
          <w:rFonts w:ascii="仿宋_GB2312" w:eastAsia="仿宋_GB2312" w:hAnsi="仿宋" w:cs="宋体" w:hint="eastAsia"/>
          <w:color w:val="333333"/>
          <w:kern w:val="0"/>
          <w:sz w:val="32"/>
          <w:szCs w:val="32"/>
        </w:rPr>
        <w:t>万元；项目支出76.8万元，项目支出包括：</w:t>
      </w:r>
    </w:p>
    <w:p w:rsidR="009C7571" w:rsidRPr="005D5B06" w:rsidRDefault="009C7571" w:rsidP="009C7571">
      <w:pPr>
        <w:widowControl/>
        <w:spacing w:line="600" w:lineRule="exact"/>
        <w:ind w:leftChars="143" w:left="300" w:firstLineChars="195" w:firstLine="624"/>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（1）旅游市场开发推广经费60万元；</w:t>
      </w:r>
    </w:p>
    <w:p w:rsidR="009C7571" w:rsidRPr="005D5B06" w:rsidRDefault="009C7571" w:rsidP="009C7571">
      <w:pPr>
        <w:widowControl/>
        <w:spacing w:line="600" w:lineRule="exact"/>
        <w:ind w:leftChars="143" w:left="300" w:firstLineChars="195" w:firstLine="624"/>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(2) 智慧旅游网更新与维护10.8</w:t>
      </w:r>
      <w:r>
        <w:rPr>
          <w:rFonts w:ascii="仿宋_GB2312" w:eastAsia="仿宋_GB2312" w:hAnsi="仿宋" w:cs="宋体" w:hint="eastAsia"/>
          <w:color w:val="333333"/>
          <w:kern w:val="0"/>
          <w:sz w:val="32"/>
          <w:szCs w:val="32"/>
        </w:rPr>
        <w:t>万元；</w:t>
      </w:r>
    </w:p>
    <w:p w:rsidR="009C7571" w:rsidRPr="005D5B06" w:rsidRDefault="009C7571" w:rsidP="009C7571">
      <w:pPr>
        <w:widowControl/>
        <w:spacing w:line="600" w:lineRule="exact"/>
        <w:ind w:leftChars="143" w:left="300" w:firstLineChars="195" w:firstLine="624"/>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(3)旅游执法及安全生产经费6万元。</w:t>
      </w:r>
    </w:p>
    <w:p w:rsidR="009C7571" w:rsidRPr="005D5B06" w:rsidRDefault="009C7571" w:rsidP="009C7571">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3、比上年增减情况</w:t>
      </w:r>
    </w:p>
    <w:p w:rsidR="009C7571" w:rsidRPr="005D5B06" w:rsidRDefault="009C7571" w:rsidP="009C7571">
      <w:pPr>
        <w:widowControl/>
        <w:spacing w:line="600" w:lineRule="exact"/>
        <w:ind w:firstLineChars="200" w:firstLine="64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2018年预算收支安排420.54万元，较2017年预算减少36.82万元，其中：基本支出减少47.32万元，主要原因是人员减少；项目支出增加</w:t>
      </w:r>
      <w:r w:rsidR="00BF0940">
        <w:rPr>
          <w:rFonts w:ascii="仿宋_GB2312" w:eastAsia="仿宋_GB2312" w:hAnsi="仿宋" w:cs="宋体" w:hint="eastAsia"/>
          <w:color w:val="333333"/>
          <w:kern w:val="0"/>
          <w:sz w:val="32"/>
          <w:szCs w:val="32"/>
        </w:rPr>
        <w:t>10.5</w:t>
      </w:r>
      <w:r w:rsidRPr="005D5B06">
        <w:rPr>
          <w:rFonts w:ascii="仿宋_GB2312" w:eastAsia="仿宋_GB2312" w:hAnsi="仿宋" w:cs="宋体" w:hint="eastAsia"/>
          <w:color w:val="333333"/>
          <w:kern w:val="0"/>
          <w:sz w:val="32"/>
          <w:szCs w:val="32"/>
        </w:rPr>
        <w:t>万元，主要原因是工作需要项目资金增加。</w:t>
      </w:r>
    </w:p>
    <w:p w:rsidR="009C7571" w:rsidRPr="009C7571" w:rsidRDefault="009C7571" w:rsidP="009C7571">
      <w:pPr>
        <w:widowControl/>
        <w:spacing w:line="600" w:lineRule="exact"/>
        <w:ind w:left="300" w:firstLine="480"/>
        <w:jc w:val="left"/>
        <w:rPr>
          <w:rFonts w:ascii="黑体" w:eastAsia="黑体" w:hAnsi="黑体" w:cs="宋体"/>
          <w:b/>
          <w:color w:val="333333"/>
          <w:kern w:val="0"/>
          <w:sz w:val="32"/>
          <w:szCs w:val="32"/>
        </w:rPr>
      </w:pPr>
      <w:r w:rsidRPr="009C7571">
        <w:rPr>
          <w:rFonts w:ascii="黑体" w:eastAsia="黑体" w:hAnsi="黑体" w:cs="宋体" w:hint="eastAsia"/>
          <w:b/>
          <w:color w:val="333333"/>
          <w:kern w:val="0"/>
          <w:sz w:val="32"/>
          <w:szCs w:val="32"/>
        </w:rPr>
        <w:t>三、机关运行经费安排情况</w:t>
      </w:r>
    </w:p>
    <w:p w:rsidR="009C7571" w:rsidRPr="005D5B06" w:rsidRDefault="009C7571" w:rsidP="009C7571">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2018年秦皇岛市北戴河区旅游局机关运行经费支出42.65万元，其中办公及印刷费4.2 万元、邮电费10万元、差旅费2.52万元、会议费0.84万元、福利费2.02万元、日常维修费1.12万元、一般设备购置1.12万元、公务用车运行维护费5万元。</w:t>
      </w:r>
    </w:p>
    <w:p w:rsidR="009C7571" w:rsidRPr="009C7571" w:rsidRDefault="009C7571" w:rsidP="009C7571">
      <w:pPr>
        <w:widowControl/>
        <w:spacing w:line="600" w:lineRule="exact"/>
        <w:ind w:left="300" w:firstLine="480"/>
        <w:jc w:val="left"/>
        <w:rPr>
          <w:rFonts w:ascii="黑体" w:eastAsia="黑体" w:hAnsi="黑体" w:cs="宋体"/>
          <w:b/>
          <w:color w:val="333333"/>
          <w:kern w:val="0"/>
          <w:sz w:val="32"/>
          <w:szCs w:val="32"/>
        </w:rPr>
      </w:pPr>
      <w:r w:rsidRPr="009C7571">
        <w:rPr>
          <w:rFonts w:ascii="黑体" w:eastAsia="黑体" w:hAnsi="黑体" w:cs="宋体" w:hint="eastAsia"/>
          <w:b/>
          <w:color w:val="333333"/>
          <w:kern w:val="0"/>
          <w:sz w:val="32"/>
          <w:szCs w:val="32"/>
        </w:rPr>
        <w:lastRenderedPageBreak/>
        <w:t>四、财政拨款“三公”经费预算情况及增减变化原因</w:t>
      </w:r>
    </w:p>
    <w:p w:rsidR="009C7571" w:rsidRDefault="009C7571" w:rsidP="00302B25">
      <w:pPr>
        <w:widowControl/>
        <w:spacing w:line="600" w:lineRule="exact"/>
        <w:ind w:firstLineChars="200" w:firstLine="64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秦皇岛市北戴河区旅游局2018年度“三公”经费财政拨款支出预算为5.56万元，比上年减少0.08万元，减少1%。2018年度“三公”经费财政拨款支出预算中，因公出国费我单位未安排此项支出，公务用车购置及运行费 5万元，其中公务用车购置费我单位无此项支出，公务用车运行费支出5万元，占90%，公务接待费支出0.56万元，占10%。</w:t>
      </w:r>
    </w:p>
    <w:p w:rsidR="00302B25" w:rsidRPr="00302B25" w:rsidRDefault="00302B25" w:rsidP="00302B25">
      <w:pPr>
        <w:ind w:firstLineChars="200" w:firstLine="640"/>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2018年度“三公”经费预算支出</w:t>
      </w:r>
      <w:r>
        <w:rPr>
          <w:rFonts w:ascii="仿宋_GB2312" w:eastAsia="仿宋_GB2312" w:hAnsi="仿宋" w:cs="仿宋" w:hint="eastAsia"/>
          <w:kern w:val="0"/>
          <w:sz w:val="32"/>
          <w:szCs w:val="32"/>
        </w:rPr>
        <w:t>比上年减少</w:t>
      </w:r>
      <w:r w:rsidRPr="00471241">
        <w:rPr>
          <w:rFonts w:ascii="仿宋_GB2312" w:eastAsia="仿宋_GB2312" w:hAnsi="仿宋" w:cs="仿宋" w:hint="eastAsia"/>
          <w:kern w:val="0"/>
          <w:sz w:val="32"/>
          <w:szCs w:val="32"/>
        </w:rPr>
        <w:t>的主要原因：一是严格落实党政机关厉行节约、反对浪费条例规定，加强支出管理，强化预算约束，节约了经费开支；二是贯彻落实公务用车制度改革精神，尽量压缩公务用车运行维护费。</w:t>
      </w:r>
    </w:p>
    <w:p w:rsidR="000F0BA4" w:rsidRPr="009C7571" w:rsidRDefault="009C7571" w:rsidP="005D5B06">
      <w:pPr>
        <w:widowControl/>
        <w:spacing w:line="600" w:lineRule="exact"/>
        <w:ind w:left="300" w:firstLine="480"/>
        <w:jc w:val="left"/>
        <w:rPr>
          <w:rFonts w:ascii="黑体" w:eastAsia="黑体" w:hAnsi="黑体" w:cs="宋体"/>
          <w:b/>
          <w:color w:val="333333"/>
          <w:kern w:val="0"/>
          <w:sz w:val="32"/>
          <w:szCs w:val="32"/>
        </w:rPr>
      </w:pPr>
      <w:r w:rsidRPr="009C7571">
        <w:rPr>
          <w:rFonts w:ascii="黑体" w:eastAsia="黑体" w:hAnsi="黑体" w:cs="宋体" w:hint="eastAsia"/>
          <w:b/>
          <w:color w:val="333333"/>
          <w:kern w:val="0"/>
          <w:sz w:val="32"/>
          <w:szCs w:val="32"/>
        </w:rPr>
        <w:t>五</w:t>
      </w:r>
      <w:r w:rsidR="000F0BA4" w:rsidRPr="009C7571">
        <w:rPr>
          <w:rFonts w:ascii="黑体" w:eastAsia="黑体" w:hAnsi="黑体" w:cs="宋体" w:hint="eastAsia"/>
          <w:b/>
          <w:color w:val="333333"/>
          <w:kern w:val="0"/>
          <w:sz w:val="32"/>
          <w:szCs w:val="32"/>
        </w:rPr>
        <w:t>、绩效预算信息</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总体目标：</w:t>
      </w:r>
    </w:p>
    <w:p w:rsidR="000F0BA4"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按照区委区政府部署，深化旅游立区战略思想，积极推进旅游综合试点改革工作，以打造全域旅游目的地和全区景区提升改造工作为切入点，夯实旅游基础设施，提升旅游服务质量，净化旅游</w:t>
      </w:r>
      <w:r w:rsidRPr="005D5B06">
        <w:rPr>
          <w:rFonts w:ascii="仿宋_GB2312" w:eastAsia="仿宋_GB2312" w:hAnsi="仿宋" w:cs="宋体" w:hint="eastAsia"/>
          <w:color w:val="333333"/>
          <w:kern w:val="0"/>
          <w:sz w:val="32"/>
          <w:szCs w:val="32"/>
        </w:rPr>
        <w:lastRenderedPageBreak/>
        <w:t>市场环境，整治旅游市场秩序，完善智慧旅游体系，推进乡村旅游和民宿管理工作，助力全区实现两个率先的宏伟目标。</w:t>
      </w:r>
    </w:p>
    <w:p w:rsidR="00302B25" w:rsidRPr="00302B25"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职责分类绩效目标：</w:t>
      </w:r>
    </w:p>
    <w:p w:rsidR="00302B25" w:rsidRPr="00302B25"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规划科：引导撬动更多社会资金投资旅游产业，推动旅游与相关产业融合发展，为本区旅游提升提供项目支撑，创建具有较强知名度、美誉度和影响力的旅游目的地体系。</w:t>
      </w:r>
    </w:p>
    <w:p w:rsidR="00302B25" w:rsidRPr="00302B25"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市场科：通过旅游宣传纪念品开发提升、旅游客源市场挖掘及拓展、国内外旅游交流合作，有效提高我区旅游的知名度、美誉度和影响力，打造北戴河四季休闲康养国际品牌形象。</w:t>
      </w:r>
    </w:p>
    <w:p w:rsidR="00302B25" w:rsidRPr="00302B25"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行业科：通过开展行业培训、星级酒店评定和复核等工作，有效提升旅游行业服务质量。</w:t>
      </w:r>
    </w:p>
    <w:p w:rsidR="00302B25" w:rsidRPr="00302B25"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旅游质监所：通过打击旅游市场乱象，净化旅游市场环境，积极协调处理各类旅游投诉，保护旅游消费者和经营者合法权益。</w:t>
      </w:r>
    </w:p>
    <w:p w:rsidR="00302B25" w:rsidRPr="00302B25"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智慧旅游办公室：通过开发北戴河区智慧旅游网、智慧旅游免费WiFi，推动全行业信息化建设，利用信息化手段服务游客、服务商家，进一步完善“智慧旅游”。</w:t>
      </w:r>
    </w:p>
    <w:p w:rsidR="00302B25" w:rsidRPr="00302B25"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lastRenderedPageBreak/>
        <w:t>乡村办及民宿办：指导辖区村落依据自身情况，适度发展乡村旅游产业；组织开展民宿大学生志愿者活动，引导全区民宿行业文明经营。</w:t>
      </w:r>
    </w:p>
    <w:p w:rsidR="00302B25" w:rsidRPr="00302B25"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实现年度发展规划目标的保障措施</w:t>
      </w:r>
    </w:p>
    <w:p w:rsidR="00302B25" w:rsidRPr="00302B25"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（一）加快推进旅游基础设施建设</w:t>
      </w:r>
    </w:p>
    <w:p w:rsidR="00302B25" w:rsidRPr="00302B25"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（二）强化旅游行业管理</w:t>
      </w:r>
    </w:p>
    <w:p w:rsidR="00302B25" w:rsidRPr="00302B25"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（三）积极实施市场开发宣传工作</w:t>
      </w:r>
    </w:p>
    <w:p w:rsidR="00302B25" w:rsidRPr="00302B25"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（四）加强旅游市场整治工作</w:t>
      </w:r>
    </w:p>
    <w:p w:rsidR="00302B25" w:rsidRPr="00302B25"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（五）加快构建智慧旅游体系</w:t>
      </w:r>
    </w:p>
    <w:p w:rsidR="00302B25" w:rsidRPr="00302B25"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302B25">
        <w:rPr>
          <w:rFonts w:ascii="仿宋_GB2312" w:eastAsia="仿宋_GB2312" w:hAnsi="仿宋" w:cs="宋体" w:hint="eastAsia"/>
          <w:color w:val="333333"/>
          <w:kern w:val="0"/>
          <w:sz w:val="32"/>
          <w:szCs w:val="32"/>
        </w:rPr>
        <w:t>（六）大力发展乡村旅游，规范民宿管理</w:t>
      </w:r>
    </w:p>
    <w:p w:rsidR="00302B25" w:rsidRPr="005D5B06" w:rsidRDefault="00302B25" w:rsidP="00302B25">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宋体" w:hint="eastAsia"/>
          <w:sz w:val="32"/>
          <w:szCs w:val="32"/>
        </w:rPr>
        <w:t>部门职责-工作活动绩效目标</w:t>
      </w:r>
    </w:p>
    <w:p w:rsidR="00152BC1" w:rsidRPr="005D5B06" w:rsidRDefault="00152BC1" w:rsidP="005D5B06">
      <w:pPr>
        <w:jc w:val="center"/>
        <w:outlineLvl w:val="0"/>
        <w:rPr>
          <w:rFonts w:ascii="仿宋_GB2312" w:eastAsia="仿宋_GB2312" w:hAnsi="宋体"/>
          <w:sz w:val="32"/>
          <w:szCs w:val="32"/>
        </w:rPr>
      </w:pPr>
      <w:bookmarkStart w:id="0" w:name="_Toc505081456"/>
      <w:r w:rsidRPr="005D5B06">
        <w:rPr>
          <w:rFonts w:ascii="仿宋_GB2312" w:eastAsia="仿宋_GB2312" w:hAnsi="宋体" w:hint="eastAsia"/>
          <w:sz w:val="32"/>
          <w:szCs w:val="32"/>
        </w:rPr>
        <w:t>部门职责-工作活动绩效目标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152BC1" w:rsidRPr="005D5B06" w:rsidTr="003C12C9">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420旅游</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152BC1" w:rsidRPr="005D5B06" w:rsidRDefault="00152BC1" w:rsidP="005D5B06">
            <w:pPr>
              <w:jc w:val="righ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单位：万元</w:t>
            </w:r>
          </w:p>
        </w:tc>
      </w:tr>
      <w:tr w:rsidR="00152BC1" w:rsidRPr="005D5B06" w:rsidTr="003C12C9">
        <w:trPr>
          <w:trHeight w:val="227"/>
          <w:tblHeader/>
          <w:jc w:val="center"/>
        </w:trPr>
        <w:tc>
          <w:tcPr>
            <w:tcW w:w="2341" w:type="dxa"/>
            <w:vMerge w:val="restart"/>
            <w:shd w:val="clear" w:color="auto" w:fill="auto"/>
            <w:vAlign w:val="center"/>
          </w:tcPr>
          <w:p w:rsidR="00152BC1" w:rsidRPr="005D5B06" w:rsidRDefault="00152BC1" w:rsidP="005D5B06">
            <w:pPr>
              <w:jc w:val="center"/>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职责活动</w:t>
            </w:r>
          </w:p>
        </w:tc>
        <w:tc>
          <w:tcPr>
            <w:tcW w:w="1276" w:type="dxa"/>
            <w:vMerge w:val="restart"/>
            <w:shd w:val="clear" w:color="auto" w:fill="auto"/>
            <w:vAlign w:val="center"/>
          </w:tcPr>
          <w:p w:rsidR="00152BC1" w:rsidRPr="005D5B06" w:rsidRDefault="00152BC1" w:rsidP="005D5B06">
            <w:pPr>
              <w:jc w:val="center"/>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年度预算数</w:t>
            </w:r>
          </w:p>
        </w:tc>
        <w:tc>
          <w:tcPr>
            <w:tcW w:w="2976" w:type="dxa"/>
            <w:vMerge w:val="restart"/>
            <w:shd w:val="clear" w:color="auto" w:fill="auto"/>
            <w:vAlign w:val="center"/>
          </w:tcPr>
          <w:p w:rsidR="00152BC1" w:rsidRPr="005D5B06" w:rsidRDefault="00152BC1" w:rsidP="005D5B06">
            <w:pPr>
              <w:jc w:val="center"/>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内容描述</w:t>
            </w:r>
          </w:p>
        </w:tc>
        <w:tc>
          <w:tcPr>
            <w:tcW w:w="2976" w:type="dxa"/>
            <w:vMerge w:val="restart"/>
            <w:shd w:val="clear" w:color="auto" w:fill="auto"/>
            <w:vAlign w:val="center"/>
          </w:tcPr>
          <w:p w:rsidR="00152BC1" w:rsidRPr="005D5B06" w:rsidRDefault="00152BC1" w:rsidP="005D5B06">
            <w:pPr>
              <w:jc w:val="center"/>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绩效目标</w:t>
            </w:r>
          </w:p>
        </w:tc>
        <w:tc>
          <w:tcPr>
            <w:tcW w:w="1417" w:type="dxa"/>
            <w:vMerge w:val="restart"/>
            <w:shd w:val="clear" w:color="auto" w:fill="auto"/>
            <w:vAlign w:val="center"/>
          </w:tcPr>
          <w:p w:rsidR="00152BC1" w:rsidRPr="005D5B06" w:rsidRDefault="00152BC1" w:rsidP="005D5B06">
            <w:pPr>
              <w:jc w:val="center"/>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绩效指标</w:t>
            </w:r>
          </w:p>
        </w:tc>
        <w:tc>
          <w:tcPr>
            <w:tcW w:w="2948" w:type="dxa"/>
            <w:gridSpan w:val="4"/>
            <w:shd w:val="clear" w:color="auto" w:fill="auto"/>
            <w:vAlign w:val="center"/>
          </w:tcPr>
          <w:p w:rsidR="00152BC1" w:rsidRPr="005D5B06" w:rsidRDefault="00152BC1" w:rsidP="005D5B06">
            <w:pPr>
              <w:jc w:val="center"/>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评价标准</w:t>
            </w:r>
          </w:p>
        </w:tc>
      </w:tr>
      <w:tr w:rsidR="00152BC1" w:rsidRPr="005D5B06" w:rsidTr="003C12C9">
        <w:trPr>
          <w:trHeight w:val="227"/>
          <w:tblHeader/>
          <w:jc w:val="center"/>
        </w:trPr>
        <w:tc>
          <w:tcPr>
            <w:tcW w:w="2341" w:type="dxa"/>
            <w:vMerge/>
            <w:shd w:val="clear" w:color="auto" w:fill="auto"/>
            <w:vAlign w:val="center"/>
          </w:tcPr>
          <w:p w:rsidR="00152BC1" w:rsidRPr="005D5B06" w:rsidRDefault="00152BC1" w:rsidP="005D5B06">
            <w:pPr>
              <w:jc w:val="left"/>
              <w:outlineLvl w:val="0"/>
              <w:rPr>
                <w:rFonts w:asciiTheme="minorEastAsia" w:eastAsiaTheme="minorEastAsia" w:hAnsiTheme="minorEastAsia"/>
                <w:sz w:val="24"/>
                <w:szCs w:val="24"/>
              </w:rPr>
            </w:pPr>
          </w:p>
        </w:tc>
        <w:tc>
          <w:tcPr>
            <w:tcW w:w="1276" w:type="dxa"/>
            <w:vMerge/>
            <w:shd w:val="clear" w:color="auto" w:fill="auto"/>
            <w:vAlign w:val="center"/>
          </w:tcPr>
          <w:p w:rsidR="00152BC1" w:rsidRPr="005D5B06" w:rsidRDefault="00152BC1" w:rsidP="005D5B06">
            <w:pPr>
              <w:jc w:val="left"/>
              <w:outlineLvl w:val="0"/>
              <w:rPr>
                <w:rFonts w:asciiTheme="minorEastAsia" w:eastAsiaTheme="minorEastAsia" w:hAnsiTheme="minorEastAsia"/>
                <w:sz w:val="24"/>
                <w:szCs w:val="24"/>
              </w:rPr>
            </w:pPr>
          </w:p>
        </w:tc>
        <w:tc>
          <w:tcPr>
            <w:tcW w:w="2976" w:type="dxa"/>
            <w:vMerge/>
            <w:shd w:val="clear" w:color="auto" w:fill="auto"/>
            <w:vAlign w:val="center"/>
          </w:tcPr>
          <w:p w:rsidR="00152BC1" w:rsidRPr="005D5B06" w:rsidRDefault="00152BC1" w:rsidP="005D5B06">
            <w:pPr>
              <w:jc w:val="left"/>
              <w:outlineLvl w:val="0"/>
              <w:rPr>
                <w:rFonts w:asciiTheme="minorEastAsia" w:eastAsiaTheme="minorEastAsia" w:hAnsiTheme="minorEastAsia"/>
                <w:sz w:val="24"/>
                <w:szCs w:val="24"/>
              </w:rPr>
            </w:pPr>
          </w:p>
        </w:tc>
        <w:tc>
          <w:tcPr>
            <w:tcW w:w="2976" w:type="dxa"/>
            <w:vMerge/>
            <w:shd w:val="clear" w:color="auto" w:fill="auto"/>
            <w:vAlign w:val="center"/>
          </w:tcPr>
          <w:p w:rsidR="00152BC1" w:rsidRPr="005D5B06" w:rsidRDefault="00152BC1" w:rsidP="005D5B06">
            <w:pPr>
              <w:jc w:val="left"/>
              <w:outlineLvl w:val="0"/>
              <w:rPr>
                <w:rFonts w:asciiTheme="minorEastAsia" w:eastAsiaTheme="minorEastAsia" w:hAnsiTheme="minorEastAsia"/>
                <w:sz w:val="24"/>
                <w:szCs w:val="24"/>
              </w:rPr>
            </w:pPr>
          </w:p>
        </w:tc>
        <w:tc>
          <w:tcPr>
            <w:tcW w:w="1417" w:type="dxa"/>
            <w:vMerge/>
            <w:shd w:val="clear" w:color="auto" w:fill="auto"/>
            <w:vAlign w:val="center"/>
          </w:tcPr>
          <w:p w:rsidR="00152BC1" w:rsidRPr="005D5B06" w:rsidRDefault="00152BC1" w:rsidP="005D5B06">
            <w:pPr>
              <w:jc w:val="left"/>
              <w:outlineLvl w:val="0"/>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优</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良</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中</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差</w:t>
            </w:r>
          </w:p>
        </w:tc>
      </w:tr>
      <w:tr w:rsidR="00152BC1" w:rsidRPr="005D5B06" w:rsidTr="003C12C9">
        <w:trPr>
          <w:trHeight w:val="227"/>
          <w:jc w:val="center"/>
        </w:trPr>
        <w:tc>
          <w:tcPr>
            <w:tcW w:w="2341" w:type="dxa"/>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一、旅游市场开发推广及交流合作</w:t>
            </w:r>
          </w:p>
        </w:tc>
        <w:tc>
          <w:tcPr>
            <w:tcW w:w="12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60.00</w:t>
            </w: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制定全区国内旅游、入境旅游和出境旅游的市场开发</w:t>
            </w:r>
            <w:r w:rsidRPr="005D5B06">
              <w:rPr>
                <w:rFonts w:asciiTheme="minorEastAsia" w:eastAsiaTheme="minorEastAsia" w:hAnsiTheme="minorEastAsia" w:hint="eastAsia"/>
                <w:sz w:val="24"/>
                <w:szCs w:val="24"/>
              </w:rPr>
              <w:lastRenderedPageBreak/>
              <w:t>战略并组织实施；策划、推广全区旅游产品及旅游线路，开展国内外旅游市场促销工作，指导支持我区旅游市场开发工作。</w:t>
            </w: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lastRenderedPageBreak/>
              <w:t>通过旅游市场开发推广及交流合作，有效提高我区旅</w:t>
            </w:r>
            <w:r w:rsidRPr="005D5B06">
              <w:rPr>
                <w:rFonts w:asciiTheme="minorEastAsia" w:eastAsiaTheme="minorEastAsia" w:hAnsiTheme="minorEastAsia" w:hint="eastAsia"/>
                <w:sz w:val="24"/>
                <w:szCs w:val="24"/>
              </w:rPr>
              <w:lastRenderedPageBreak/>
              <w:t>游的知名度、美誉度和影响力，吸引更多游客来我区旅游，促进我区旅游经济更快更好发展。</w:t>
            </w: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r>
      <w:tr w:rsidR="00152BC1" w:rsidRPr="005D5B06" w:rsidTr="003C12C9">
        <w:trPr>
          <w:trHeight w:val="227"/>
          <w:jc w:val="center"/>
        </w:trPr>
        <w:tc>
          <w:tcPr>
            <w:tcW w:w="2341" w:type="dxa"/>
            <w:vMerge w:val="restart"/>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lastRenderedPageBreak/>
              <w:t xml:space="preserve">　　1、旅游市场开发推广及交流合作</w:t>
            </w:r>
          </w:p>
        </w:tc>
        <w:tc>
          <w:tcPr>
            <w:tcW w:w="1276" w:type="dxa"/>
            <w:vMerge w:val="restart"/>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60.00</w:t>
            </w:r>
          </w:p>
        </w:tc>
        <w:tc>
          <w:tcPr>
            <w:tcW w:w="2976" w:type="dxa"/>
            <w:vMerge w:val="restart"/>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制定我区国内旅游、入境旅游和出境旅游的市场开发战略并组织实施；策划、推广我区旅游产品及旅游线路，开展国内外旅游市场促销工作，指导支持我区旅游市场开发工作，重视乡村旅游推广宣传和管理工作。</w:t>
            </w:r>
          </w:p>
        </w:tc>
        <w:tc>
          <w:tcPr>
            <w:tcW w:w="2976" w:type="dxa"/>
            <w:vMerge w:val="restart"/>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为塑造北戴河“四季皆美”的旅游目的地形象，重点培育除京、津、冀地区以外的东北、内蒙、山西、河南等周边省份的客源市场，形成“东（东北）、西（山西）、南（河南）、北（内蒙）”的营销网络格局，实现重点市场重点突破，将积极加强与客源地旅游主管部门的交流和沟通，通过业内渠道进行宣传推广，开张以旅游大篷车的宣传形式，对周边客源市场进行旅游宣传促销。</w:t>
            </w: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收集整理我区特色旅游资源，分类编辑制作，满足不同游客群体需要，为游客呈现多彩北戴河。</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80%及以上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60%及以上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40%及以上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4%以下</w:t>
            </w:r>
          </w:p>
        </w:tc>
      </w:tr>
      <w:tr w:rsidR="00152BC1" w:rsidRPr="005D5B06" w:rsidTr="003C12C9">
        <w:trPr>
          <w:trHeight w:val="227"/>
          <w:jc w:val="center"/>
        </w:trPr>
        <w:tc>
          <w:tcPr>
            <w:tcW w:w="2341" w:type="dxa"/>
            <w:vMerge/>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p>
        </w:tc>
        <w:tc>
          <w:tcPr>
            <w:tcW w:w="1276" w:type="dxa"/>
            <w:vMerge/>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vMerge/>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vMerge/>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通过走访相关城市，加强与该城市的交流，扩大我区在该地区的影响力。同时，巩固俄罗斯客源市场，</w:t>
            </w:r>
            <w:r w:rsidRPr="005D5B06">
              <w:rPr>
                <w:rFonts w:asciiTheme="minorEastAsia" w:eastAsiaTheme="minorEastAsia" w:hAnsiTheme="minorEastAsia" w:hint="eastAsia"/>
                <w:sz w:val="24"/>
                <w:szCs w:val="24"/>
              </w:rPr>
              <w:lastRenderedPageBreak/>
              <w:t>吸引更多的俄罗斯游客来我区旅游度假</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lastRenderedPageBreak/>
              <w:t>80%及以上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70%及以上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40%及以上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4%以下</w:t>
            </w:r>
          </w:p>
        </w:tc>
      </w:tr>
      <w:tr w:rsidR="00152BC1" w:rsidRPr="005D5B06" w:rsidTr="003C12C9">
        <w:trPr>
          <w:trHeight w:val="227"/>
          <w:jc w:val="center"/>
        </w:trPr>
        <w:tc>
          <w:tcPr>
            <w:tcW w:w="2341" w:type="dxa"/>
            <w:vMerge/>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p>
        </w:tc>
        <w:tc>
          <w:tcPr>
            <w:tcW w:w="1276" w:type="dxa"/>
            <w:vMerge/>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vMerge/>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vMerge/>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通过参加各种旅游推介活动，借势大力宣传我区旅游资源，加强与外省市旅游主管部门和旅游企业的沟通和联谊，招徕更多的外地游客。</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80%及以上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50%及以上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40%及以上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4%以下</w:t>
            </w:r>
          </w:p>
        </w:tc>
      </w:tr>
      <w:tr w:rsidR="00152BC1" w:rsidRPr="005D5B06" w:rsidTr="003C12C9">
        <w:trPr>
          <w:trHeight w:val="227"/>
          <w:jc w:val="center"/>
        </w:trPr>
        <w:tc>
          <w:tcPr>
            <w:tcW w:w="2341" w:type="dxa"/>
            <w:vMerge w:val="restart"/>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 xml:space="preserve">　　2、旅游市场开发推广及交流合作</w:t>
            </w:r>
          </w:p>
        </w:tc>
        <w:tc>
          <w:tcPr>
            <w:tcW w:w="1276" w:type="dxa"/>
            <w:vMerge w:val="restart"/>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vMerge w:val="restart"/>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开展乡村旅游（民宿）从业人员系列培训，提升民宿从业人员素质、专业技能；与媒体、网站合作开展宣传，印制发放宣传资料，举办民宿及乡村旅游活动，提高民</w:t>
            </w:r>
            <w:r w:rsidRPr="005D5B06">
              <w:rPr>
                <w:rFonts w:asciiTheme="minorEastAsia" w:eastAsiaTheme="minorEastAsia" w:hAnsiTheme="minorEastAsia" w:hint="eastAsia"/>
                <w:sz w:val="24"/>
                <w:szCs w:val="24"/>
              </w:rPr>
              <w:lastRenderedPageBreak/>
              <w:t>宿、乡村旅游知名度；招募大学生志愿者智援民宿；开展民宿考核，提升民宿业管理水平和民宿的服务品质；开展高星级和精品民宿评定，指导区内民宿高端化发展；指导老院落融合乡村民宿、城市酒店、家和老屋记忆等元素，建设生态养生、特色鲜明、时尚高端的精品民宿</w:t>
            </w:r>
          </w:p>
        </w:tc>
        <w:tc>
          <w:tcPr>
            <w:tcW w:w="2976" w:type="dxa"/>
            <w:vMerge w:val="restart"/>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lastRenderedPageBreak/>
              <w:t>提升民宿竞争力；提高了民宿收入；扩大了网络宣传的覆盖面；提高了北戴河乡村旅游和北戴河民宿品牌的知名度；实现了“智援+服务+管理”三位一体；提升</w:t>
            </w:r>
            <w:r w:rsidRPr="005D5B06">
              <w:rPr>
                <w:rFonts w:asciiTheme="minorEastAsia" w:eastAsiaTheme="minorEastAsia" w:hAnsiTheme="minorEastAsia" w:hint="eastAsia"/>
                <w:sz w:val="24"/>
                <w:szCs w:val="24"/>
              </w:rPr>
              <w:lastRenderedPageBreak/>
              <w:t>了民宿业管理水平和民宿的服务品质；引导民宿精品化、高端化发展；促进了民宿产业健康可持续发展。</w:t>
            </w: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lastRenderedPageBreak/>
              <w:t xml:space="preserve">乡村旅游（民宿）从业人员素质系列培训                         </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80%及以上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60%及以上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30%及以上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4%以下</w:t>
            </w:r>
          </w:p>
        </w:tc>
      </w:tr>
      <w:tr w:rsidR="00152BC1" w:rsidRPr="005D5B06" w:rsidTr="003C12C9">
        <w:trPr>
          <w:trHeight w:val="227"/>
          <w:jc w:val="center"/>
        </w:trPr>
        <w:tc>
          <w:tcPr>
            <w:tcW w:w="2341" w:type="dxa"/>
            <w:vMerge/>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p>
        </w:tc>
        <w:tc>
          <w:tcPr>
            <w:tcW w:w="1276" w:type="dxa"/>
            <w:vMerge/>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vMerge/>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vMerge/>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民宿宣传,民宿及乡村</w:t>
            </w:r>
            <w:r w:rsidRPr="005D5B06">
              <w:rPr>
                <w:rFonts w:asciiTheme="minorEastAsia" w:eastAsiaTheme="minorEastAsia" w:hAnsiTheme="minorEastAsia" w:hint="eastAsia"/>
                <w:sz w:val="24"/>
                <w:szCs w:val="24"/>
              </w:rPr>
              <w:lastRenderedPageBreak/>
              <w:t xml:space="preserve">旅游举办活动,招募民宿志愿者 ,反映民宿业管理水平和民宿的服务品质 </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lastRenderedPageBreak/>
              <w:t>80%及以</w:t>
            </w:r>
            <w:r w:rsidRPr="005D5B06">
              <w:rPr>
                <w:rFonts w:asciiTheme="minorEastAsia" w:eastAsiaTheme="minorEastAsia" w:hAnsiTheme="minorEastAsia" w:hint="eastAsia"/>
                <w:sz w:val="24"/>
                <w:szCs w:val="24"/>
              </w:rPr>
              <w:lastRenderedPageBreak/>
              <w:t>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lastRenderedPageBreak/>
              <w:t>50%及以</w:t>
            </w:r>
            <w:r w:rsidRPr="005D5B06">
              <w:rPr>
                <w:rFonts w:asciiTheme="minorEastAsia" w:eastAsiaTheme="minorEastAsia" w:hAnsiTheme="minorEastAsia" w:hint="eastAsia"/>
                <w:sz w:val="24"/>
                <w:szCs w:val="24"/>
              </w:rPr>
              <w:lastRenderedPageBreak/>
              <w:t>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lastRenderedPageBreak/>
              <w:t>20%及以</w:t>
            </w:r>
            <w:r w:rsidRPr="005D5B06">
              <w:rPr>
                <w:rFonts w:asciiTheme="minorEastAsia" w:eastAsiaTheme="minorEastAsia" w:hAnsiTheme="minorEastAsia" w:hint="eastAsia"/>
                <w:sz w:val="24"/>
                <w:szCs w:val="24"/>
              </w:rPr>
              <w:lastRenderedPageBreak/>
              <w:t>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lastRenderedPageBreak/>
              <w:t>4%以下</w:t>
            </w:r>
          </w:p>
        </w:tc>
      </w:tr>
      <w:tr w:rsidR="00152BC1" w:rsidRPr="005D5B06" w:rsidTr="003C12C9">
        <w:trPr>
          <w:trHeight w:val="227"/>
          <w:jc w:val="center"/>
        </w:trPr>
        <w:tc>
          <w:tcPr>
            <w:tcW w:w="2341" w:type="dxa"/>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lastRenderedPageBreak/>
              <w:t>二、旅游宣传及信息化建设</w:t>
            </w:r>
          </w:p>
        </w:tc>
        <w:tc>
          <w:tcPr>
            <w:tcW w:w="12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10.80</w:t>
            </w: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制定北戴河智慧旅游建设发展的总体规划和分阶段实施计划，并组织实施；负责北戴河智慧旅游网、信息亭和其他应用系统的维护和管理；负责北戴河内外网的维护和管理。</w:t>
            </w: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通过北戴河智慧旅游的建设发展，提升全行业的信息化建设，带动我区旅游企业信息化发展，旅游企业及时上网发布公众感兴趣的旅游信息，提高旅游企业竞争力，从而促进旅游业的健康快速发展。通过信息化手段更好的服务游客，为游客提供旅游资源推介、信息查询、免费wifi等服务，达到游客对本地旅游信息的</w:t>
            </w:r>
            <w:r w:rsidRPr="005D5B06">
              <w:rPr>
                <w:rFonts w:asciiTheme="minorEastAsia" w:eastAsiaTheme="minorEastAsia" w:hAnsiTheme="minorEastAsia" w:hint="eastAsia"/>
                <w:sz w:val="24"/>
                <w:szCs w:val="24"/>
              </w:rPr>
              <w:lastRenderedPageBreak/>
              <w:t>智能感知、方便利用的效果。扩大本地商家的宣传营销渠道，完善经营者的营销方式，打造全面的信息平台。</w:t>
            </w: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r>
      <w:tr w:rsidR="00152BC1" w:rsidRPr="005D5B06" w:rsidTr="003C12C9">
        <w:trPr>
          <w:trHeight w:val="227"/>
          <w:jc w:val="center"/>
        </w:trPr>
        <w:tc>
          <w:tcPr>
            <w:tcW w:w="2341" w:type="dxa"/>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lastRenderedPageBreak/>
              <w:t xml:space="preserve">　　1、旅游政务及形象宣传</w:t>
            </w:r>
          </w:p>
        </w:tc>
        <w:tc>
          <w:tcPr>
            <w:tcW w:w="12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开展旅游政务宣传、形象宣传、网络宣传，投放旅游广告、组织重点旅游线路和旅游目的地的宣传推广，旅游宣传品的设计、制作；开展新闻媒体记者采访考察工作。</w:t>
            </w: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r>
      <w:tr w:rsidR="00152BC1" w:rsidRPr="005D5B06" w:rsidTr="003C12C9">
        <w:trPr>
          <w:trHeight w:val="227"/>
          <w:jc w:val="center"/>
        </w:trPr>
        <w:tc>
          <w:tcPr>
            <w:tcW w:w="2341" w:type="dxa"/>
            <w:vMerge w:val="restart"/>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 xml:space="preserve">　　2、北戴河智慧旅游建设</w:t>
            </w:r>
          </w:p>
        </w:tc>
        <w:tc>
          <w:tcPr>
            <w:tcW w:w="1276" w:type="dxa"/>
            <w:vMerge w:val="restart"/>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10.80</w:t>
            </w:r>
          </w:p>
        </w:tc>
        <w:tc>
          <w:tcPr>
            <w:tcW w:w="2976" w:type="dxa"/>
            <w:vMerge w:val="restart"/>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开发维护北戴河智慧旅游网，为游客、商家、景区搭建交流平台，打造北戴河旅游网络门户；开发网上应用系统，为游客提供免费WiFi；搭建智慧旅游服务平台，为企业营销和游客提供高效便捷支持。</w:t>
            </w:r>
          </w:p>
        </w:tc>
        <w:tc>
          <w:tcPr>
            <w:tcW w:w="2976" w:type="dxa"/>
            <w:vMerge w:val="restart"/>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提升我区智慧旅游建设水平，保障游客安全出行。</w:t>
            </w: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网站访问量长率</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80及以上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60%及以上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20%及以上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4%以下</w:t>
            </w:r>
          </w:p>
        </w:tc>
      </w:tr>
      <w:tr w:rsidR="00152BC1" w:rsidRPr="005D5B06" w:rsidTr="003C12C9">
        <w:trPr>
          <w:trHeight w:val="227"/>
          <w:jc w:val="center"/>
        </w:trPr>
        <w:tc>
          <w:tcPr>
            <w:tcW w:w="2341" w:type="dxa"/>
            <w:vMerge/>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p>
        </w:tc>
        <w:tc>
          <w:tcPr>
            <w:tcW w:w="1276" w:type="dxa"/>
            <w:vMerge/>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vMerge/>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vMerge/>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服务游客次数增长率</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80%及以上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60%及以上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30%及以上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4%以下</w:t>
            </w:r>
          </w:p>
        </w:tc>
      </w:tr>
      <w:tr w:rsidR="00152BC1" w:rsidRPr="005D5B06" w:rsidTr="003C12C9">
        <w:trPr>
          <w:trHeight w:val="227"/>
          <w:jc w:val="center"/>
        </w:trPr>
        <w:tc>
          <w:tcPr>
            <w:tcW w:w="2341" w:type="dxa"/>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三、旅游规划及重点项目建设</w:t>
            </w:r>
          </w:p>
        </w:tc>
        <w:tc>
          <w:tcPr>
            <w:tcW w:w="12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组织我区旅游资源普查、规划、开发和相关保护。指导我区重点旅游区域、旅游目</w:t>
            </w:r>
            <w:r w:rsidRPr="005D5B06">
              <w:rPr>
                <w:rFonts w:asciiTheme="minorEastAsia" w:eastAsiaTheme="minorEastAsia" w:hAnsiTheme="minorEastAsia" w:hint="eastAsia"/>
                <w:sz w:val="24"/>
                <w:szCs w:val="24"/>
              </w:rPr>
              <w:lastRenderedPageBreak/>
              <w:t>的地和旅游线路的规划开发，引导旅游业社会投资，提高资金使用效益。监测我区旅游经济运行；协调和指导我区假日旅游、红色旅游工作。</w:t>
            </w: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lastRenderedPageBreak/>
              <w:t>引导撬动更多社会资金投资旅游产业，推动旅游与相关产业融合发展，为打造我</w:t>
            </w:r>
            <w:r w:rsidRPr="005D5B06">
              <w:rPr>
                <w:rFonts w:asciiTheme="minorEastAsia" w:eastAsiaTheme="minorEastAsia" w:hAnsiTheme="minorEastAsia" w:hint="eastAsia"/>
                <w:sz w:val="24"/>
                <w:szCs w:val="24"/>
              </w:rPr>
              <w:lastRenderedPageBreak/>
              <w:t>区旅游升级版提供项目支撑。创建具有较强知名度、美誉度和影响力的旅游目的地体系。</w:t>
            </w: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r>
      <w:tr w:rsidR="00152BC1" w:rsidRPr="005D5B06" w:rsidTr="003C12C9">
        <w:trPr>
          <w:trHeight w:val="227"/>
          <w:jc w:val="center"/>
        </w:trPr>
        <w:tc>
          <w:tcPr>
            <w:tcW w:w="2341" w:type="dxa"/>
            <w:vMerge w:val="restart"/>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lastRenderedPageBreak/>
              <w:t xml:space="preserve">　　1、编制《北戴河全域旅游总体规划及行动方案》</w:t>
            </w:r>
          </w:p>
        </w:tc>
        <w:tc>
          <w:tcPr>
            <w:tcW w:w="1276" w:type="dxa"/>
            <w:vMerge w:val="restart"/>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vMerge w:val="restart"/>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指导北戴河创建全域旅游示范区，树立“城区即景区”和“四季北戴河”理念，构建全域全季旅游空间布局，把景点旅游变成全域旅游、把一季旅游变成四季旅游、把小旅游变成大旅游，实现“四季全时、全域发展、富民兴业”的目标任务。</w:t>
            </w:r>
          </w:p>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组织全市旅游资源普查、规划、开发和相关保护。指导全市重点旅游区域、旅游目的地和旅游线路的规划开发，引导旅游业社会投资，提高资金使用效益。监测全市旅游经济运行；协调和指导全市假日旅游、红色旅游</w:t>
            </w:r>
            <w:r w:rsidRPr="005D5B06">
              <w:rPr>
                <w:rFonts w:asciiTheme="minorEastAsia" w:eastAsiaTheme="minorEastAsia" w:hAnsiTheme="minorEastAsia" w:hint="eastAsia"/>
                <w:sz w:val="24"/>
                <w:szCs w:val="24"/>
              </w:rPr>
              <w:lastRenderedPageBreak/>
              <w:t>工作。</w:t>
            </w:r>
          </w:p>
        </w:tc>
        <w:tc>
          <w:tcPr>
            <w:tcW w:w="2976" w:type="dxa"/>
            <w:vMerge w:val="restart"/>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lastRenderedPageBreak/>
              <w:t>引导撬动更多社会资金投资旅游产业，推动旅游与相关产业融合发展，为打造本市旅游升级版提供项目支撑，创建具有较强知名度、美誉度和影响力的全域旅游目的地体系。</w:t>
            </w: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全区游客增长率</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8%及以上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6%及以上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4%及以上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4%以下</w:t>
            </w:r>
          </w:p>
        </w:tc>
      </w:tr>
      <w:tr w:rsidR="00152BC1" w:rsidRPr="005D5B06" w:rsidTr="003C12C9">
        <w:trPr>
          <w:trHeight w:val="227"/>
          <w:jc w:val="center"/>
        </w:trPr>
        <w:tc>
          <w:tcPr>
            <w:tcW w:w="2341" w:type="dxa"/>
            <w:vMerge/>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p>
        </w:tc>
        <w:tc>
          <w:tcPr>
            <w:tcW w:w="1276" w:type="dxa"/>
            <w:vMerge/>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vMerge/>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vMerge/>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重大违规项目资金比例</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10%以下</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20%以下</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30%以下</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30%及以上</w:t>
            </w:r>
          </w:p>
        </w:tc>
      </w:tr>
      <w:tr w:rsidR="00152BC1" w:rsidRPr="005D5B06" w:rsidTr="003C12C9">
        <w:trPr>
          <w:trHeight w:val="227"/>
          <w:jc w:val="center"/>
        </w:trPr>
        <w:tc>
          <w:tcPr>
            <w:tcW w:w="2341" w:type="dxa"/>
            <w:vMerge w:val="restart"/>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lastRenderedPageBreak/>
              <w:t xml:space="preserve">　　2、省级旅游发展专项资金</w:t>
            </w:r>
          </w:p>
        </w:tc>
        <w:tc>
          <w:tcPr>
            <w:tcW w:w="1276" w:type="dxa"/>
            <w:vMerge w:val="restart"/>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vMerge w:val="restart"/>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按照省旅游发展专项资金文件要求，使用及下拨旅游单位专项资金补助。促进北戴河厕所、游客中心等旅游项目建设。</w:t>
            </w:r>
          </w:p>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组织全市旅游资源普查、规划、开发和相关保护。指导全市重点旅游区域、旅游目的地和旅游线路的规划开发，引导旅游业社会投资，提高资金使用效益。监测全市旅游经济运行；协调和指导全市假日旅游、红色旅游工作。</w:t>
            </w:r>
          </w:p>
        </w:tc>
        <w:tc>
          <w:tcPr>
            <w:tcW w:w="2976" w:type="dxa"/>
            <w:vMerge w:val="restart"/>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引导撬动更多社会资金投资旅游产业，推动旅游与相关产业融合发展，为打造本市旅游升级版提供项目支撑，创建具有较强知名度、美誉度和影响力的旅游目的地体系。</w:t>
            </w: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全区游客增长率</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8%及以上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6%及以上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4%及以上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4%以下</w:t>
            </w:r>
          </w:p>
        </w:tc>
      </w:tr>
      <w:tr w:rsidR="00152BC1" w:rsidRPr="005D5B06" w:rsidTr="003C12C9">
        <w:trPr>
          <w:trHeight w:val="227"/>
          <w:jc w:val="center"/>
        </w:trPr>
        <w:tc>
          <w:tcPr>
            <w:tcW w:w="2341" w:type="dxa"/>
            <w:vMerge/>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p>
        </w:tc>
        <w:tc>
          <w:tcPr>
            <w:tcW w:w="1276" w:type="dxa"/>
            <w:vMerge/>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vMerge/>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vMerge/>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重大违规项目资金比例</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10%以下</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20%以下</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30%以下</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30%及以上</w:t>
            </w:r>
          </w:p>
        </w:tc>
      </w:tr>
      <w:tr w:rsidR="00152BC1" w:rsidRPr="005D5B06" w:rsidTr="003C12C9">
        <w:trPr>
          <w:trHeight w:val="227"/>
          <w:jc w:val="center"/>
        </w:trPr>
        <w:tc>
          <w:tcPr>
            <w:tcW w:w="2341" w:type="dxa"/>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四、旅游政务管理</w:t>
            </w:r>
          </w:p>
        </w:tc>
        <w:tc>
          <w:tcPr>
            <w:tcW w:w="12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负责贯彻国家发展旅游业的方针、政策、法规，监督管理服务质量，维护旅游消费者和经营者合法权益；负责日常监管和行业培训。</w:t>
            </w: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拟定我区重大旅游政策、标准，起草地方性法规、规章并监督实施，指导我区旅游工作；开展旅游行业管理，规范旅游行业行为，开展旅行社A级评定推荐与上报工作，年度开展大型旅游行业培训1次，参训人员达</w:t>
            </w:r>
            <w:r w:rsidRPr="005D5B06">
              <w:rPr>
                <w:rFonts w:asciiTheme="minorEastAsia" w:eastAsiaTheme="minorEastAsia" w:hAnsiTheme="minorEastAsia" w:hint="eastAsia"/>
                <w:sz w:val="24"/>
                <w:szCs w:val="24"/>
              </w:rPr>
              <w:lastRenderedPageBreak/>
              <w:t>102人次以上。保证机关正常运转，圆满完成区政府交办的各类事项。</w:t>
            </w: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r>
      <w:tr w:rsidR="00152BC1" w:rsidRPr="005D5B06" w:rsidTr="003C12C9">
        <w:trPr>
          <w:trHeight w:val="227"/>
          <w:jc w:val="center"/>
        </w:trPr>
        <w:tc>
          <w:tcPr>
            <w:tcW w:w="2341" w:type="dxa"/>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lastRenderedPageBreak/>
              <w:t xml:space="preserve">　　1、综合业务管理</w:t>
            </w:r>
          </w:p>
        </w:tc>
        <w:tc>
          <w:tcPr>
            <w:tcW w:w="12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拟订全区重大旅游政策、标准，起草地方性法规、规章并监督实施，指导全区旅游工作；开展旅游行业管理，负责日常监管、行业培训。</w:t>
            </w: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r>
      <w:tr w:rsidR="00152BC1" w:rsidRPr="005D5B06" w:rsidTr="003C12C9">
        <w:trPr>
          <w:trHeight w:val="227"/>
          <w:jc w:val="center"/>
        </w:trPr>
        <w:tc>
          <w:tcPr>
            <w:tcW w:w="2341" w:type="dxa"/>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五、划拨区派驻村工作组整顿转化后进村工作经费</w:t>
            </w:r>
          </w:p>
        </w:tc>
        <w:tc>
          <w:tcPr>
            <w:tcW w:w="12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划拨区派驻村工作组整顿转化后进村工作经费</w:t>
            </w: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划拨区派驻村工作组整顿转化后进村工作经费</w:t>
            </w: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r>
      <w:tr w:rsidR="00152BC1" w:rsidRPr="005D5B06" w:rsidTr="003C12C9">
        <w:trPr>
          <w:trHeight w:val="227"/>
          <w:jc w:val="center"/>
        </w:trPr>
        <w:tc>
          <w:tcPr>
            <w:tcW w:w="2341" w:type="dxa"/>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 xml:space="preserve">　　1、划拨区派驻村工作组整顿转化后进村工作经费</w:t>
            </w:r>
          </w:p>
        </w:tc>
        <w:tc>
          <w:tcPr>
            <w:tcW w:w="12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划拨区派驻村工作组整顿转化后进村工作经费</w:t>
            </w: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r>
      <w:tr w:rsidR="00152BC1" w:rsidRPr="005D5B06" w:rsidTr="003C12C9">
        <w:trPr>
          <w:trHeight w:val="227"/>
          <w:jc w:val="center"/>
        </w:trPr>
        <w:tc>
          <w:tcPr>
            <w:tcW w:w="2341" w:type="dxa"/>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六、旅游质量监督</w:t>
            </w:r>
          </w:p>
        </w:tc>
        <w:tc>
          <w:tcPr>
            <w:tcW w:w="12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6.00</w:t>
            </w: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指导、督促、检查本区旅游企事业单位贯彻执行国家安全生产法律、法规情况。组织、实施旅游安全教育和宣传。督促、检查旅游企事业单位落实有关旅游者人身、财物安全的保障保险制度。建立和健全安全生产检查工作制度，定期召开安全</w:t>
            </w:r>
            <w:r w:rsidRPr="005D5B06">
              <w:rPr>
                <w:rFonts w:asciiTheme="minorEastAsia" w:eastAsiaTheme="minorEastAsia" w:hAnsiTheme="minorEastAsia" w:hint="eastAsia"/>
                <w:sz w:val="24"/>
                <w:szCs w:val="24"/>
              </w:rPr>
              <w:lastRenderedPageBreak/>
              <w:t>生产工作例会。受理旅游者有关安全问题的投诉，并会同有关部门妥善处理。</w:t>
            </w: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lastRenderedPageBreak/>
              <w:t>加强旅游安全管理，提高应对旅游突发事件的能力，保障旅游者的人身、财产安全，促进旅游业持续健康发展</w:t>
            </w: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r>
      <w:tr w:rsidR="00152BC1" w:rsidRPr="005D5B06" w:rsidTr="003C12C9">
        <w:trPr>
          <w:trHeight w:val="227"/>
          <w:jc w:val="center"/>
        </w:trPr>
        <w:tc>
          <w:tcPr>
            <w:tcW w:w="2341" w:type="dxa"/>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lastRenderedPageBreak/>
              <w:t xml:space="preserve">　　1、旅游质量监督</w:t>
            </w:r>
          </w:p>
        </w:tc>
        <w:tc>
          <w:tcPr>
            <w:tcW w:w="12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6.00</w:t>
            </w: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组织全区景区、星级宾馆、旅行社安全监管负责人和本单位股室负责人共计100余人进行安全教育培训，并聘请安监、质监、消防和安全生产专家各1人进行授课。编印旅游维权、旅游安全应急相关手册</w:t>
            </w: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提升本单位、全区景区、星级宾馆、旅行社安全法律、法规知识的知晓率，安全生产各方面工作如何开展及各方面能力。普及游客的维权意识、应急救援意识，保障旅游者和经营者的各项合法权益。</w:t>
            </w: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法律、法规、应急知识知晓率</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80%及以上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60%及以上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30%及以上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4%以下</w:t>
            </w:r>
          </w:p>
        </w:tc>
      </w:tr>
      <w:tr w:rsidR="00152BC1" w:rsidRPr="005D5B06" w:rsidTr="003C12C9">
        <w:trPr>
          <w:trHeight w:val="227"/>
          <w:jc w:val="center"/>
        </w:trPr>
        <w:tc>
          <w:tcPr>
            <w:tcW w:w="2341" w:type="dxa"/>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七、旅发大会</w:t>
            </w:r>
          </w:p>
        </w:tc>
        <w:tc>
          <w:tcPr>
            <w:tcW w:w="12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承办全市第一届旅发大会</w:t>
            </w: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承办全市第一届旅发大会</w:t>
            </w: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p>
        </w:tc>
      </w:tr>
      <w:tr w:rsidR="00152BC1" w:rsidRPr="005D5B06" w:rsidTr="003C12C9">
        <w:trPr>
          <w:trHeight w:val="227"/>
          <w:jc w:val="center"/>
        </w:trPr>
        <w:tc>
          <w:tcPr>
            <w:tcW w:w="2341" w:type="dxa"/>
            <w:shd w:val="clear" w:color="auto" w:fill="auto"/>
            <w:vAlign w:val="center"/>
          </w:tcPr>
          <w:p w:rsidR="00152BC1" w:rsidRPr="005D5B06" w:rsidRDefault="00152BC1" w:rsidP="005D5B06">
            <w:pPr>
              <w:jc w:val="left"/>
              <w:rPr>
                <w:rFonts w:asciiTheme="minorEastAsia" w:eastAsiaTheme="minorEastAsia" w:hAnsiTheme="minorEastAsia"/>
                <w:b/>
                <w:sz w:val="24"/>
                <w:szCs w:val="24"/>
              </w:rPr>
            </w:pPr>
            <w:r w:rsidRPr="005D5B06">
              <w:rPr>
                <w:rFonts w:asciiTheme="minorEastAsia" w:eastAsiaTheme="minorEastAsia" w:hAnsiTheme="minorEastAsia" w:hint="eastAsia"/>
                <w:b/>
                <w:sz w:val="24"/>
                <w:szCs w:val="24"/>
              </w:rPr>
              <w:t xml:space="preserve">　　1、旅发大会</w:t>
            </w:r>
          </w:p>
        </w:tc>
        <w:tc>
          <w:tcPr>
            <w:tcW w:w="12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承办全市第一届旅发大会</w:t>
            </w:r>
          </w:p>
        </w:tc>
        <w:tc>
          <w:tcPr>
            <w:tcW w:w="2976"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承办全市第一届旅发大会</w:t>
            </w:r>
          </w:p>
        </w:tc>
        <w:tc>
          <w:tcPr>
            <w:tcW w:w="1417" w:type="dxa"/>
            <w:shd w:val="clear" w:color="auto" w:fill="auto"/>
            <w:vAlign w:val="center"/>
          </w:tcPr>
          <w:p w:rsidR="00152BC1" w:rsidRPr="005D5B06" w:rsidRDefault="00152BC1" w:rsidP="005D5B06">
            <w:pPr>
              <w:jc w:val="left"/>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办好第一届旅发大会</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10%及以上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7%及以上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5%及以上</w:t>
            </w:r>
          </w:p>
        </w:tc>
        <w:tc>
          <w:tcPr>
            <w:tcW w:w="737" w:type="dxa"/>
            <w:shd w:val="clear" w:color="auto" w:fill="auto"/>
            <w:vAlign w:val="center"/>
          </w:tcPr>
          <w:p w:rsidR="00152BC1" w:rsidRPr="005D5B06" w:rsidRDefault="00152BC1" w:rsidP="005D5B06">
            <w:pPr>
              <w:jc w:val="center"/>
              <w:rPr>
                <w:rFonts w:asciiTheme="minorEastAsia" w:eastAsiaTheme="minorEastAsia" w:hAnsiTheme="minorEastAsia"/>
                <w:sz w:val="24"/>
                <w:szCs w:val="24"/>
              </w:rPr>
            </w:pPr>
            <w:r w:rsidRPr="005D5B06">
              <w:rPr>
                <w:rFonts w:asciiTheme="minorEastAsia" w:eastAsiaTheme="minorEastAsia" w:hAnsiTheme="minorEastAsia" w:hint="eastAsia"/>
                <w:sz w:val="24"/>
                <w:szCs w:val="24"/>
              </w:rPr>
              <w:t>4%以下</w:t>
            </w:r>
          </w:p>
        </w:tc>
      </w:tr>
    </w:tbl>
    <w:p w:rsidR="00302B25" w:rsidRPr="003E227A" w:rsidRDefault="00302B25" w:rsidP="00302B25">
      <w:pPr>
        <w:rPr>
          <w:rFonts w:ascii="仿宋_GB2312" w:eastAsia="仿宋_GB2312" w:hAnsi="黑体" w:cs="宋体"/>
          <w:kern w:val="0"/>
          <w:sz w:val="32"/>
          <w:szCs w:val="32"/>
        </w:rPr>
      </w:pPr>
      <w:r w:rsidRPr="003E227A">
        <w:rPr>
          <w:rFonts w:ascii="仿宋_GB2312" w:eastAsia="仿宋_GB2312" w:hAnsi="黑体" w:cs="宋体" w:hint="eastAsia"/>
          <w:kern w:val="0"/>
          <w:sz w:val="32"/>
          <w:szCs w:val="32"/>
        </w:rPr>
        <w:t>备注：表中的年度预算数为项目支出，部门工作活动虽未安排项目支出，但由基本支出保障，由于基本支出无法拆分到相应的工作活动，因此部分工作活动没有列示年度预算数。</w:t>
      </w:r>
    </w:p>
    <w:p w:rsidR="000F0BA4" w:rsidRPr="009C7571" w:rsidRDefault="009C7571" w:rsidP="005D5B06">
      <w:pPr>
        <w:widowControl/>
        <w:spacing w:line="600" w:lineRule="exact"/>
        <w:ind w:left="300" w:firstLine="480"/>
        <w:jc w:val="left"/>
        <w:rPr>
          <w:rFonts w:ascii="黑体" w:eastAsia="黑体" w:hAnsi="黑体" w:cs="宋体"/>
          <w:b/>
          <w:color w:val="333333"/>
          <w:kern w:val="0"/>
          <w:sz w:val="32"/>
          <w:szCs w:val="32"/>
        </w:rPr>
      </w:pPr>
      <w:r w:rsidRPr="009C7571">
        <w:rPr>
          <w:rFonts w:ascii="黑体" w:eastAsia="黑体" w:hAnsi="黑体" w:cs="宋体" w:hint="eastAsia"/>
          <w:b/>
          <w:color w:val="333333"/>
          <w:kern w:val="0"/>
          <w:sz w:val="32"/>
          <w:szCs w:val="32"/>
        </w:rPr>
        <w:t>六</w:t>
      </w:r>
      <w:r w:rsidR="000F0BA4" w:rsidRPr="009C7571">
        <w:rPr>
          <w:rFonts w:ascii="黑体" w:eastAsia="黑体" w:hAnsi="黑体" w:cs="宋体" w:hint="eastAsia"/>
          <w:b/>
          <w:color w:val="333333"/>
          <w:kern w:val="0"/>
          <w:sz w:val="32"/>
          <w:szCs w:val="32"/>
        </w:rPr>
        <w:t>、</w:t>
      </w:r>
      <w:r w:rsidR="005D5B06" w:rsidRPr="009C7571">
        <w:rPr>
          <w:rFonts w:ascii="黑体" w:eastAsia="黑体" w:hAnsi="黑体" w:cs="宋体" w:hint="eastAsia"/>
          <w:b/>
          <w:color w:val="333333"/>
          <w:kern w:val="0"/>
          <w:sz w:val="32"/>
          <w:szCs w:val="32"/>
        </w:rPr>
        <w:t>政府采购</w:t>
      </w:r>
      <w:r w:rsidRPr="009C7571">
        <w:rPr>
          <w:rFonts w:ascii="黑体" w:eastAsia="黑体" w:hAnsi="黑体" w:cs="宋体" w:hint="eastAsia"/>
          <w:b/>
          <w:color w:val="333333"/>
          <w:kern w:val="0"/>
          <w:sz w:val="32"/>
          <w:szCs w:val="32"/>
        </w:rPr>
        <w:t>预算情况</w:t>
      </w:r>
    </w:p>
    <w:p w:rsidR="000F0BA4"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本部门预算没有此项公开内容。</w:t>
      </w:r>
    </w:p>
    <w:p w:rsidR="00F7332C" w:rsidRDefault="00F7332C" w:rsidP="00F7332C">
      <w:pPr>
        <w:jc w:val="center"/>
        <w:outlineLvl w:val="0"/>
        <w:rPr>
          <w:rFonts w:ascii="方正小标宋_GBK" w:eastAsia="方正小标宋_GBK"/>
          <w:sz w:val="32"/>
        </w:rPr>
      </w:pPr>
      <w:r>
        <w:rPr>
          <w:rFonts w:ascii="方正小标宋_GBK" w:eastAsia="方正小标宋_GBK" w:hint="eastAsia"/>
          <w:sz w:val="32"/>
        </w:rPr>
        <w:lastRenderedPageBreak/>
        <w:t>部门政府采购预算</w:t>
      </w:r>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309"/>
        <w:gridCol w:w="1037"/>
        <w:gridCol w:w="919"/>
        <w:gridCol w:w="930"/>
        <w:gridCol w:w="718"/>
        <w:gridCol w:w="718"/>
        <w:gridCol w:w="800"/>
        <w:gridCol w:w="908"/>
        <w:gridCol w:w="908"/>
        <w:gridCol w:w="908"/>
        <w:gridCol w:w="908"/>
        <w:gridCol w:w="910"/>
        <w:gridCol w:w="910"/>
        <w:gridCol w:w="869"/>
      </w:tblGrid>
      <w:tr w:rsidR="00F7332C" w:rsidTr="008B6106">
        <w:trPr>
          <w:tblHeader/>
          <w:jc w:val="center"/>
        </w:trPr>
        <w:tc>
          <w:tcPr>
            <w:tcW w:w="2702" w:type="pct"/>
            <w:gridSpan w:val="7"/>
            <w:tcBorders>
              <w:top w:val="single" w:sz="6" w:space="0" w:color="FFFFFF"/>
              <w:left w:val="single" w:sz="6" w:space="0" w:color="FFFFFF"/>
              <w:bottom w:val="single" w:sz="6" w:space="0" w:color="000000"/>
              <w:right w:val="single" w:sz="6" w:space="0" w:color="FFFFFF"/>
            </w:tcBorders>
            <w:vAlign w:val="center"/>
            <w:hideMark/>
          </w:tcPr>
          <w:p w:rsidR="00F7332C" w:rsidRDefault="00F7332C" w:rsidP="008B6106">
            <w:pPr>
              <w:spacing w:line="300" w:lineRule="exact"/>
              <w:rPr>
                <w:rFonts w:ascii="方正小标宋_GBK"/>
              </w:rPr>
            </w:pPr>
            <w:r w:rsidRPr="00F7332C">
              <w:rPr>
                <w:rFonts w:ascii="方正小标宋_GBK" w:hint="eastAsia"/>
              </w:rPr>
              <w:t>420</w:t>
            </w:r>
            <w:r w:rsidRPr="00F7332C">
              <w:rPr>
                <w:rFonts w:ascii="方正小标宋_GBK" w:hint="eastAsia"/>
              </w:rPr>
              <w:t>旅游局</w:t>
            </w:r>
          </w:p>
        </w:tc>
        <w:tc>
          <w:tcPr>
            <w:tcW w:w="2298" w:type="pct"/>
            <w:gridSpan w:val="7"/>
            <w:tcBorders>
              <w:top w:val="single" w:sz="6" w:space="0" w:color="FFFFFF"/>
              <w:left w:val="single" w:sz="6" w:space="0" w:color="FFFFFF"/>
              <w:bottom w:val="single" w:sz="6" w:space="0" w:color="000000"/>
              <w:right w:val="single" w:sz="6" w:space="0" w:color="FFFFFF"/>
            </w:tcBorders>
            <w:vAlign w:val="center"/>
            <w:hideMark/>
          </w:tcPr>
          <w:p w:rsidR="00F7332C" w:rsidRDefault="00F7332C" w:rsidP="008B6106">
            <w:pPr>
              <w:spacing w:line="300" w:lineRule="exact"/>
              <w:jc w:val="right"/>
              <w:rPr>
                <w:rFonts w:ascii="方正书宋_GBK" w:eastAsia="方正书宋_GBK"/>
              </w:rPr>
            </w:pPr>
            <w:r>
              <w:rPr>
                <w:rFonts w:ascii="方正书宋_GBK" w:eastAsia="方正书宋_GBK" w:hint="eastAsia"/>
              </w:rPr>
              <w:t>单位：万元</w:t>
            </w:r>
          </w:p>
        </w:tc>
      </w:tr>
      <w:tr w:rsidR="00F7332C" w:rsidTr="008B6106">
        <w:trPr>
          <w:tblHeader/>
          <w:jc w:val="center"/>
        </w:trPr>
        <w:tc>
          <w:tcPr>
            <w:tcW w:w="1217" w:type="pct"/>
            <w:gridSpan w:val="2"/>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spacing w:line="300" w:lineRule="exact"/>
              <w:jc w:val="center"/>
              <w:rPr>
                <w:rFonts w:ascii="方正书宋_GBK" w:eastAsia="方正书宋_GBK"/>
                <w:b/>
              </w:rPr>
            </w:pPr>
            <w:r>
              <w:rPr>
                <w:rFonts w:ascii="方正书宋_GBK" w:eastAsia="方正书宋_GBK" w:hint="eastAsia"/>
                <w:b/>
              </w:rPr>
              <w:t>政府采购项目来源</w:t>
            </w:r>
          </w:p>
        </w:tc>
        <w:tc>
          <w:tcPr>
            <w:tcW w:w="334" w:type="pct"/>
            <w:vMerge w:val="restar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spacing w:line="300" w:lineRule="exact"/>
              <w:jc w:val="center"/>
              <w:rPr>
                <w:rFonts w:ascii="方正书宋_GBK" w:eastAsia="方正书宋_GBK"/>
                <w:b/>
              </w:rPr>
            </w:pPr>
            <w:r>
              <w:rPr>
                <w:rFonts w:ascii="方正书宋_GBK" w:eastAsia="方正书宋_GBK" w:hint="eastAsia"/>
                <w:b/>
              </w:rPr>
              <w:t>采购物品名称</w:t>
            </w:r>
          </w:p>
        </w:tc>
        <w:tc>
          <w:tcPr>
            <w:tcW w:w="338" w:type="pct"/>
            <w:vMerge w:val="restar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spacing w:line="300" w:lineRule="exact"/>
              <w:jc w:val="center"/>
              <w:rPr>
                <w:rFonts w:ascii="方正书宋_GBK" w:eastAsia="方正书宋_GBK"/>
                <w:b/>
              </w:rPr>
            </w:pPr>
            <w:r>
              <w:rPr>
                <w:rFonts w:ascii="方正书宋_GBK" w:eastAsia="方正书宋_GBK" w:hint="eastAsia"/>
                <w:b/>
              </w:rPr>
              <w:t>政府采购目录序号</w:t>
            </w:r>
          </w:p>
        </w:tc>
        <w:tc>
          <w:tcPr>
            <w:tcW w:w="261" w:type="pct"/>
            <w:vMerge w:val="restar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spacing w:line="300" w:lineRule="exact"/>
              <w:jc w:val="center"/>
              <w:rPr>
                <w:rFonts w:ascii="方正书宋_GBK" w:eastAsia="方正书宋_GBK"/>
                <w:b/>
              </w:rPr>
            </w:pPr>
            <w:r>
              <w:rPr>
                <w:rFonts w:ascii="方正书宋_GBK" w:eastAsia="方正书宋_GBK" w:hint="eastAsia"/>
                <w:b/>
              </w:rPr>
              <w:t>数量  单位</w:t>
            </w:r>
          </w:p>
        </w:tc>
        <w:tc>
          <w:tcPr>
            <w:tcW w:w="261" w:type="pct"/>
            <w:vMerge w:val="restar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spacing w:line="300" w:lineRule="exact"/>
              <w:jc w:val="center"/>
              <w:rPr>
                <w:rFonts w:ascii="方正书宋_GBK" w:eastAsia="方正书宋_GBK"/>
                <w:b/>
              </w:rPr>
            </w:pPr>
            <w:r>
              <w:rPr>
                <w:rFonts w:ascii="方正书宋_GBK" w:eastAsia="方正书宋_GBK" w:hint="eastAsia"/>
                <w:b/>
              </w:rPr>
              <w:t>数量</w:t>
            </w:r>
          </w:p>
        </w:tc>
        <w:tc>
          <w:tcPr>
            <w:tcW w:w="291" w:type="pct"/>
            <w:vMerge w:val="restar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spacing w:line="300" w:lineRule="exact"/>
              <w:jc w:val="center"/>
              <w:rPr>
                <w:rFonts w:ascii="方正书宋_GBK" w:eastAsia="方正书宋_GBK"/>
                <w:b/>
              </w:rPr>
            </w:pPr>
            <w:r>
              <w:rPr>
                <w:rFonts w:ascii="方正书宋_GBK" w:eastAsia="方正书宋_GBK" w:hint="eastAsia"/>
                <w:b/>
              </w:rPr>
              <w:t>单价</w:t>
            </w:r>
          </w:p>
        </w:tc>
        <w:tc>
          <w:tcPr>
            <w:tcW w:w="2298" w:type="pct"/>
            <w:gridSpan w:val="7"/>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spacing w:line="300" w:lineRule="exact"/>
              <w:jc w:val="center"/>
              <w:rPr>
                <w:rFonts w:ascii="方正书宋_GBK" w:eastAsia="方正书宋_GBK"/>
                <w:b/>
              </w:rPr>
            </w:pPr>
            <w:r>
              <w:rPr>
                <w:rFonts w:ascii="方正书宋_GBK" w:eastAsia="方正书宋_GBK" w:hint="eastAsia"/>
                <w:b/>
              </w:rPr>
              <w:t>政府采购金额</w:t>
            </w:r>
          </w:p>
        </w:tc>
      </w:tr>
      <w:tr w:rsidR="00F7332C" w:rsidTr="008B6106">
        <w:trPr>
          <w:tblHeader/>
          <w:jc w:val="center"/>
        </w:trPr>
        <w:tc>
          <w:tcPr>
            <w:tcW w:w="840" w:type="pct"/>
            <w:vMerge w:val="restar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spacing w:line="300" w:lineRule="exact"/>
              <w:jc w:val="center"/>
              <w:rPr>
                <w:rFonts w:ascii="方正书宋_GBK" w:eastAsia="方正书宋_GBK"/>
                <w:b/>
              </w:rPr>
            </w:pPr>
            <w:r>
              <w:rPr>
                <w:rFonts w:ascii="方正书宋_GBK" w:eastAsia="方正书宋_GBK" w:hint="eastAsia"/>
                <w:b/>
              </w:rPr>
              <w:t>项目名称</w:t>
            </w:r>
          </w:p>
        </w:tc>
        <w:tc>
          <w:tcPr>
            <w:tcW w:w="377" w:type="pct"/>
            <w:vMerge w:val="restar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spacing w:line="300" w:lineRule="exact"/>
              <w:jc w:val="center"/>
              <w:rPr>
                <w:rFonts w:ascii="方正书宋_GBK" w:eastAsia="方正书宋_GBK"/>
                <w:b/>
              </w:rPr>
            </w:pPr>
            <w:r>
              <w:rPr>
                <w:rFonts w:ascii="方正书宋_GBK" w:eastAsia="方正书宋_GBK" w:hint="eastAsia"/>
                <w:b/>
              </w:rPr>
              <w:t>预算资金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方正书宋_GBK" w:eastAsia="方正书宋_GBK"/>
                <w:b/>
              </w:rPr>
            </w:pPr>
          </w:p>
        </w:tc>
        <w:tc>
          <w:tcPr>
            <w:tcW w:w="330" w:type="pct"/>
            <w:vMerge w:val="restar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spacing w:line="300" w:lineRule="exact"/>
              <w:jc w:val="center"/>
              <w:rPr>
                <w:rFonts w:ascii="方正书宋_GBK" w:eastAsia="方正书宋_GBK"/>
                <w:b/>
              </w:rPr>
            </w:pPr>
            <w:r>
              <w:rPr>
                <w:rFonts w:ascii="方正书宋_GBK" w:eastAsia="方正书宋_GBK" w:hint="eastAsia"/>
                <w:b/>
              </w:rPr>
              <w:t>总计</w:t>
            </w:r>
          </w:p>
        </w:tc>
        <w:tc>
          <w:tcPr>
            <w:tcW w:w="1652" w:type="pct"/>
            <w:gridSpan w:val="5"/>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spacing w:line="300" w:lineRule="exact"/>
              <w:jc w:val="center"/>
              <w:rPr>
                <w:rFonts w:ascii="方正书宋_GBK" w:eastAsia="方正书宋_GBK"/>
                <w:b/>
              </w:rPr>
            </w:pPr>
            <w:r>
              <w:rPr>
                <w:rFonts w:ascii="方正书宋_GBK" w:eastAsia="方正书宋_GBK" w:hint="eastAsia"/>
                <w:b/>
              </w:rPr>
              <w:t>当年部门预算安排资金</w:t>
            </w:r>
          </w:p>
        </w:tc>
        <w:tc>
          <w:tcPr>
            <w:tcW w:w="316" w:type="pct"/>
            <w:vMerge w:val="restar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spacing w:line="300" w:lineRule="exact"/>
              <w:jc w:val="center"/>
              <w:rPr>
                <w:rFonts w:ascii="方正书宋_GBK" w:eastAsia="方正书宋_GBK"/>
                <w:b/>
              </w:rPr>
            </w:pPr>
            <w:r>
              <w:rPr>
                <w:rFonts w:ascii="方正书宋_GBK" w:eastAsia="方正书宋_GBK" w:hint="eastAsia"/>
                <w:b/>
              </w:rPr>
              <w:t>其他渠道资金</w:t>
            </w:r>
          </w:p>
        </w:tc>
      </w:tr>
      <w:tr w:rsidR="00F7332C" w:rsidTr="008B610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方正书宋_GBK" w:eastAsia="方正书宋_GBK"/>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方正书宋_GBK" w:eastAsia="方正书宋_GBK"/>
                <w:b/>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spacing w:line="300" w:lineRule="exact"/>
              <w:jc w:val="center"/>
              <w:rPr>
                <w:rFonts w:ascii="方正书宋_GBK" w:eastAsia="方正书宋_GBK"/>
                <w:b/>
              </w:rPr>
            </w:pPr>
            <w:r>
              <w:rPr>
                <w:rFonts w:ascii="方正书宋_GBK" w:eastAsia="方正书宋_GBK" w:hint="eastAsia"/>
                <w:b/>
              </w:rPr>
              <w:t>合计</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spacing w:line="300" w:lineRule="exact"/>
              <w:jc w:val="center"/>
              <w:rPr>
                <w:rFonts w:ascii="方正书宋_GBK" w:eastAsia="方正书宋_GBK"/>
                <w:b/>
              </w:rPr>
            </w:pPr>
            <w:r>
              <w:rPr>
                <w:rFonts w:ascii="方正书宋_GBK" w:eastAsia="方正书宋_GBK" w:hint="eastAsia"/>
                <w:b/>
              </w:rPr>
              <w:t>一般公共预算拨款</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spacing w:line="300" w:lineRule="exact"/>
              <w:jc w:val="center"/>
              <w:rPr>
                <w:rFonts w:ascii="方正书宋_GBK" w:eastAsia="方正书宋_GBK"/>
                <w:b/>
              </w:rPr>
            </w:pPr>
            <w:r>
              <w:rPr>
                <w:rFonts w:ascii="方正书宋_GBK" w:eastAsia="方正书宋_GBK" w:hint="eastAsia"/>
                <w:b/>
              </w:rPr>
              <w:t>基金预算拨款</w:t>
            </w:r>
          </w:p>
        </w:tc>
        <w:tc>
          <w:tcPr>
            <w:tcW w:w="331"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spacing w:line="300" w:lineRule="exact"/>
              <w:jc w:val="center"/>
              <w:rPr>
                <w:rFonts w:ascii="方正书宋_GBK" w:eastAsia="方正书宋_GBK"/>
                <w:b/>
              </w:rPr>
            </w:pPr>
            <w:r>
              <w:rPr>
                <w:rFonts w:ascii="方正书宋_GBK" w:eastAsia="方正书宋_GBK" w:hint="eastAsia"/>
                <w:b/>
              </w:rPr>
              <w:t>财政专户核拨</w:t>
            </w:r>
          </w:p>
        </w:tc>
        <w:tc>
          <w:tcPr>
            <w:tcW w:w="331"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spacing w:line="300" w:lineRule="exact"/>
              <w:jc w:val="center"/>
              <w:rPr>
                <w:rFonts w:ascii="方正书宋_GBK" w:eastAsia="方正书宋_GBK"/>
                <w:b/>
              </w:rPr>
            </w:pPr>
            <w:r>
              <w:rPr>
                <w:rFonts w:ascii="方正书宋_GBK" w:eastAsia="方正书宋_GBK" w:hint="eastAsia"/>
                <w:b/>
              </w:rPr>
              <w:t>其他来源收入</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方正书宋_GBK" w:eastAsia="方正书宋_GBK"/>
                <w:b/>
              </w:rPr>
            </w:pPr>
          </w:p>
        </w:tc>
      </w:tr>
      <w:tr w:rsidR="00F7332C" w:rsidTr="008B6106">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spacing w:line="300" w:lineRule="exact"/>
              <w:jc w:val="center"/>
              <w:rPr>
                <w:rFonts w:ascii="方正书宋_GBK" w:eastAsia="方正书宋_GBK"/>
                <w:b/>
              </w:rPr>
            </w:pPr>
            <w:r>
              <w:rPr>
                <w:rFonts w:ascii="方正书宋_GBK" w:eastAsia="方正书宋_GBK" w:hint="eastAsia"/>
                <w:b/>
              </w:rPr>
              <w:t>合　计</w:t>
            </w:r>
          </w:p>
        </w:tc>
        <w:tc>
          <w:tcPr>
            <w:tcW w:w="377"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rPr>
                <w:rFonts w:ascii="方正书宋_GBK" w:eastAsia="方正书宋_GBK"/>
                <w:b/>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r>
      <w:tr w:rsidR="00F7332C" w:rsidTr="008B6106">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rPr>
                <w:rFonts w:ascii="方正书宋_GBK" w:eastAsia="方正书宋_GBK"/>
                <w:b/>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r>
      <w:tr w:rsidR="00F7332C" w:rsidTr="008B6106">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rPr>
                <w:rFonts w:ascii="方正书宋_GBK" w:eastAsia="方正书宋_GBK"/>
                <w:b/>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r>
      <w:tr w:rsidR="00F7332C" w:rsidTr="008B6106">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rPr>
                <w:rFonts w:ascii="方正书宋_GBK" w:eastAsia="方正书宋_GBK"/>
                <w:b/>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r>
      <w:tr w:rsidR="00F7332C" w:rsidTr="008B6106">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rPr>
                <w:rFonts w:ascii="方正书宋_GBK" w:eastAsia="方正书宋_GBK"/>
                <w:b/>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rPr>
                <w:rFonts w:ascii="方正书宋_GBK" w:eastAsia="方正书宋_GBK"/>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F7332C" w:rsidRDefault="00F7332C" w:rsidP="008B6106">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F7332C" w:rsidRDefault="00F7332C" w:rsidP="008B6106">
            <w:pPr>
              <w:spacing w:line="300" w:lineRule="exact"/>
              <w:jc w:val="right"/>
              <w:rPr>
                <w:rFonts w:ascii="方正书宋_GBK" w:eastAsia="方正书宋_GBK"/>
                <w:b/>
              </w:rPr>
            </w:pPr>
          </w:p>
        </w:tc>
      </w:tr>
    </w:tbl>
    <w:p w:rsidR="000F0BA4" w:rsidRPr="009C7571" w:rsidRDefault="009C7571" w:rsidP="005D5B06">
      <w:pPr>
        <w:widowControl/>
        <w:spacing w:line="600" w:lineRule="exact"/>
        <w:ind w:left="300" w:firstLine="480"/>
        <w:jc w:val="left"/>
        <w:rPr>
          <w:rFonts w:ascii="黑体" w:eastAsia="黑体" w:hAnsi="黑体" w:cs="宋体"/>
          <w:b/>
          <w:color w:val="333333"/>
          <w:kern w:val="0"/>
          <w:sz w:val="32"/>
          <w:szCs w:val="32"/>
        </w:rPr>
      </w:pPr>
      <w:r w:rsidRPr="009C7571">
        <w:rPr>
          <w:rFonts w:ascii="黑体" w:eastAsia="黑体" w:hAnsi="黑体" w:cs="宋体" w:hint="eastAsia"/>
          <w:b/>
          <w:color w:val="333333"/>
          <w:kern w:val="0"/>
          <w:sz w:val="32"/>
          <w:szCs w:val="32"/>
        </w:rPr>
        <w:t>七、国有资产信息</w:t>
      </w:r>
    </w:p>
    <w:p w:rsidR="005D5B06" w:rsidRDefault="000F0BA4" w:rsidP="005D5B06">
      <w:pPr>
        <w:widowControl/>
        <w:ind w:firstLineChars="200" w:firstLine="64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截至</w:t>
      </w:r>
      <w:r w:rsidR="00152BC1" w:rsidRPr="005D5B06">
        <w:rPr>
          <w:rFonts w:ascii="仿宋_GB2312" w:eastAsia="仿宋_GB2312" w:hAnsi="仿宋" w:cs="宋体" w:hint="eastAsia"/>
          <w:color w:val="333333"/>
          <w:kern w:val="0"/>
          <w:sz w:val="32"/>
          <w:szCs w:val="32"/>
        </w:rPr>
        <w:t>2017</w:t>
      </w:r>
      <w:r w:rsidRPr="005D5B06">
        <w:rPr>
          <w:rFonts w:ascii="仿宋_GB2312" w:eastAsia="仿宋_GB2312" w:hAnsi="仿宋" w:cs="宋体" w:hint="eastAsia"/>
          <w:color w:val="333333"/>
          <w:kern w:val="0"/>
          <w:sz w:val="32"/>
          <w:szCs w:val="32"/>
        </w:rPr>
        <w:t>年12月31日，</w:t>
      </w:r>
      <w:r w:rsidRPr="005D5B06">
        <w:rPr>
          <w:rFonts w:ascii="仿宋_GB2312" w:eastAsia="仿宋_GB2312" w:hAnsi="仿宋" w:cs="仿宋_GB2312" w:hint="eastAsia"/>
          <w:color w:val="333333"/>
          <w:sz w:val="32"/>
          <w:szCs w:val="32"/>
        </w:rPr>
        <w:t>本部门固定资产金额为</w:t>
      </w:r>
      <w:r w:rsidR="00152BC1" w:rsidRPr="005D5B06">
        <w:rPr>
          <w:rFonts w:ascii="仿宋_GB2312" w:eastAsia="仿宋_GB2312" w:hAnsi="仿宋" w:cs="仿宋_GB2312" w:hint="eastAsia"/>
          <w:color w:val="333333"/>
          <w:sz w:val="32"/>
          <w:szCs w:val="32"/>
        </w:rPr>
        <w:t>221.95</w:t>
      </w:r>
      <w:r w:rsidRPr="005D5B06">
        <w:rPr>
          <w:rFonts w:ascii="仿宋_GB2312" w:eastAsia="仿宋_GB2312" w:hAnsi="仿宋" w:cs="仿宋_GB2312" w:hint="eastAsia"/>
          <w:color w:val="333333"/>
          <w:sz w:val="32"/>
          <w:szCs w:val="32"/>
        </w:rPr>
        <w:t>万元。</w:t>
      </w:r>
      <w:r w:rsidRPr="005D5B06">
        <w:rPr>
          <w:rFonts w:ascii="仿宋_GB2312" w:eastAsia="仿宋_GB2312" w:hAnsi="仿宋" w:cs="宋体" w:hint="eastAsia"/>
          <w:color w:val="333333"/>
          <w:kern w:val="0"/>
          <w:sz w:val="32"/>
          <w:szCs w:val="32"/>
        </w:rPr>
        <w:t>本部门共有车辆7辆，其中，一般公务用车2辆，其他用车5辆（3辆摩托车，一辆面包车，一辆微型双排）。201</w:t>
      </w:r>
      <w:r w:rsidR="005D5B06">
        <w:rPr>
          <w:rFonts w:ascii="仿宋_GB2312" w:eastAsia="仿宋_GB2312" w:hAnsi="仿宋" w:cs="宋体" w:hint="eastAsia"/>
          <w:color w:val="333333"/>
          <w:kern w:val="0"/>
          <w:sz w:val="32"/>
          <w:szCs w:val="32"/>
        </w:rPr>
        <w:t>8</w:t>
      </w:r>
      <w:r w:rsidRPr="005D5B06">
        <w:rPr>
          <w:rFonts w:ascii="仿宋_GB2312" w:eastAsia="仿宋_GB2312" w:hAnsi="仿宋" w:cs="宋体" w:hint="eastAsia"/>
          <w:color w:val="333333"/>
          <w:kern w:val="0"/>
          <w:sz w:val="32"/>
          <w:szCs w:val="32"/>
        </w:rPr>
        <w:t>年未安排国有资产购置预算。</w:t>
      </w:r>
    </w:p>
    <w:p w:rsidR="005613AD" w:rsidRPr="005D5B06" w:rsidRDefault="005613AD" w:rsidP="005D5B06">
      <w:pPr>
        <w:widowControl/>
        <w:ind w:firstLineChars="200" w:firstLine="640"/>
        <w:jc w:val="center"/>
        <w:rPr>
          <w:rFonts w:ascii="仿宋_GB2312" w:eastAsia="仿宋_GB2312" w:hAnsi="仿宋" w:cs="宋体"/>
          <w:color w:val="333333"/>
          <w:kern w:val="0"/>
          <w:sz w:val="32"/>
          <w:szCs w:val="32"/>
        </w:rPr>
      </w:pPr>
      <w:r w:rsidRPr="005D5B06">
        <w:rPr>
          <w:rFonts w:ascii="仿宋_GB2312" w:eastAsia="仿宋_GB2312" w:hAnsiTheme="minorEastAsia" w:hint="eastAsia"/>
          <w:bCs/>
          <w:color w:val="000000"/>
          <w:sz w:val="32"/>
          <w:szCs w:val="32"/>
        </w:rPr>
        <w:t>部</w:t>
      </w:r>
      <w:r w:rsidRPr="005D5B06">
        <w:rPr>
          <w:rFonts w:ascii="仿宋_GB2312" w:eastAsia="仿宋_GB2312" w:hAnsi="宋体" w:hint="eastAsia"/>
          <w:bCs/>
          <w:color w:val="000000"/>
          <w:sz w:val="32"/>
          <w:szCs w:val="32"/>
        </w:rPr>
        <w:t>门固定资产占用情况表</w:t>
      </w:r>
    </w:p>
    <w:tbl>
      <w:tblPr>
        <w:tblW w:w="0" w:type="auto"/>
        <w:tblInd w:w="250" w:type="dxa"/>
        <w:tblLayout w:type="fixed"/>
        <w:tblLook w:val="0000"/>
      </w:tblPr>
      <w:tblGrid>
        <w:gridCol w:w="4394"/>
        <w:gridCol w:w="1374"/>
        <w:gridCol w:w="3021"/>
        <w:gridCol w:w="2998"/>
      </w:tblGrid>
      <w:tr w:rsidR="005613AD" w:rsidRPr="005D5B06" w:rsidTr="005D5B06">
        <w:trPr>
          <w:trHeight w:val="110"/>
        </w:trPr>
        <w:tc>
          <w:tcPr>
            <w:tcW w:w="5768" w:type="dxa"/>
            <w:gridSpan w:val="2"/>
            <w:tcBorders>
              <w:top w:val="nil"/>
              <w:left w:val="nil"/>
              <w:bottom w:val="single" w:sz="4" w:space="0" w:color="auto"/>
              <w:right w:val="nil"/>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编制部门：</w:t>
            </w:r>
            <w:r w:rsidRPr="005D5B06">
              <w:rPr>
                <w:rFonts w:asciiTheme="minorEastAsia" w:eastAsiaTheme="minorEastAsia" w:hAnsiTheme="minorEastAsia" w:cs="宋体" w:hint="eastAsia"/>
                <w:color w:val="333333"/>
                <w:kern w:val="0"/>
                <w:sz w:val="24"/>
                <w:szCs w:val="24"/>
              </w:rPr>
              <w:t>秦皇岛市北戴河区旅游局</w:t>
            </w:r>
          </w:p>
        </w:tc>
        <w:tc>
          <w:tcPr>
            <w:tcW w:w="6019" w:type="dxa"/>
            <w:gridSpan w:val="2"/>
            <w:tcBorders>
              <w:top w:val="nil"/>
              <w:left w:val="nil"/>
              <w:bottom w:val="single" w:sz="4" w:space="0" w:color="auto"/>
              <w:right w:val="nil"/>
            </w:tcBorders>
          </w:tcPr>
          <w:p w:rsidR="005613AD" w:rsidRPr="005D5B06" w:rsidRDefault="005613AD" w:rsidP="005D5B06">
            <w:pPr>
              <w:ind w:firstLineChars="950" w:firstLine="2280"/>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截止时间：</w:t>
            </w:r>
            <w:r w:rsidR="00A46FC6" w:rsidRPr="005D5B06">
              <w:rPr>
                <w:rFonts w:asciiTheme="minorEastAsia" w:eastAsiaTheme="minorEastAsia" w:hAnsiTheme="minorEastAsia" w:cs="仿宋" w:hint="eastAsia"/>
                <w:color w:val="000000"/>
                <w:sz w:val="24"/>
                <w:szCs w:val="24"/>
              </w:rPr>
              <w:t>2017</w:t>
            </w:r>
            <w:r w:rsidRPr="005D5B06">
              <w:rPr>
                <w:rFonts w:asciiTheme="minorEastAsia" w:eastAsiaTheme="minorEastAsia" w:hAnsiTheme="minorEastAsia" w:cs="仿宋" w:hint="eastAsia"/>
                <w:color w:val="000000"/>
                <w:sz w:val="24"/>
                <w:szCs w:val="24"/>
              </w:rPr>
              <w:t xml:space="preserve">年12月31日 </w:t>
            </w:r>
          </w:p>
        </w:tc>
      </w:tr>
      <w:tr w:rsidR="005613AD" w:rsidRPr="005D5B06" w:rsidTr="005D5B06">
        <w:trPr>
          <w:trHeight w:val="110"/>
        </w:trPr>
        <w:tc>
          <w:tcPr>
            <w:tcW w:w="4394"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黑体"/>
                <w:color w:val="000000"/>
                <w:sz w:val="24"/>
                <w:szCs w:val="24"/>
              </w:rPr>
            </w:pPr>
            <w:r w:rsidRPr="005D5B06">
              <w:rPr>
                <w:rFonts w:asciiTheme="minorEastAsia" w:eastAsiaTheme="minorEastAsia" w:hAnsiTheme="minorEastAsia" w:cs="黑体" w:hint="eastAsia"/>
                <w:color w:val="000000"/>
                <w:sz w:val="24"/>
                <w:szCs w:val="24"/>
              </w:rPr>
              <w:t xml:space="preserve">项 目 </w:t>
            </w:r>
          </w:p>
        </w:tc>
        <w:tc>
          <w:tcPr>
            <w:tcW w:w="4395" w:type="dxa"/>
            <w:gridSpan w:val="2"/>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黑体"/>
                <w:color w:val="000000"/>
                <w:sz w:val="24"/>
                <w:szCs w:val="24"/>
              </w:rPr>
            </w:pPr>
            <w:r w:rsidRPr="005D5B06">
              <w:rPr>
                <w:rFonts w:asciiTheme="minorEastAsia" w:eastAsiaTheme="minorEastAsia" w:hAnsiTheme="minorEastAsia" w:cs="黑体" w:hint="eastAsia"/>
                <w:color w:val="000000"/>
                <w:sz w:val="24"/>
                <w:szCs w:val="24"/>
              </w:rPr>
              <w:t xml:space="preserve">数量 </w:t>
            </w:r>
          </w:p>
        </w:tc>
        <w:tc>
          <w:tcPr>
            <w:tcW w:w="2998"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黑体"/>
                <w:color w:val="000000"/>
                <w:sz w:val="24"/>
                <w:szCs w:val="24"/>
              </w:rPr>
            </w:pPr>
            <w:r w:rsidRPr="005D5B06">
              <w:rPr>
                <w:rFonts w:asciiTheme="minorEastAsia" w:eastAsiaTheme="minorEastAsia" w:hAnsiTheme="minorEastAsia" w:cs="黑体" w:hint="eastAsia"/>
                <w:color w:val="000000"/>
                <w:sz w:val="24"/>
                <w:szCs w:val="24"/>
              </w:rPr>
              <w:t xml:space="preserve">价值（金额单位：万元） </w:t>
            </w:r>
          </w:p>
        </w:tc>
      </w:tr>
      <w:tr w:rsidR="005613AD" w:rsidRPr="005D5B06" w:rsidTr="005D5B06">
        <w:trPr>
          <w:trHeight w:val="110"/>
        </w:trPr>
        <w:tc>
          <w:tcPr>
            <w:tcW w:w="4394"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 xml:space="preserve">资产总额 </w:t>
            </w:r>
          </w:p>
        </w:tc>
        <w:tc>
          <w:tcPr>
            <w:tcW w:w="4395" w:type="dxa"/>
            <w:gridSpan w:val="2"/>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 xml:space="preserve">—— </w:t>
            </w:r>
          </w:p>
        </w:tc>
        <w:tc>
          <w:tcPr>
            <w:tcW w:w="2998" w:type="dxa"/>
            <w:tcBorders>
              <w:top w:val="single" w:sz="4" w:space="0" w:color="auto"/>
              <w:left w:val="single" w:sz="4" w:space="0" w:color="auto"/>
              <w:bottom w:val="single" w:sz="4" w:space="0" w:color="auto"/>
              <w:right w:val="single" w:sz="4" w:space="0" w:color="auto"/>
            </w:tcBorders>
          </w:tcPr>
          <w:p w:rsidR="00152BC1"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2</w:t>
            </w:r>
            <w:r w:rsidR="00152BC1" w:rsidRPr="005D5B06">
              <w:rPr>
                <w:rFonts w:asciiTheme="minorEastAsia" w:eastAsiaTheme="minorEastAsia" w:hAnsiTheme="minorEastAsia" w:cs="仿宋" w:hint="eastAsia"/>
                <w:color w:val="000000"/>
                <w:sz w:val="24"/>
                <w:szCs w:val="24"/>
              </w:rPr>
              <w:t>21.95</w:t>
            </w:r>
          </w:p>
        </w:tc>
      </w:tr>
      <w:tr w:rsidR="005613AD" w:rsidRPr="005D5B06" w:rsidTr="005D5B06">
        <w:trPr>
          <w:trHeight w:val="110"/>
        </w:trPr>
        <w:tc>
          <w:tcPr>
            <w:tcW w:w="4394"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lastRenderedPageBreak/>
              <w:t xml:space="preserve">1、房屋（平方米） </w:t>
            </w:r>
          </w:p>
        </w:tc>
        <w:tc>
          <w:tcPr>
            <w:tcW w:w="4395" w:type="dxa"/>
            <w:gridSpan w:val="2"/>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0</w:t>
            </w:r>
          </w:p>
        </w:tc>
        <w:tc>
          <w:tcPr>
            <w:tcW w:w="2998"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0</w:t>
            </w:r>
          </w:p>
        </w:tc>
      </w:tr>
      <w:tr w:rsidR="005613AD" w:rsidRPr="005D5B06" w:rsidTr="005D5B06">
        <w:trPr>
          <w:trHeight w:val="110"/>
        </w:trPr>
        <w:tc>
          <w:tcPr>
            <w:tcW w:w="4394"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 xml:space="preserve">其中：办公用房（平方米） </w:t>
            </w:r>
          </w:p>
        </w:tc>
        <w:tc>
          <w:tcPr>
            <w:tcW w:w="4395" w:type="dxa"/>
            <w:gridSpan w:val="2"/>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0</w:t>
            </w:r>
          </w:p>
        </w:tc>
        <w:tc>
          <w:tcPr>
            <w:tcW w:w="2998"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0</w:t>
            </w:r>
          </w:p>
        </w:tc>
      </w:tr>
      <w:tr w:rsidR="005613AD" w:rsidRPr="005D5B06" w:rsidTr="005D5B06">
        <w:trPr>
          <w:trHeight w:val="110"/>
        </w:trPr>
        <w:tc>
          <w:tcPr>
            <w:tcW w:w="4394"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 xml:space="preserve">2、车辆（台、辆） </w:t>
            </w:r>
          </w:p>
        </w:tc>
        <w:tc>
          <w:tcPr>
            <w:tcW w:w="4395" w:type="dxa"/>
            <w:gridSpan w:val="2"/>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7</w:t>
            </w:r>
          </w:p>
        </w:tc>
        <w:tc>
          <w:tcPr>
            <w:tcW w:w="2998"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46.14</w:t>
            </w:r>
          </w:p>
        </w:tc>
      </w:tr>
      <w:tr w:rsidR="005613AD" w:rsidRPr="005D5B06" w:rsidTr="005D5B06">
        <w:trPr>
          <w:trHeight w:val="110"/>
        </w:trPr>
        <w:tc>
          <w:tcPr>
            <w:tcW w:w="4394"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 xml:space="preserve">3、单价在20万元以上的设备 </w:t>
            </w:r>
          </w:p>
        </w:tc>
        <w:tc>
          <w:tcPr>
            <w:tcW w:w="4395" w:type="dxa"/>
            <w:gridSpan w:val="2"/>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 xml:space="preserve">—— </w:t>
            </w:r>
          </w:p>
        </w:tc>
        <w:tc>
          <w:tcPr>
            <w:tcW w:w="2998"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 xml:space="preserve">—— </w:t>
            </w:r>
          </w:p>
        </w:tc>
      </w:tr>
      <w:tr w:rsidR="005613AD" w:rsidRPr="005D5B06" w:rsidTr="005D5B06">
        <w:trPr>
          <w:trHeight w:val="110"/>
        </w:trPr>
        <w:tc>
          <w:tcPr>
            <w:tcW w:w="4394"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 xml:space="preserve">4、其他固定资产 </w:t>
            </w:r>
          </w:p>
        </w:tc>
        <w:tc>
          <w:tcPr>
            <w:tcW w:w="4395" w:type="dxa"/>
            <w:gridSpan w:val="2"/>
            <w:tcBorders>
              <w:top w:val="single" w:sz="4" w:space="0" w:color="auto"/>
              <w:left w:val="single" w:sz="4" w:space="0" w:color="auto"/>
              <w:bottom w:val="single" w:sz="4" w:space="0" w:color="auto"/>
              <w:right w:val="single" w:sz="4" w:space="0" w:color="auto"/>
            </w:tcBorders>
          </w:tcPr>
          <w:p w:rsidR="005613AD" w:rsidRPr="005D5B06" w:rsidRDefault="00C36FAF" w:rsidP="005D5B06">
            <w:pPr>
              <w:jc w:val="lef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587</w:t>
            </w:r>
          </w:p>
        </w:tc>
        <w:tc>
          <w:tcPr>
            <w:tcW w:w="2998" w:type="dxa"/>
            <w:tcBorders>
              <w:top w:val="single" w:sz="4" w:space="0" w:color="auto"/>
              <w:left w:val="single" w:sz="4" w:space="0" w:color="auto"/>
              <w:bottom w:val="single" w:sz="4" w:space="0" w:color="auto"/>
              <w:right w:val="single" w:sz="4" w:space="0" w:color="auto"/>
            </w:tcBorders>
          </w:tcPr>
          <w:p w:rsidR="005613AD" w:rsidRPr="005D5B06" w:rsidRDefault="005613AD" w:rsidP="005D5B06">
            <w:pPr>
              <w:jc w:val="left"/>
              <w:rPr>
                <w:rFonts w:asciiTheme="minorEastAsia" w:eastAsiaTheme="minorEastAsia" w:hAnsiTheme="minorEastAsia" w:cs="仿宋"/>
                <w:color w:val="000000"/>
                <w:sz w:val="24"/>
                <w:szCs w:val="24"/>
              </w:rPr>
            </w:pPr>
            <w:r w:rsidRPr="005D5B06">
              <w:rPr>
                <w:rFonts w:asciiTheme="minorEastAsia" w:eastAsiaTheme="minorEastAsia" w:hAnsiTheme="minorEastAsia" w:cs="仿宋" w:hint="eastAsia"/>
                <w:color w:val="000000"/>
                <w:sz w:val="24"/>
                <w:szCs w:val="24"/>
              </w:rPr>
              <w:t>1</w:t>
            </w:r>
            <w:r w:rsidR="00152BC1" w:rsidRPr="005D5B06">
              <w:rPr>
                <w:rFonts w:asciiTheme="minorEastAsia" w:eastAsiaTheme="minorEastAsia" w:hAnsiTheme="minorEastAsia" w:cs="仿宋" w:hint="eastAsia"/>
                <w:color w:val="000000"/>
                <w:sz w:val="24"/>
                <w:szCs w:val="24"/>
              </w:rPr>
              <w:t>75.81</w:t>
            </w:r>
          </w:p>
        </w:tc>
      </w:tr>
    </w:tbl>
    <w:p w:rsidR="000F0BA4" w:rsidRPr="009C7571" w:rsidRDefault="000F0BA4" w:rsidP="005D5B06">
      <w:pPr>
        <w:widowControl/>
        <w:spacing w:line="600" w:lineRule="exact"/>
        <w:ind w:left="300" w:firstLine="480"/>
        <w:jc w:val="left"/>
        <w:rPr>
          <w:rFonts w:ascii="黑体" w:eastAsia="黑体" w:hAnsi="黑体" w:cs="宋体"/>
          <w:b/>
          <w:color w:val="333333"/>
          <w:kern w:val="0"/>
          <w:sz w:val="32"/>
          <w:szCs w:val="32"/>
        </w:rPr>
      </w:pPr>
      <w:r w:rsidRPr="009C7571">
        <w:rPr>
          <w:rFonts w:ascii="黑体" w:eastAsia="黑体" w:hAnsi="黑体" w:cs="宋体" w:hint="eastAsia"/>
          <w:b/>
          <w:color w:val="333333"/>
          <w:kern w:val="0"/>
          <w:sz w:val="32"/>
          <w:szCs w:val="32"/>
        </w:rPr>
        <w:t>八、名词解释</w:t>
      </w:r>
    </w:p>
    <w:p w:rsidR="00302B25" w:rsidRPr="003E227A" w:rsidRDefault="00302B25" w:rsidP="00302B25">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1、一般公共预算拨款收入：指省级财政当年拨付的资金。</w:t>
      </w:r>
    </w:p>
    <w:p w:rsidR="00302B25" w:rsidRPr="003E227A" w:rsidRDefault="00302B25" w:rsidP="00302B25">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2、事业收入：指事业单位开展专业业务活动及辅助活动所取得的收入。</w:t>
      </w:r>
    </w:p>
    <w:p w:rsidR="00302B25" w:rsidRPr="003E227A" w:rsidRDefault="00302B25" w:rsidP="00302B25">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3、其他收入：指除“一般公共预算拨款收入”、“事业收入”等以外的收入。主要是按规定动用的租房收入、存款利息收入等。</w:t>
      </w:r>
    </w:p>
    <w:p w:rsidR="00302B25" w:rsidRPr="003E227A" w:rsidRDefault="00302B25" w:rsidP="00302B25">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4、基本支出：指为保障机构正常运转、完成日常工作任务而发生的人员支出和公用支出。</w:t>
      </w:r>
    </w:p>
    <w:p w:rsidR="00302B25" w:rsidRPr="003E227A" w:rsidRDefault="00302B25" w:rsidP="00302B25">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5、项目支出：指在基本支出之外为完成特定行政任务和事业发展目标所发生的支出。</w:t>
      </w:r>
    </w:p>
    <w:p w:rsidR="00302B25" w:rsidRPr="003E227A" w:rsidRDefault="00302B25" w:rsidP="00302B25">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6、上缴上级支出：指下级单位上缴上级的支出。</w:t>
      </w:r>
    </w:p>
    <w:p w:rsidR="00302B25" w:rsidRPr="003E227A" w:rsidRDefault="00302B25" w:rsidP="00302B25">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w:t>
      </w:r>
      <w:r w:rsidRPr="003E227A">
        <w:rPr>
          <w:rFonts w:ascii="仿宋_GB2312" w:eastAsia="仿宋_GB2312" w:hAnsi="仿宋" w:cs="仿宋" w:hint="eastAsia"/>
          <w:kern w:val="0"/>
          <w:sz w:val="32"/>
          <w:szCs w:val="32"/>
        </w:rPr>
        <w:lastRenderedPageBreak/>
        <w:t>务用车购置费及租用费、燃料费、维修费、过路过桥费、保险费、安全奖励费用等支出；公务接待费反映单位按规定开支的各类公务接待（含外宾接待）支出。</w:t>
      </w:r>
    </w:p>
    <w:p w:rsidR="00302B25" w:rsidRPr="003E227A" w:rsidRDefault="00302B25" w:rsidP="00302B25">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302B25" w:rsidRPr="003E227A" w:rsidRDefault="00302B25" w:rsidP="00302B25">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9、上年结转：指以前年度尚未完成、结转到本年仍按原规定用途继续使用的资金。</w:t>
      </w:r>
    </w:p>
    <w:p w:rsidR="000F0BA4" w:rsidRPr="00302B25" w:rsidRDefault="00302B25" w:rsidP="00302B25">
      <w:pPr>
        <w:ind w:firstLineChars="200" w:firstLine="640"/>
      </w:pPr>
      <w:r w:rsidRPr="003E227A">
        <w:rPr>
          <w:rFonts w:ascii="仿宋_GB2312" w:eastAsia="仿宋_GB2312" w:hAnsi="仿宋" w:cs="仿宋" w:hint="eastAsia"/>
          <w:kern w:val="0"/>
          <w:sz w:val="32"/>
          <w:szCs w:val="32"/>
        </w:rPr>
        <w:t>10、事业单位经营支出：指事业单位在专业业务活动及其辅助活动之外开展非独立核算经营活动发生的支出。</w:t>
      </w:r>
    </w:p>
    <w:p w:rsidR="000F0BA4" w:rsidRPr="009C7571" w:rsidRDefault="000F0BA4" w:rsidP="005D5B06">
      <w:pPr>
        <w:widowControl/>
        <w:spacing w:line="600" w:lineRule="exact"/>
        <w:ind w:left="300" w:firstLine="480"/>
        <w:jc w:val="left"/>
        <w:rPr>
          <w:rFonts w:ascii="黑体" w:eastAsia="黑体" w:hAnsi="黑体" w:cs="宋体"/>
          <w:b/>
          <w:color w:val="333333"/>
          <w:kern w:val="0"/>
          <w:sz w:val="32"/>
          <w:szCs w:val="32"/>
        </w:rPr>
      </w:pPr>
      <w:r w:rsidRPr="009C7571">
        <w:rPr>
          <w:rFonts w:ascii="黑体" w:eastAsia="黑体" w:hAnsi="黑体" w:cs="宋体" w:hint="eastAsia"/>
          <w:b/>
          <w:color w:val="333333"/>
          <w:kern w:val="0"/>
          <w:sz w:val="32"/>
          <w:szCs w:val="32"/>
        </w:rPr>
        <w:t>九、其他需说明的事项</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r w:rsidRPr="005D5B06">
        <w:rPr>
          <w:rFonts w:ascii="仿宋_GB2312" w:eastAsia="仿宋_GB2312" w:hAnsi="仿宋" w:cs="宋体" w:hint="eastAsia"/>
          <w:color w:val="333333"/>
          <w:kern w:val="0"/>
          <w:sz w:val="32"/>
          <w:szCs w:val="32"/>
        </w:rPr>
        <w:t>无其他需说明的事项。</w:t>
      </w:r>
    </w:p>
    <w:p w:rsidR="000F0BA4" w:rsidRPr="005D5B06" w:rsidRDefault="000F0BA4" w:rsidP="005D5B06">
      <w:pPr>
        <w:widowControl/>
        <w:spacing w:line="600" w:lineRule="exact"/>
        <w:ind w:left="300" w:firstLine="480"/>
        <w:jc w:val="left"/>
        <w:rPr>
          <w:rFonts w:ascii="仿宋_GB2312" w:eastAsia="仿宋_GB2312" w:hAnsi="仿宋" w:cs="宋体"/>
          <w:color w:val="333333"/>
          <w:kern w:val="0"/>
          <w:sz w:val="32"/>
          <w:szCs w:val="32"/>
        </w:rPr>
      </w:pPr>
    </w:p>
    <w:sectPr w:rsidR="000F0BA4" w:rsidRPr="005D5B06" w:rsidSect="008A7D61">
      <w:head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E41" w:rsidRDefault="00EA6E41" w:rsidP="00952C37">
      <w:r>
        <w:separator/>
      </w:r>
    </w:p>
  </w:endnote>
  <w:endnote w:type="continuationSeparator" w:id="1">
    <w:p w:rsidR="00EA6E41" w:rsidRDefault="00EA6E41" w:rsidP="00952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E41" w:rsidRDefault="00EA6E41" w:rsidP="00952C37">
      <w:r>
        <w:separator/>
      </w:r>
    </w:p>
  </w:footnote>
  <w:footnote w:type="continuationSeparator" w:id="1">
    <w:p w:rsidR="00EA6E41" w:rsidRDefault="00EA6E41" w:rsidP="00952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A4" w:rsidRDefault="000F0BA4" w:rsidP="00AC083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B78BF"/>
    <w:multiLevelType w:val="hybridMultilevel"/>
    <w:tmpl w:val="AFB09D3E"/>
    <w:lvl w:ilvl="0" w:tplc="9A5C4670">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453"/>
    <w:rsid w:val="000B1648"/>
    <w:rsid w:val="000F0BA4"/>
    <w:rsid w:val="00122BA3"/>
    <w:rsid w:val="00152BC1"/>
    <w:rsid w:val="001626A3"/>
    <w:rsid w:val="00185860"/>
    <w:rsid w:val="001C09D9"/>
    <w:rsid w:val="001C7D89"/>
    <w:rsid w:val="001D655E"/>
    <w:rsid w:val="001E2A83"/>
    <w:rsid w:val="0020360E"/>
    <w:rsid w:val="002051DA"/>
    <w:rsid w:val="002A2028"/>
    <w:rsid w:val="002B6A31"/>
    <w:rsid w:val="002C22B2"/>
    <w:rsid w:val="002D3F80"/>
    <w:rsid w:val="002E6985"/>
    <w:rsid w:val="00302B25"/>
    <w:rsid w:val="0032454D"/>
    <w:rsid w:val="00330DD7"/>
    <w:rsid w:val="00354963"/>
    <w:rsid w:val="00496707"/>
    <w:rsid w:val="004A542F"/>
    <w:rsid w:val="004E1669"/>
    <w:rsid w:val="00541458"/>
    <w:rsid w:val="005613AD"/>
    <w:rsid w:val="005D5B06"/>
    <w:rsid w:val="00614CB3"/>
    <w:rsid w:val="00663F18"/>
    <w:rsid w:val="00684FA6"/>
    <w:rsid w:val="006B2965"/>
    <w:rsid w:val="007D47AE"/>
    <w:rsid w:val="007E76BA"/>
    <w:rsid w:val="007F7C24"/>
    <w:rsid w:val="00832131"/>
    <w:rsid w:val="00852F9A"/>
    <w:rsid w:val="00860553"/>
    <w:rsid w:val="00887956"/>
    <w:rsid w:val="008A7D61"/>
    <w:rsid w:val="008B7F1D"/>
    <w:rsid w:val="00952C37"/>
    <w:rsid w:val="00975E59"/>
    <w:rsid w:val="009A4E71"/>
    <w:rsid w:val="009C7571"/>
    <w:rsid w:val="00A14F24"/>
    <w:rsid w:val="00A3546C"/>
    <w:rsid w:val="00A46FC6"/>
    <w:rsid w:val="00A5679E"/>
    <w:rsid w:val="00AC083F"/>
    <w:rsid w:val="00B074C9"/>
    <w:rsid w:val="00B126C9"/>
    <w:rsid w:val="00B14433"/>
    <w:rsid w:val="00B225F7"/>
    <w:rsid w:val="00BA7CDB"/>
    <w:rsid w:val="00BB3DA3"/>
    <w:rsid w:val="00BE5453"/>
    <w:rsid w:val="00BF0940"/>
    <w:rsid w:val="00C36FAF"/>
    <w:rsid w:val="00C44380"/>
    <w:rsid w:val="00C52472"/>
    <w:rsid w:val="00C7121D"/>
    <w:rsid w:val="00C908D3"/>
    <w:rsid w:val="00CB34AB"/>
    <w:rsid w:val="00CD10C0"/>
    <w:rsid w:val="00D223FD"/>
    <w:rsid w:val="00D32FE1"/>
    <w:rsid w:val="00D53AD4"/>
    <w:rsid w:val="00D544AA"/>
    <w:rsid w:val="00D8594E"/>
    <w:rsid w:val="00DE32DB"/>
    <w:rsid w:val="00E86F33"/>
    <w:rsid w:val="00EA6E41"/>
    <w:rsid w:val="00ED4E74"/>
    <w:rsid w:val="00F7332C"/>
    <w:rsid w:val="00F8770B"/>
    <w:rsid w:val="00FC01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5F7"/>
    <w:pPr>
      <w:widowControl w:val="0"/>
      <w:jc w:val="both"/>
    </w:pPr>
    <w:rPr>
      <w:kern w:val="2"/>
      <w:sz w:val="21"/>
      <w:szCs w:val="22"/>
    </w:rPr>
  </w:style>
  <w:style w:type="paragraph" w:styleId="1">
    <w:name w:val="heading 1"/>
    <w:basedOn w:val="a"/>
    <w:link w:val="1Char"/>
    <w:uiPriority w:val="99"/>
    <w:qFormat/>
    <w:rsid w:val="00BE5453"/>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link w:val="3Char"/>
    <w:uiPriority w:val="99"/>
    <w:qFormat/>
    <w:rsid w:val="00BE545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E5453"/>
    <w:rPr>
      <w:rFonts w:ascii="宋体" w:eastAsia="宋体" w:hAnsi="宋体" w:cs="宋体"/>
      <w:b/>
      <w:bCs/>
      <w:kern w:val="36"/>
      <w:sz w:val="48"/>
      <w:szCs w:val="48"/>
    </w:rPr>
  </w:style>
  <w:style w:type="character" w:customStyle="1" w:styleId="3Char">
    <w:name w:val="标题 3 Char"/>
    <w:basedOn w:val="a0"/>
    <w:link w:val="3"/>
    <w:uiPriority w:val="99"/>
    <w:locked/>
    <w:rsid w:val="00BE5453"/>
    <w:rPr>
      <w:rFonts w:ascii="宋体" w:eastAsia="宋体" w:hAnsi="宋体" w:cs="宋体"/>
      <w:b/>
      <w:bCs/>
      <w:kern w:val="0"/>
      <w:sz w:val="27"/>
      <w:szCs w:val="27"/>
    </w:rPr>
  </w:style>
  <w:style w:type="character" w:styleId="a3">
    <w:name w:val="Hyperlink"/>
    <w:basedOn w:val="a0"/>
    <w:uiPriority w:val="99"/>
    <w:semiHidden/>
    <w:rsid w:val="00BE5453"/>
    <w:rPr>
      <w:rFonts w:cs="Times New Roman"/>
      <w:color w:val="0000FF"/>
      <w:u w:val="single"/>
    </w:rPr>
  </w:style>
  <w:style w:type="character" w:customStyle="1" w:styleId="apple-converted-space">
    <w:name w:val="apple-converted-space"/>
    <w:basedOn w:val="a0"/>
    <w:uiPriority w:val="99"/>
    <w:rsid w:val="00BE5453"/>
    <w:rPr>
      <w:rFonts w:cs="Times New Roman"/>
    </w:rPr>
  </w:style>
  <w:style w:type="paragraph" w:styleId="a4">
    <w:name w:val="Normal (Web)"/>
    <w:basedOn w:val="a"/>
    <w:semiHidden/>
    <w:rsid w:val="00BE5453"/>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99"/>
    <w:qFormat/>
    <w:rsid w:val="00BE5453"/>
    <w:rPr>
      <w:rFonts w:cs="Times New Roman"/>
      <w:b/>
      <w:bCs/>
    </w:rPr>
  </w:style>
  <w:style w:type="paragraph" w:styleId="a6">
    <w:name w:val="header"/>
    <w:basedOn w:val="a"/>
    <w:link w:val="Char"/>
    <w:uiPriority w:val="99"/>
    <w:semiHidden/>
    <w:rsid w:val="00952C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sid w:val="00952C37"/>
    <w:rPr>
      <w:rFonts w:cs="Times New Roman"/>
      <w:sz w:val="18"/>
      <w:szCs w:val="18"/>
    </w:rPr>
  </w:style>
  <w:style w:type="paragraph" w:styleId="a7">
    <w:name w:val="footer"/>
    <w:basedOn w:val="a"/>
    <w:link w:val="Char0"/>
    <w:uiPriority w:val="99"/>
    <w:semiHidden/>
    <w:rsid w:val="00952C37"/>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sid w:val="00952C37"/>
    <w:rPr>
      <w:rFonts w:cs="Times New Roman"/>
      <w:sz w:val="18"/>
      <w:szCs w:val="18"/>
    </w:rPr>
  </w:style>
  <w:style w:type="paragraph" w:styleId="a8">
    <w:name w:val="List Paragraph"/>
    <w:basedOn w:val="a"/>
    <w:uiPriority w:val="99"/>
    <w:qFormat/>
    <w:rsid w:val="008A7D61"/>
    <w:pPr>
      <w:ind w:firstLineChars="200" w:firstLine="420"/>
    </w:pPr>
  </w:style>
</w:styles>
</file>

<file path=word/webSettings.xml><?xml version="1.0" encoding="utf-8"?>
<w:webSettings xmlns:r="http://schemas.openxmlformats.org/officeDocument/2006/relationships" xmlns:w="http://schemas.openxmlformats.org/wordprocessingml/2006/main">
  <w:divs>
    <w:div w:id="891766080">
      <w:bodyDiv w:val="1"/>
      <w:marLeft w:val="0"/>
      <w:marRight w:val="0"/>
      <w:marTop w:val="0"/>
      <w:marBottom w:val="0"/>
      <w:divBdr>
        <w:top w:val="none" w:sz="0" w:space="0" w:color="auto"/>
        <w:left w:val="none" w:sz="0" w:space="0" w:color="auto"/>
        <w:bottom w:val="none" w:sz="0" w:space="0" w:color="auto"/>
        <w:right w:val="none" w:sz="0" w:space="0" w:color="auto"/>
      </w:divBdr>
    </w:div>
    <w:div w:id="1034573724">
      <w:marLeft w:val="0"/>
      <w:marRight w:val="0"/>
      <w:marTop w:val="0"/>
      <w:marBottom w:val="0"/>
      <w:divBdr>
        <w:top w:val="none" w:sz="0" w:space="0" w:color="auto"/>
        <w:left w:val="none" w:sz="0" w:space="0" w:color="auto"/>
        <w:bottom w:val="none" w:sz="0" w:space="0" w:color="auto"/>
        <w:right w:val="none" w:sz="0" w:space="0" w:color="auto"/>
      </w:divBdr>
      <w:divsChild>
        <w:div w:id="1034573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18</Pages>
  <Words>1135</Words>
  <Characters>6474</Characters>
  <Application>Microsoft Office Word</Application>
  <DocSecurity>0</DocSecurity>
  <Lines>53</Lines>
  <Paragraphs>15</Paragraphs>
  <ScaleCrop>false</ScaleCrop>
  <Company>lyj</Company>
  <LinksUpToDate>false</LinksUpToDate>
  <CharactersWithSpaces>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预算编审中心</cp:lastModifiedBy>
  <cp:revision>53</cp:revision>
  <dcterms:created xsi:type="dcterms:W3CDTF">2017-10-27T03:02:00Z</dcterms:created>
  <dcterms:modified xsi:type="dcterms:W3CDTF">2019-01-29T05:44:00Z</dcterms:modified>
</cp:coreProperties>
</file>