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0" w:rsidRPr="004E6B9C" w:rsidRDefault="00E74FD0" w:rsidP="00262478">
      <w:pPr>
        <w:spacing w:line="600" w:lineRule="exact"/>
        <w:jc w:val="center"/>
        <w:rPr>
          <w:rFonts w:asciiTheme="minorEastAsia" w:eastAsiaTheme="minorEastAsia" w:hAnsiTheme="minorEastAsia"/>
          <w:color w:val="333333"/>
          <w:sz w:val="44"/>
          <w:szCs w:val="44"/>
        </w:rPr>
      </w:pPr>
      <w:r w:rsidRPr="004E6B9C">
        <w:rPr>
          <w:rFonts w:asciiTheme="minorEastAsia" w:eastAsiaTheme="minorEastAsia" w:hAnsiTheme="minorEastAsia" w:hint="eastAsia"/>
          <w:color w:val="333333"/>
          <w:sz w:val="44"/>
          <w:szCs w:val="44"/>
        </w:rPr>
        <w:t>秦皇岛市北戴河区卫生和计划生育局201</w:t>
      </w:r>
      <w:r w:rsidR="00BA57F2" w:rsidRPr="004E6B9C">
        <w:rPr>
          <w:rFonts w:asciiTheme="minorEastAsia" w:eastAsiaTheme="minorEastAsia" w:hAnsiTheme="minorEastAsia" w:hint="eastAsia"/>
          <w:color w:val="333333"/>
          <w:sz w:val="44"/>
          <w:szCs w:val="44"/>
        </w:rPr>
        <w:t>8</w:t>
      </w:r>
      <w:r w:rsidRPr="004E6B9C">
        <w:rPr>
          <w:rFonts w:asciiTheme="minorEastAsia" w:eastAsiaTheme="minorEastAsia" w:hAnsiTheme="minorEastAsia" w:hint="eastAsia"/>
          <w:color w:val="333333"/>
          <w:sz w:val="44"/>
          <w:szCs w:val="44"/>
        </w:rPr>
        <w:t>年部门预算</w:t>
      </w:r>
    </w:p>
    <w:p w:rsidR="0056585E" w:rsidRDefault="0056585E" w:rsidP="0056585E">
      <w:pPr>
        <w:pStyle w:val="a7"/>
        <w:spacing w:before="0" w:beforeAutospacing="0" w:after="0" w:afterAutospacing="0" w:line="600" w:lineRule="exact"/>
        <w:ind w:left="300" w:right="600" w:firstLine="420"/>
        <w:rPr>
          <w:rFonts w:ascii="仿宋_GB2312" w:eastAsia="仿宋_GB2312"/>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hint="eastAsia"/>
          <w:color w:val="333333"/>
          <w:sz w:val="32"/>
          <w:szCs w:val="32"/>
        </w:rPr>
        <w:t>北戴河区</w:t>
      </w:r>
      <w:r>
        <w:rPr>
          <w:rFonts w:ascii="仿宋_GB2312" w:eastAsia="仿宋_GB2312" w:hint="eastAsia"/>
          <w:color w:val="333333"/>
          <w:sz w:val="32"/>
          <w:szCs w:val="32"/>
        </w:rPr>
        <w:t>房屋征收管理中心</w:t>
      </w:r>
      <w:r>
        <w:rPr>
          <w:rFonts w:ascii="仿宋_GB2312" w:eastAsia="仿宋_GB2312" w:hAnsi="仿宋" w:hint="eastAsia"/>
          <w:sz w:val="32"/>
          <w:szCs w:val="32"/>
        </w:rPr>
        <w:t>2018年部门预算公开如下：</w:t>
      </w:r>
    </w:p>
    <w:p w:rsidR="00E74FD0" w:rsidRPr="0056585E" w:rsidRDefault="00E74FD0" w:rsidP="00262478">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一、部门职责、机构设置等基本情况</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部门职责如下：</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1、计划生育奖励扶助政策。采取奖励、扶助、社会保障等机制，引导家庭和个人采取计划生育措施，提高计划生育家庭发展能力。增强群众自觉实行计划生育的积极性，稳定适度的低生育水平，提高计划生育家庭发展能力，增强计划生育家庭的凝聚力及成员幸福感。</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2、计划生育服务。指导计划生育协会、基层卫生和计划生育服务站、妇幼卫生服务体系建设等各项工作。为广大育龄妇女提供免费生殖健康服务，切实提高广大育龄妇女的生殖健康水平；促进避孕节育措施的落实，保障和维护育龄群众的计划生育权益，享受计划生育基本技术免费服务；从源头上预防出生缺陷，提高出生人口素质；对流动人口采取同管理、同服务，建立流动人口计划生育工作队伍，加强流动人口的计划生育管理；加强对城市区的计划生育工作的监督、检查、指导和协调；区委区政府向市委市政府呈报目标责任状，各镇街与区委区政府签订目标责任状；打造“亲情关爱”示范点，改善计生特困人群的生活质量，增进广大育龄群</w:t>
      </w:r>
      <w:r w:rsidRPr="00262478">
        <w:rPr>
          <w:rFonts w:ascii="仿宋_GB2312" w:eastAsia="仿宋_GB2312" w:hint="eastAsia"/>
          <w:color w:val="333333"/>
          <w:sz w:val="32"/>
          <w:szCs w:val="32"/>
        </w:rPr>
        <w:lastRenderedPageBreak/>
        <w:t>众和计生家庭福祉；对辖区范围内的育龄群众的计划生育情况底数清，并为提供避孕药具发放，计划生育政策咨询。</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3、基本公共卫生服务。按照国家规范要求,为城乡居民提供有12大类（即:城乡居民健康档案管理、健康教育、预防接种、0-6岁儿童健康管理、孕产妇健康管理、老年人健康管理、高血压患者健康管理、Ⅱ型糖尿病患者健康管理、重性精神疾病患者管理、传染病及突发公共卫生事件报告和处理服务、卫生监督协管服务和中医药管理）43小项基本公共卫生服务内项目容，对城乡居民健康实行干预，已减少危害健康的因素，有效预防传染病及慢性病，使其享有平等的基本卫生服务。</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4、医疗服务。提高医疗机构的疾病救治能力，强化公立医院和基层医疗卫生机构综合改革。巩固完善国家基本药物制度，实现基本药物制度乡村卫生机构全覆盖，落实财政补偿政策，稳固基本药物集中采购机制，推进基本药物临床合理使用。</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5、爱国卫生。贯彻党和国家有关爱国卫生工作的法律、法规和政策，编制区爱国卫生工作的规划、计划和措施，并组织实施和鉴定检查，组织参与爱国卫生运动，知道本区爱国卫生工作。</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lastRenderedPageBreak/>
        <w:t>6、红十字会。区红十字会是从事人道主义工作的社会救助团体，是中国红十字会的地方组织，是区政府开展人道救助活动的承办部门。积极组织无偿献血，推动我区无偿献血事业持续健康发展；普及艾滋病防治知识，增强社会民众自我防治的意识和能力，营造有利于艾滋病防治的社会环境，以便更好的提升全区的精神文明建设。</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机构设置如下：</w:t>
      </w:r>
    </w:p>
    <w:p w:rsidR="00E74FD0" w:rsidRPr="00262478" w:rsidRDefault="00E74FD0" w:rsidP="0081078E">
      <w:pPr>
        <w:spacing w:line="600" w:lineRule="exact"/>
        <w:ind w:firstLineChars="200" w:firstLine="640"/>
        <w:jc w:val="left"/>
        <w:rPr>
          <w:rFonts w:ascii="仿宋_GB2312" w:eastAsia="仿宋_GB2312"/>
          <w:color w:val="333333"/>
          <w:sz w:val="32"/>
          <w:szCs w:val="32"/>
        </w:rPr>
      </w:pPr>
      <w:r w:rsidRPr="00262478">
        <w:rPr>
          <w:rFonts w:ascii="仿宋_GB2312" w:eastAsia="仿宋_GB2312" w:hint="eastAsia"/>
          <w:color w:val="333333"/>
          <w:sz w:val="32"/>
          <w:szCs w:val="32"/>
        </w:rPr>
        <w:t>纳入秦皇岛市北戴河区卫生和计划生育局2017年度部门预算编制范围的二级预算单位包括：</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1、秦皇岛市北戴河区卫生和计划生育局</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2、卫生执法监督所</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3、妇幼保健站</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4、疾病预防控制</w:t>
      </w:r>
    </w:p>
    <w:p w:rsidR="0056585E" w:rsidRPr="0056585E" w:rsidRDefault="0056585E" w:rsidP="0056585E">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二、部门预算安排的总体情况</w:t>
      </w:r>
    </w:p>
    <w:p w:rsidR="0056585E" w:rsidRPr="00262478" w:rsidRDefault="0081078E" w:rsidP="0081078E">
      <w:pPr>
        <w:spacing w:line="600" w:lineRule="exact"/>
        <w:ind w:leftChars="30" w:left="63" w:firstLineChars="200" w:firstLine="640"/>
        <w:jc w:val="left"/>
        <w:rPr>
          <w:rFonts w:ascii="仿宋_GB2312" w:eastAsia="仿宋_GB2312" w:cs="??"/>
          <w:color w:val="333333"/>
          <w:sz w:val="32"/>
          <w:szCs w:val="32"/>
        </w:rPr>
      </w:pPr>
      <w:r w:rsidRPr="003E227A">
        <w:rPr>
          <w:rFonts w:ascii="仿宋_GB2312" w:eastAsia="仿宋_GB2312" w:hAnsi="仿宋" w:cs="仿宋" w:hint="eastAsia"/>
          <w:sz w:val="32"/>
          <w:szCs w:val="32"/>
        </w:rPr>
        <w:t>按照预算管理有关规定，目前我区部门预算的编制实行综合预算管理，即全部收入和支出都反映在预算中。</w:t>
      </w:r>
      <w:r w:rsidR="0056585E" w:rsidRPr="00262478">
        <w:rPr>
          <w:rFonts w:ascii="仿宋_GB2312" w:eastAsia="仿宋_GB2312" w:cs="??" w:hint="eastAsia"/>
          <w:color w:val="333333"/>
          <w:sz w:val="32"/>
          <w:szCs w:val="32"/>
        </w:rPr>
        <w:t>秦皇岛市北戴河区卫计局机关及所属单位的收支都包含在部门预算中。</w:t>
      </w:r>
    </w:p>
    <w:p w:rsidR="0056585E" w:rsidRPr="00262478" w:rsidRDefault="0056585E" w:rsidP="0056585E">
      <w:pPr>
        <w:numPr>
          <w:ilvl w:val="0"/>
          <w:numId w:val="3"/>
        </w:numPr>
        <w:spacing w:line="600" w:lineRule="exact"/>
        <w:jc w:val="left"/>
        <w:rPr>
          <w:rFonts w:ascii="仿宋_GB2312" w:eastAsia="仿宋_GB2312" w:cs="??"/>
          <w:sz w:val="32"/>
          <w:szCs w:val="32"/>
        </w:rPr>
      </w:pPr>
      <w:r w:rsidRPr="00262478">
        <w:rPr>
          <w:rFonts w:ascii="仿宋_GB2312" w:eastAsia="仿宋_GB2312" w:cs="??" w:hint="eastAsia"/>
          <w:sz w:val="32"/>
          <w:szCs w:val="32"/>
        </w:rPr>
        <w:t>收入说明</w:t>
      </w:r>
    </w:p>
    <w:p w:rsidR="0056585E" w:rsidRPr="00262478" w:rsidRDefault="0056585E" w:rsidP="0056585E">
      <w:pPr>
        <w:spacing w:line="600" w:lineRule="exact"/>
        <w:ind w:firstLine="660"/>
        <w:jc w:val="left"/>
        <w:rPr>
          <w:rFonts w:ascii="仿宋_GB2312" w:eastAsia="仿宋_GB2312" w:cs="??"/>
          <w:sz w:val="32"/>
          <w:szCs w:val="32"/>
        </w:rPr>
      </w:pPr>
      <w:r w:rsidRPr="00262478">
        <w:rPr>
          <w:rFonts w:ascii="仿宋_GB2312" w:eastAsia="仿宋_GB2312" w:cs="??" w:hint="eastAsia"/>
          <w:sz w:val="32"/>
          <w:szCs w:val="32"/>
        </w:rPr>
        <w:lastRenderedPageBreak/>
        <w:t>反映本部门当年全部收入。2018年预算收入1763.68万元，其中：一般公共预算收入1763.68万元，事业收入0万元，其他收入0万元。</w:t>
      </w:r>
    </w:p>
    <w:p w:rsidR="0056585E" w:rsidRPr="00262478" w:rsidRDefault="0056585E" w:rsidP="0056585E">
      <w:pPr>
        <w:spacing w:line="600" w:lineRule="exact"/>
        <w:jc w:val="left"/>
        <w:rPr>
          <w:rFonts w:ascii="仿宋_GB2312" w:eastAsia="仿宋_GB2312" w:cs="??"/>
          <w:sz w:val="32"/>
          <w:szCs w:val="32"/>
        </w:rPr>
      </w:pPr>
      <w:r w:rsidRPr="00262478">
        <w:rPr>
          <w:rFonts w:ascii="仿宋_GB2312" w:eastAsia="仿宋_GB2312" w:cs="??" w:hint="eastAsia"/>
          <w:sz w:val="32"/>
          <w:szCs w:val="32"/>
        </w:rPr>
        <w:t>2、支出说明</w:t>
      </w:r>
    </w:p>
    <w:p w:rsidR="0056585E" w:rsidRPr="00262478" w:rsidRDefault="0081078E" w:rsidP="0056585E">
      <w:pPr>
        <w:pStyle w:val="a7"/>
        <w:widowControl/>
        <w:spacing w:before="0" w:beforeAutospacing="0" w:after="0" w:afterAutospacing="0" w:line="600" w:lineRule="exact"/>
        <w:ind w:firstLineChars="200" w:firstLine="640"/>
        <w:rPr>
          <w:rFonts w:ascii="仿宋_GB2312" w:eastAsia="仿宋_GB2312" w:cs="FangSong_GB2312"/>
          <w:sz w:val="32"/>
          <w:szCs w:val="32"/>
        </w:rPr>
      </w:pPr>
      <w:r w:rsidRPr="003E227A">
        <w:rPr>
          <w:rFonts w:ascii="仿宋_GB2312" w:eastAsia="仿宋_GB2312" w:hAnsi="仿宋" w:cs="仿宋" w:hint="eastAsia"/>
          <w:sz w:val="32"/>
          <w:szCs w:val="32"/>
        </w:rPr>
        <w:t>收支预算总表支出栏、基本支出表、项目支出表按经济分类和支出功能分类科目编制，反映年度部门预算中支出预算的总体情况。</w:t>
      </w:r>
      <w:r w:rsidR="0056585E" w:rsidRPr="00262478">
        <w:rPr>
          <w:rFonts w:ascii="仿宋_GB2312" w:eastAsia="仿宋_GB2312" w:cs="FangSong_GB2312" w:hint="eastAsia"/>
          <w:sz w:val="32"/>
          <w:szCs w:val="32"/>
        </w:rPr>
        <w:t>北戴河区卫计局2018年度预算总体安排1763.68万元。</w:t>
      </w:r>
      <w:r w:rsidR="0056585E" w:rsidRPr="00262478">
        <w:rPr>
          <w:rFonts w:ascii="仿宋_GB2312" w:eastAsia="仿宋_GB2312" w:hint="eastAsia"/>
          <w:color w:val="333333"/>
          <w:sz w:val="32"/>
          <w:szCs w:val="32"/>
        </w:rPr>
        <w:t>其中基本支出1068.98万元：项目支出694.7万元，项目支出：（1）计划生育特殊家庭父母住院护理补贴4.56万元(2)育龄妇女免费检查5.25万元(3)国家免费孕前优生健康检查项目7.07万元(4)计划生育免费基本技术服务18万元(5)流动人口计划生育管理和服务6.4万元(6)城市计划生育管理费1.5万元(7)人口和计划生育目标责任制考核7万元(8)计划生育小组长报酬44.62万元(9)计划生育网上办事大厅网络维护费1万元(10)农村孕产妇免费产前筛查工作20万元(11)计划生育服务站经费70万元(12)基本公共卫生配套资金191.4万元(13)乡村医生养老补助60万元(14)重症精神障碍防控工作经费</w:t>
      </w:r>
      <w:r w:rsidR="0056585E" w:rsidRPr="00036873">
        <w:rPr>
          <w:rFonts w:ascii="仿宋_GB2312" w:eastAsia="仿宋_GB2312" w:hint="eastAsia"/>
          <w:sz w:val="32"/>
          <w:szCs w:val="32"/>
        </w:rPr>
        <w:t>5万</w:t>
      </w:r>
      <w:r w:rsidR="0056585E" w:rsidRPr="00262478">
        <w:rPr>
          <w:rFonts w:ascii="仿宋_GB2312" w:eastAsia="仿宋_GB2312" w:hint="eastAsia"/>
          <w:color w:val="333333"/>
          <w:sz w:val="32"/>
          <w:szCs w:val="32"/>
        </w:rPr>
        <w:t>元(15)村卫生室建设（牛头崖）54万元(16)爱卫会消杀经费15万元(17)红十字经费2万元(18)支暑费用9万元(19)生物制品专用材料费100万元(20)预防接种补助经费2.4万元(21)劳务派遣人员工资22.5万元(22)检</w:t>
      </w:r>
      <w:r w:rsidR="0056585E" w:rsidRPr="00262478">
        <w:rPr>
          <w:rFonts w:ascii="仿宋_GB2312" w:eastAsia="仿宋_GB2312" w:hint="eastAsia"/>
          <w:color w:val="333333"/>
          <w:sz w:val="32"/>
          <w:szCs w:val="32"/>
        </w:rPr>
        <w:lastRenderedPageBreak/>
        <w:t>验、消杀药品购置费12万元(23)免费婚检补贴14万元(24)监督费用8万元(25)暑期监督保障费用12万元(26)计划生育协会经费2万元。</w:t>
      </w:r>
    </w:p>
    <w:p w:rsidR="0056585E" w:rsidRPr="00262478" w:rsidRDefault="0056585E" w:rsidP="0056585E">
      <w:pPr>
        <w:spacing w:line="600" w:lineRule="exact"/>
        <w:jc w:val="left"/>
        <w:rPr>
          <w:rFonts w:ascii="仿宋_GB2312" w:eastAsia="仿宋_GB2312"/>
          <w:color w:val="333333"/>
          <w:sz w:val="32"/>
          <w:szCs w:val="32"/>
        </w:rPr>
      </w:pPr>
      <w:r w:rsidRPr="00262478">
        <w:rPr>
          <w:rFonts w:ascii="仿宋_GB2312" w:eastAsia="仿宋_GB2312" w:cs="??" w:hint="eastAsia"/>
          <w:sz w:val="32"/>
          <w:szCs w:val="32"/>
        </w:rPr>
        <w:t>3、比上年增减情况：</w:t>
      </w:r>
    </w:p>
    <w:p w:rsidR="0056585E" w:rsidRPr="00262478" w:rsidRDefault="0081078E" w:rsidP="0081078E">
      <w:pPr>
        <w:spacing w:line="600" w:lineRule="exact"/>
        <w:ind w:firstLineChars="200" w:firstLine="640"/>
        <w:jc w:val="left"/>
        <w:rPr>
          <w:rFonts w:ascii="仿宋_GB2312" w:eastAsia="仿宋_GB2312"/>
          <w:color w:val="333333"/>
          <w:sz w:val="32"/>
          <w:szCs w:val="32"/>
        </w:rPr>
      </w:pPr>
      <w:r>
        <w:rPr>
          <w:rFonts w:ascii="仿宋_GB2312" w:eastAsia="仿宋_GB2312" w:hint="eastAsia"/>
          <w:color w:val="333333"/>
          <w:sz w:val="32"/>
          <w:szCs w:val="32"/>
        </w:rPr>
        <w:t>2</w:t>
      </w:r>
      <w:r w:rsidR="0056585E" w:rsidRPr="00262478">
        <w:rPr>
          <w:rFonts w:ascii="仿宋_GB2312" w:eastAsia="仿宋_GB2312" w:hint="eastAsia"/>
          <w:color w:val="333333"/>
          <w:sz w:val="32"/>
          <w:szCs w:val="32"/>
        </w:rPr>
        <w:t>018年预算收支安排1763.68万元，较2017年预算减少168.22万元</w:t>
      </w:r>
      <w:r w:rsidR="0056585E" w:rsidRPr="00630088">
        <w:rPr>
          <w:rFonts w:ascii="仿宋_GB2312" w:eastAsia="仿宋_GB2312" w:hint="eastAsia"/>
          <w:color w:val="333333"/>
          <w:sz w:val="32"/>
          <w:szCs w:val="32"/>
        </w:rPr>
        <w:t>，</w:t>
      </w:r>
      <w:r w:rsidR="00577929">
        <w:rPr>
          <w:rFonts w:ascii="仿宋_GB2312" w:eastAsia="仿宋_GB2312" w:hint="eastAsia"/>
          <w:color w:val="333333"/>
          <w:sz w:val="32"/>
          <w:szCs w:val="32"/>
        </w:rPr>
        <w:t>主要是基本支出减少168.22万元</w:t>
      </w:r>
      <w:r w:rsidR="0056585E">
        <w:rPr>
          <w:rFonts w:ascii="仿宋_GB2312" w:eastAsia="仿宋_GB2312" w:hint="eastAsia"/>
          <w:color w:val="333333"/>
          <w:sz w:val="32"/>
          <w:szCs w:val="32"/>
        </w:rPr>
        <w:t>。</w:t>
      </w:r>
    </w:p>
    <w:p w:rsidR="0056585E" w:rsidRPr="0056585E" w:rsidRDefault="0056585E" w:rsidP="0056585E">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三、机关运行经费安排情况</w:t>
      </w:r>
    </w:p>
    <w:p w:rsidR="0056585E" w:rsidRPr="00262478" w:rsidRDefault="0056585E" w:rsidP="0056585E">
      <w:pPr>
        <w:spacing w:line="600" w:lineRule="exact"/>
        <w:ind w:firstLineChars="200" w:firstLine="640"/>
        <w:jc w:val="left"/>
        <w:rPr>
          <w:rFonts w:ascii="仿宋_GB2312" w:eastAsia="仿宋_GB2312"/>
          <w:color w:val="333333"/>
          <w:sz w:val="32"/>
          <w:szCs w:val="32"/>
        </w:rPr>
      </w:pPr>
      <w:r w:rsidRPr="00262478">
        <w:rPr>
          <w:rFonts w:ascii="仿宋_GB2312" w:eastAsia="仿宋_GB2312" w:hint="eastAsia"/>
          <w:color w:val="333333"/>
          <w:sz w:val="32"/>
          <w:szCs w:val="32"/>
        </w:rPr>
        <w:t>2018年秦皇岛市北戴河区卫生和计划生育局部门机关运行经费支出102.89万元，其中办公及印刷费31.38万元、水费10万元,办公取暖费6.4万元,培训费5.74万元、工会经费8.59万元、会议费1.62万元、福利费5.06万元、离退休干部经费6.04、公务交通补贴9.78、公务接待费0.39公务用车运行维护费17.5万元。不可预见费0.39万元。</w:t>
      </w:r>
    </w:p>
    <w:p w:rsidR="0056585E" w:rsidRPr="0056585E" w:rsidRDefault="0056585E" w:rsidP="0056585E">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四、财政拨款“三公”经费预算情况及增减变化原因</w:t>
      </w:r>
    </w:p>
    <w:p w:rsidR="0056585E" w:rsidRDefault="0056585E" w:rsidP="0056585E">
      <w:pPr>
        <w:spacing w:line="600" w:lineRule="exact"/>
        <w:ind w:firstLineChars="200" w:firstLine="640"/>
        <w:jc w:val="left"/>
        <w:rPr>
          <w:rFonts w:ascii="仿宋_GB2312" w:eastAsia="仿宋_GB2312"/>
          <w:color w:val="333333"/>
          <w:sz w:val="32"/>
          <w:szCs w:val="32"/>
        </w:rPr>
      </w:pPr>
      <w:r w:rsidRPr="00262478">
        <w:rPr>
          <w:rFonts w:ascii="仿宋_GB2312" w:eastAsia="仿宋_GB2312" w:hint="eastAsia"/>
          <w:color w:val="333333"/>
          <w:sz w:val="32"/>
          <w:szCs w:val="32"/>
        </w:rPr>
        <w:t>秦皇岛市北戴河区卫生和计划生育局部门2018年度“三公”经费财政拨款支出预算为17.89万元，与上年度一致，</w:t>
      </w:r>
      <w:r w:rsidR="0081078E">
        <w:rPr>
          <w:rFonts w:ascii="仿宋_GB2312" w:eastAsia="仿宋_GB2312" w:hint="eastAsia"/>
          <w:color w:val="333333"/>
          <w:sz w:val="32"/>
          <w:szCs w:val="32"/>
        </w:rPr>
        <w:t>2018</w:t>
      </w:r>
      <w:r w:rsidRPr="00262478">
        <w:rPr>
          <w:rFonts w:ascii="仿宋_GB2312" w:eastAsia="仿宋_GB2312" w:hint="eastAsia"/>
          <w:color w:val="333333"/>
          <w:sz w:val="32"/>
          <w:szCs w:val="32"/>
        </w:rPr>
        <w:t>年度“三公”经费财政拨款支出预算中，因公出国费我单位未安排此项支出，公务用车购置及运行费17.5万元，其中公务用车购置费我单位无此项支出，公务用车运行费支出17.5万元，占100%。公务接待费支出0.39万元。</w:t>
      </w:r>
    </w:p>
    <w:p w:rsidR="0081078E" w:rsidRPr="0081078E" w:rsidRDefault="0081078E" w:rsidP="0081078E">
      <w:pPr>
        <w:spacing w:line="600" w:lineRule="exact"/>
        <w:ind w:firstLineChars="200" w:firstLine="640"/>
        <w:rPr>
          <w:rFonts w:ascii="仿宋_GB2312" w:eastAsia="仿宋_GB2312" w:hAnsi="仿宋" w:cs="仿宋"/>
          <w:sz w:val="32"/>
          <w:szCs w:val="32"/>
        </w:rPr>
      </w:pPr>
      <w:r w:rsidRPr="00471241">
        <w:rPr>
          <w:rFonts w:ascii="仿宋_GB2312" w:eastAsia="仿宋_GB2312" w:hAnsi="仿宋" w:cs="仿宋" w:hint="eastAsia"/>
          <w:sz w:val="32"/>
          <w:szCs w:val="32"/>
        </w:rPr>
        <w:lastRenderedPageBreak/>
        <w:t>2018年度“三公”经费预算支出与上年持平的主要原因：一是严格落实党政机关厉行节约、反对浪费条例规定，加强支出管理，强化预算约束，节约了经费开支；二是贯彻落实公务用车制度改革精神，尽量压缩公务用车运行维护费。</w:t>
      </w:r>
    </w:p>
    <w:p w:rsidR="00E74FD0" w:rsidRPr="0056585E" w:rsidRDefault="0056585E" w:rsidP="00262478">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五</w:t>
      </w:r>
      <w:r w:rsidR="00E74FD0" w:rsidRPr="0056585E">
        <w:rPr>
          <w:rFonts w:ascii="黑体" w:eastAsia="黑体" w:hAnsi="黑体" w:hint="eastAsia"/>
          <w:b/>
          <w:color w:val="333333"/>
          <w:sz w:val="32"/>
          <w:szCs w:val="32"/>
        </w:rPr>
        <w:t>、绩效预算信息</w:t>
      </w:r>
    </w:p>
    <w:p w:rsidR="00E74FD0" w:rsidRPr="00262478" w:rsidRDefault="00E74FD0" w:rsidP="00262478">
      <w:pPr>
        <w:spacing w:line="600" w:lineRule="exact"/>
        <w:jc w:val="left"/>
        <w:rPr>
          <w:rFonts w:ascii="仿宋_GB2312" w:eastAsia="仿宋_GB2312"/>
          <w:sz w:val="32"/>
          <w:szCs w:val="32"/>
        </w:rPr>
      </w:pPr>
      <w:r w:rsidRPr="00262478">
        <w:rPr>
          <w:rFonts w:ascii="仿宋_GB2312" w:eastAsia="仿宋_GB2312" w:hint="eastAsia"/>
          <w:sz w:val="32"/>
          <w:szCs w:val="32"/>
        </w:rPr>
        <w:t>总体目标：</w:t>
      </w:r>
    </w:p>
    <w:p w:rsidR="00E74FD0" w:rsidRDefault="00E74FD0" w:rsidP="00262478">
      <w:pPr>
        <w:spacing w:line="600" w:lineRule="exact"/>
        <w:ind w:right="-720" w:firstLineChars="224" w:firstLine="717"/>
        <w:rPr>
          <w:rFonts w:ascii="仿宋_GB2312" w:eastAsia="仿宋_GB2312"/>
          <w:sz w:val="32"/>
          <w:szCs w:val="32"/>
        </w:rPr>
      </w:pPr>
      <w:r w:rsidRPr="00262478">
        <w:rPr>
          <w:rFonts w:ascii="仿宋_GB2312" w:eastAsia="仿宋_GB2312" w:hint="eastAsia"/>
          <w:sz w:val="32"/>
          <w:szCs w:val="32"/>
        </w:rPr>
        <w:t>协调推进全区医药卫生体制改革和医疗保障，统筹规划卫生和计划生育服务资源配置，指导区域卫生和计划生育规划的编制和实施;配合上级部门做好食品安全风险监测和食品安全地方标准跟踪评价工作；指导基层卫生和计划生育、妇幼卫生服务体系建设，推进基本公共卫生和计划生育服务均等化，完善基层运行新机制和乡村医生管理制度；建立医疗服务评价和监督管理体系，以公益性为导向的绩效考核和评价运行机制；组织实施国家基本药物制度；协调开展打击非医学需要鉴定胎儿性别和选择性别人工终止妊娠行为；负责再生育审批，做到集体审批，不乱和错发生育证;开展各项计划生育技术服务活动，以提高出生人口素质，降低出生缺陷人口数量，稳定低生育水平；落实各项计划生育政策的利益导向、特殊困难计划生育家庭扶助；抓好各级的计划生育统计求实、调查与分析，计划生育政策和法规的宣传；推动建立流动人口卫生和计划生育信息共享和公共服务工作机制；拟订卫生和计划生育人才、科技、中医药等发展规划；坚持计划生育目标管理责任制，负责</w:t>
      </w:r>
      <w:r w:rsidRPr="00262478">
        <w:rPr>
          <w:rFonts w:ascii="仿宋_GB2312" w:eastAsia="仿宋_GB2312" w:hint="eastAsia"/>
          <w:sz w:val="32"/>
          <w:szCs w:val="32"/>
        </w:rPr>
        <w:lastRenderedPageBreak/>
        <w:t>对计划生育规划及目标责任制的考核评估，监督落实计划生育一票否决制；承担区爱国卫生和红十字会的工作职责；做好服务暑期工作，创建国家卫生城市。</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职责分类绩效目标：</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t>1</w:t>
      </w:r>
      <w:r w:rsidRPr="00166E77">
        <w:rPr>
          <w:rFonts w:ascii="仿宋_GB2312" w:eastAsia="仿宋_GB2312" w:hint="eastAsia"/>
          <w:sz w:val="32"/>
          <w:szCs w:val="32"/>
        </w:rPr>
        <w:t>、计划生育奖励扶助政策：</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采取奖励、扶助、社会保障等机制，引导家庭和个人采取计划生育措施，提高计划生育家庭发展能力。增强群众自觉实行计划生育的积极性，稳定适度的低生育水平，提高计划生育家庭发展能力，增强计划生育家庭的凝聚力及成员幸福感。</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t>2</w:t>
      </w:r>
      <w:r w:rsidRPr="00166E77">
        <w:rPr>
          <w:rFonts w:ascii="仿宋_GB2312" w:eastAsia="仿宋_GB2312" w:hint="eastAsia"/>
          <w:sz w:val="32"/>
          <w:szCs w:val="32"/>
        </w:rPr>
        <w:t>、计划生育服务</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指导计划生育协会 、基层卫生和计划生育服务站、妇幼卫生服务体系建设等各项工作。为广大育龄妇女提供免费生殖健康服务，切实提高广大育龄妇女的生殖健康水平；促进避孕节育措施的落实，保障和维护育龄群众的计划生育权益，享受计划生育基本技术免费服务；从源头上预防出生缺陷，提高出生人口素质；对流动人口采取同管理、同服务，建立流动人口计划生育工作队伍，加强流动人口的计划生育管理；加强对城市区的计划生育工作的监督、检查、指导和协调；区委区政府向市委市政府呈报目标责任状，各镇街与区委区政府签订目标责任状；打造“亲情关爱”示范</w:t>
      </w:r>
      <w:r w:rsidRPr="00166E77">
        <w:rPr>
          <w:rFonts w:ascii="仿宋_GB2312" w:eastAsia="仿宋_GB2312" w:hint="eastAsia"/>
          <w:sz w:val="32"/>
          <w:szCs w:val="32"/>
        </w:rPr>
        <w:lastRenderedPageBreak/>
        <w:t>点，改善计生特困人群的生活质量，增进广大育龄群众和计生家庭福祉；对辖区范围内的育龄群众的计划生育情况底数清，并为提供避孕药具发放，计划生育政策咨询。</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t>3</w:t>
      </w:r>
      <w:r w:rsidRPr="00166E77">
        <w:rPr>
          <w:rFonts w:ascii="仿宋_GB2312" w:eastAsia="仿宋_GB2312" w:hint="eastAsia"/>
          <w:sz w:val="32"/>
          <w:szCs w:val="32"/>
        </w:rPr>
        <w:t>、基本公共卫生服务</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按照国家规范要求,为城乡居民提供有12大类（即:城乡居民健康档案管理、健康教育、预防接种、0—6岁儿童健康管理、孕产妇健康管理、老年人健康管理、高血压患者健康管理、Ⅱ型糖尿病患者健康管理、重性精神疾病患者管理、传染病及突发公共卫生事件报告和处理服务、卫生监督协管服务和中医药管理）43小项基本公共卫生服务内项目容，对城乡居民健康实行干预，已减少危害健康的因素，有效预防传染病及慢性病，使其享有平等的基本卫生服务。</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t>4</w:t>
      </w:r>
      <w:r w:rsidRPr="00166E77">
        <w:rPr>
          <w:rFonts w:ascii="仿宋_GB2312" w:eastAsia="仿宋_GB2312" w:hint="eastAsia"/>
          <w:sz w:val="32"/>
          <w:szCs w:val="32"/>
        </w:rPr>
        <w:t>、医疗服务</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提高医疗机构的疾病救治能力，强化公立医院和基层医疗卫生机构综合改革。巩固完善国家基本药物制度，实现基本药物制度乡村卫生机构全覆盖，落实财政补偿政策，稳固基本药物集中采购机制，推进基本药物临床合理使用。</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t>5</w:t>
      </w:r>
      <w:r w:rsidRPr="00166E77">
        <w:rPr>
          <w:rFonts w:ascii="仿宋_GB2312" w:eastAsia="仿宋_GB2312" w:hint="eastAsia"/>
          <w:sz w:val="32"/>
          <w:szCs w:val="32"/>
        </w:rPr>
        <w:t>、爱国卫生</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贯彻党和国家有关爱国卫生工作的法律、法规和政策，编制区爱国卫生工作的规划、计划和措施，并组织实施和鉴定检查，组织参与爱国卫生运动，知道本区爱国卫生工作。</w:t>
      </w:r>
    </w:p>
    <w:p w:rsidR="00166E77" w:rsidRPr="00166E77" w:rsidRDefault="00166E77" w:rsidP="00166E77">
      <w:pPr>
        <w:spacing w:line="600" w:lineRule="exact"/>
        <w:ind w:right="-720" w:firstLineChars="224" w:firstLine="717"/>
        <w:rPr>
          <w:rFonts w:ascii="仿宋_GB2312" w:eastAsia="仿宋_GB2312"/>
          <w:sz w:val="32"/>
          <w:szCs w:val="32"/>
        </w:rPr>
      </w:pPr>
      <w:r>
        <w:rPr>
          <w:rFonts w:ascii="仿宋_GB2312" w:eastAsia="仿宋_GB2312" w:hint="eastAsia"/>
          <w:sz w:val="32"/>
          <w:szCs w:val="32"/>
        </w:rPr>
        <w:lastRenderedPageBreak/>
        <w:t>6</w:t>
      </w:r>
      <w:r w:rsidRPr="00166E77">
        <w:rPr>
          <w:rFonts w:ascii="仿宋_GB2312" w:eastAsia="仿宋_GB2312" w:hint="eastAsia"/>
          <w:sz w:val="32"/>
          <w:szCs w:val="32"/>
        </w:rPr>
        <w:t>、红十字会</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区红十字会是从事人道主义工作的社会救助团体，是中国红十字会的地方组织，是区政府开展人道救助活动的承办部门。积极组织无偿献血，推动我区无偿献血事业持续健康发展；普及艾滋病防治知识，增强社会民众自我防治的意识和能力，营造有利于艾滋病防治的社会环境，以便更好的提升全区的精神文明建设。</w:t>
      </w:r>
    </w:p>
    <w:p w:rsidR="00166E77" w:rsidRPr="00166E77"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实现年度发展规划目标的保障措施</w:t>
      </w:r>
    </w:p>
    <w:p w:rsidR="0081078E" w:rsidRPr="0081078E" w:rsidRDefault="00166E77" w:rsidP="00166E77">
      <w:pPr>
        <w:spacing w:line="600" w:lineRule="exact"/>
        <w:ind w:right="-720" w:firstLineChars="224" w:firstLine="717"/>
        <w:rPr>
          <w:rFonts w:ascii="仿宋_GB2312" w:eastAsia="仿宋_GB2312"/>
          <w:sz w:val="32"/>
          <w:szCs w:val="32"/>
        </w:rPr>
      </w:pPr>
      <w:r w:rsidRPr="00166E77">
        <w:rPr>
          <w:rFonts w:ascii="仿宋_GB2312" w:eastAsia="仿宋_GB2312" w:hint="eastAsia"/>
          <w:sz w:val="32"/>
          <w:szCs w:val="32"/>
        </w:rPr>
        <w:t>负责拟定卫生和计划生育规划和政策措施；制定疾病预防控制规划、免疫规划、卫生应急和紧急医学救援预案；组织开展相关监测、调查和监督，负责传染疾病防治监督；拟订基层卫生和计划生育服务、妇幼卫生发展规划和政策措施并组织实施；建立绩效考核和评价运行机制；贯彻落实计划生育工作方针、政策，组织监测计划生育发展动态，依法规范计划生育技术和药具管理工作，严把再生育审批工作；保障各项奖励政策的落实，对特殊家庭开展亲情关爱活动，建立示范基地；制定流动人口计划生育服务管理制度；指导卫生和计划生育工作，完善综合监督执法体系；进行绩效目标考评，监督落实计划生育一票否决制；发挥区爱国卫生运动委员会职能创建国家卫生城市；组织开展无偿献血和器官捐赠等活动。</w:t>
      </w:r>
    </w:p>
    <w:p w:rsidR="0081078E" w:rsidRPr="0081078E" w:rsidRDefault="0081078E" w:rsidP="0081078E">
      <w:pPr>
        <w:spacing w:line="600" w:lineRule="exact"/>
        <w:jc w:val="left"/>
        <w:outlineLvl w:val="0"/>
        <w:rPr>
          <w:rFonts w:ascii="仿宋_GB2312" w:eastAsia="仿宋_GB2312"/>
          <w:sz w:val="32"/>
          <w:szCs w:val="32"/>
        </w:rPr>
      </w:pPr>
      <w:bookmarkStart w:id="0" w:name="_Toc505080776"/>
      <w:r w:rsidRPr="00262478">
        <w:rPr>
          <w:rFonts w:ascii="仿宋_GB2312" w:eastAsia="仿宋_GB2312" w:hint="eastAsia"/>
          <w:sz w:val="32"/>
          <w:szCs w:val="32"/>
        </w:rPr>
        <w:t>部门职责-工作活动绩效目标</w:t>
      </w:r>
    </w:p>
    <w:p w:rsidR="004D5090" w:rsidRPr="00262478" w:rsidRDefault="004D5090" w:rsidP="00262478">
      <w:pPr>
        <w:spacing w:line="600" w:lineRule="exact"/>
        <w:jc w:val="center"/>
        <w:outlineLvl w:val="0"/>
        <w:rPr>
          <w:rFonts w:ascii="仿宋_GB2312" w:eastAsia="仿宋_GB2312"/>
          <w:sz w:val="32"/>
          <w:szCs w:val="32"/>
        </w:rPr>
      </w:pPr>
      <w:r w:rsidRPr="00262478">
        <w:rPr>
          <w:rFonts w:ascii="仿宋_GB2312" w:eastAsia="仿宋_GB2312" w:hint="eastAsia"/>
          <w:sz w:val="32"/>
          <w:szCs w:val="32"/>
        </w:rPr>
        <w:lastRenderedPageBreak/>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4D5090" w:rsidRPr="00262478" w:rsidTr="00AE08B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361卫生</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4D5090" w:rsidRPr="00262478" w:rsidRDefault="004D5090" w:rsidP="00262478">
            <w:pPr>
              <w:jc w:val="righ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单位：万元</w:t>
            </w:r>
          </w:p>
        </w:tc>
      </w:tr>
      <w:tr w:rsidR="004D5090" w:rsidRPr="00262478" w:rsidTr="00AE08B1">
        <w:trPr>
          <w:trHeight w:val="227"/>
          <w:tblHeader/>
          <w:jc w:val="center"/>
        </w:trPr>
        <w:tc>
          <w:tcPr>
            <w:tcW w:w="2341" w:type="dxa"/>
            <w:vMerge w:val="restart"/>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职责活动</w:t>
            </w:r>
          </w:p>
        </w:tc>
        <w:tc>
          <w:tcPr>
            <w:tcW w:w="1276" w:type="dxa"/>
            <w:vMerge w:val="restart"/>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年度预算数</w:t>
            </w:r>
          </w:p>
        </w:tc>
        <w:tc>
          <w:tcPr>
            <w:tcW w:w="2976" w:type="dxa"/>
            <w:vMerge w:val="restart"/>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内容描述</w:t>
            </w:r>
          </w:p>
        </w:tc>
        <w:tc>
          <w:tcPr>
            <w:tcW w:w="2976" w:type="dxa"/>
            <w:vMerge w:val="restart"/>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绩效目标</w:t>
            </w:r>
          </w:p>
        </w:tc>
        <w:tc>
          <w:tcPr>
            <w:tcW w:w="1417" w:type="dxa"/>
            <w:vMerge w:val="restart"/>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绩效指标</w:t>
            </w:r>
          </w:p>
        </w:tc>
        <w:tc>
          <w:tcPr>
            <w:tcW w:w="2948" w:type="dxa"/>
            <w:gridSpan w:val="4"/>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评价标准</w:t>
            </w:r>
          </w:p>
        </w:tc>
      </w:tr>
      <w:tr w:rsidR="004D5090" w:rsidRPr="00262478" w:rsidTr="00AE08B1">
        <w:trPr>
          <w:trHeight w:val="227"/>
          <w:tblHeader/>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优</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良</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中</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差</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一、计划生育奖励扶持政策</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4.56</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提供各类计划生育技术服务、建立利益导向机制，开展出生人口性别比治理以及流动人口计划生育管理、城市计划生育属地管理，坚持计划生育目标管理责任制，指导计划生育协 、基层卫生和计划生育服务站、妇幼卫生服务体系建设等各项工作。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稳定适度的低生育水平，有效保障计划生育家庭生活水平，提高妇女生殖健康水平，落实孕前优生服务率，降低出生缺陷的发生，有效遏制 出生人口性别比偏高问题，负责计划生育规划及目标管理责任制执行情况进行监督和考核评估 ，开展计划生育群众自治工作。 负责拟定基层卫生和计划生育服务、妇幼卫生发展规划和政策措施并实施 ，推行基本公共卫生和计划生育服务均等化。</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1、农村和城镇无业居民独生子女父母奖励</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采取奖励、扶助、社会保障等机制，引导家庭和个人采取计划生育措施，提高计划生育家庭发展能力。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增强群众自觉实行计划生育的积极性，稳定适度的低生育水平，提高计划生育价格发展能力，增强计划生育家庭的凝聚力及成员幸福感。</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农村和城镇无业居民独生子女父母奖励落实率。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2、农村部分计</w:t>
            </w:r>
            <w:r w:rsidRPr="00262478">
              <w:rPr>
                <w:rFonts w:asciiTheme="minorEastAsia" w:eastAsiaTheme="minorEastAsia" w:hAnsiTheme="minorEastAsia" w:hint="eastAsia"/>
                <w:b/>
                <w:sz w:val="24"/>
                <w:szCs w:val="24"/>
              </w:rPr>
              <w:lastRenderedPageBreak/>
              <w:t>划生育家庭奖励</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采取奖励、扶助、社会保</w:t>
            </w:r>
            <w:r w:rsidRPr="00262478">
              <w:rPr>
                <w:rFonts w:asciiTheme="minorEastAsia" w:eastAsiaTheme="minorEastAsia" w:hAnsiTheme="minorEastAsia" w:hint="eastAsia"/>
                <w:sz w:val="24"/>
                <w:szCs w:val="24"/>
              </w:rPr>
              <w:lastRenderedPageBreak/>
              <w:t>障等机制，引导家庭和个人采取计划生育措施，提高计划生育家庭发展能力。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增强群众自觉实行计划生</w:t>
            </w:r>
            <w:r w:rsidRPr="00262478">
              <w:rPr>
                <w:rFonts w:asciiTheme="minorEastAsia" w:eastAsiaTheme="minorEastAsia" w:hAnsiTheme="minorEastAsia" w:hint="eastAsia"/>
                <w:sz w:val="24"/>
                <w:szCs w:val="24"/>
              </w:rPr>
              <w:lastRenderedPageBreak/>
              <w:t>育的积极性，稳定适度的低生育水平，提高计划生育价格发展能力，增强计划生育家庭的凝聚力及成员幸福感。</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农村部分计</w:t>
            </w:r>
            <w:r w:rsidRPr="00262478">
              <w:rPr>
                <w:rFonts w:asciiTheme="minorEastAsia" w:eastAsiaTheme="minorEastAsia" w:hAnsiTheme="minorEastAsia" w:hint="eastAsia"/>
                <w:sz w:val="24"/>
                <w:szCs w:val="24"/>
              </w:rPr>
              <w:lastRenderedPageBreak/>
              <w:t>划生育家庭奖励扶助和特别扶助政策落实率。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w:t>
            </w:r>
            <w:r w:rsidRPr="00262478">
              <w:rPr>
                <w:rFonts w:asciiTheme="minorEastAsia" w:eastAsiaTheme="minorEastAsia" w:hAnsiTheme="minorEastAsia" w:hint="eastAsia"/>
                <w:sz w:val="24"/>
                <w:szCs w:val="24"/>
              </w:rPr>
              <w:lastRenderedPageBreak/>
              <w:t>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75%</w:t>
            </w:r>
            <w:r w:rsidRPr="00262478">
              <w:rPr>
                <w:rFonts w:asciiTheme="minorEastAsia" w:eastAsiaTheme="minorEastAsia" w:hAnsiTheme="minorEastAsia" w:hint="eastAsia"/>
                <w:sz w:val="24"/>
                <w:szCs w:val="24"/>
              </w:rPr>
              <w:lastRenderedPageBreak/>
              <w:t>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75%</w:t>
            </w:r>
            <w:r w:rsidRPr="00262478">
              <w:rPr>
                <w:rFonts w:asciiTheme="minorEastAsia" w:eastAsiaTheme="minorEastAsia" w:hAnsiTheme="minorEastAsia" w:hint="eastAsia"/>
                <w:sz w:val="24"/>
                <w:szCs w:val="24"/>
              </w:rPr>
              <w:lastRenderedPageBreak/>
              <w:t>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3、独生子女父母退休一次性奖励</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采取奖励、扶助、社会保障等机制，引导家庭和个人采取计划生育措施，提高计划生育家庭发展能力。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增强群众自觉实行计划生育的积极性，稳定适度的低生育水平，提高计划生育价格发展能力，增强计划生育家庭的凝聚力及成员幸福感。</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独生子女父母退休一次性奖励落实率。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4、计划生育救助公益金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采取奖励、扶助、社会保障等机制，引导家庭和个人采取计划生育措施，提高计划生育家庭发展能力。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增强群众自觉实行计划生育的积极性，稳定适度的低生育水平，提高计划生育价格发展能力，增强计划生育家庭的凝聚力及成员幸福感。</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计划生育特殊困难家庭（独生子女伤残、死亡家庭）利益导向政策落实率。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5、计划生育特殊家庭父母住院护理补贴</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4.56</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采取奖励、扶助、社会保障等机制，引导家庭和个人采取计划生育措施，提高计划生育家庭发展能力。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增强群众自觉实行计划生育的积极性，稳定适度的低生育水平，提高计划生育价格发展能力，增强计划生育家庭的凝聚力及成员幸福感。</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计划生育特殊困难家庭（独生子女伤残、死亡家庭）利益导向政策落实率。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二、计划生育基础服务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110.84</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提供各类计划生育技术服务、建立利益导向机制，开展出生人口性别比治理以及流动人口计划生育管理、城市计划生育属地管理，坚持计划生育目标管理责任制，指导计划生育协 、基层卫生和计划生育服务站、妇幼卫生服务体系建设等各项工作。精心组织开展免费产前筛查（唐氏综合征、爱德华综合征和神经管缺陷三种疾病的血清生化免疫筛查）从源头抓好出生人口素质，逐年降低出生缺陷率。</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稳定适度的低生育水平，有效保障计划生育家庭生活水平，提高妇女生殖健康水平，落实孕前优生服务率，降低出生缺陷的发生，有效遏制 出生人口性别比偏高问题，负责计划生育规划及目标管理责任制执行情况进行监督和考核评估 ，开展计划生育群众自治工作。 负责拟定基层卫生和计划生育服务、妇幼卫生发展规划和政策措施并实施 ，推行基本公共卫生和计划生育服务均等化。</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1、育龄妇女免费检查</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5.25</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免费为全区已婚育龄妇女提供各项生殖健康检查（B超、乳腺、化验、体格检查）</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切实提高广大育龄妇女的生殖健康水平；促进避孕节育措施的落实。</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生殖健康检查免费服务率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2、国家免费孕前优生健康检查项目经费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7.07</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采取为全区计划怀孕夫妇提供免费孕前优生健康检查活动，降低出生缺陷的方式。</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从源头上预防出生缺陷，提高出生人口素质。</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参加免费孕前优生健康检查服务率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3、计划生育免费基本技术服务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18.00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免费开展基本计划生育技术服务和节育手术并发症、病残儿、成人伤残的鉴定。</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保障和维护育龄群众的计划生育权益，享受计划生育基本技术免费服务。</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为农村育龄妇女和城镇无业居民提供计划生育基本技术服务。</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4、流动人口计划生育管理和服务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6.40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“以现居住地管理为主”的原则，对流动人口进行“同管理、同服务、同考核”</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同管理、同服务，建立流动人口计划生育工作队伍，加强流动人口的计划生育管理。</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加强流动人口的计划生育法规宣传，提供免费避孕药具发放，孕情和环情监测。</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5、城市计划生育管理费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1.50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城市区街道办事处计生部门负责辖区内各单位和无工作单位的纯居民、流动人口的计划生育服务</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加强对城市区的计划生育工作的监督、检查、指导和协调。</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落实城市区人口和计划生育目标管理责任制。</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6、人口和计划生育目标责任制考核</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用于兑现区委区政府与各镇街签订的目标奖励和全区计划生育工作会的费用支出。（包括综合治理相关部门的奖励）</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区委区政府呈报市委市政府目标责任状，各镇街与区委区政府签订目标责任状。</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根据目标责任状进行年终考核</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7、计划生育服务站租金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保障全区计划生育免费基本技术服务顺利开展。</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8、计划生育小组长报酬</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44.62</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计划生育小组长的工作实行分片管理，确保村居计划生育工作顺利开展。</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对辖区范围内的育龄群众的计划生育情况底数清，并为提供避孕药具发放，计划生育政策咨询。</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避孕节育措施落实率，和当年出生落实长效率。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9、建立计划生育网上办事大厅网络维护费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进一步方便群众办理计划计划生育证件、一胎登记、再生育审批等相关事项。</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规范执法行为，全面提高管理和服务水平。</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规范执法行为，全面提高管理和服务水平。</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10、农村孕产妇免费产前筛查工作</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精心组织开展免费产前筛查（唐氏综合征、爱德华综合征和神经管缺陷三种疾病的血清生化免疫筛查）从源头抓好出生人口素质，逐年降低出生缺陷率。</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精心组织开展免费产前筛查（唐氏综合征、爱德华综合征和神经管缺陷三种疾病的血清生化免疫筛查）从源头抓好出生人口素质，逐年降低出生缺陷率。</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精心组织开展免费产前筛查（唐氏综合征、爱德华综合征和神经管缺陷三种疾病的血清生化免疫筛查）从源头抓好出生人口素质，逐年降低出生缺陷率。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11、计划生育家庭基础养老金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开展农村社会养老保险试点工作中，对计划生育独</w:t>
            </w:r>
            <w:r w:rsidRPr="00262478">
              <w:rPr>
                <w:rFonts w:asciiTheme="minorEastAsia" w:eastAsiaTheme="minorEastAsia" w:hAnsiTheme="minorEastAsia" w:hint="eastAsia"/>
                <w:sz w:val="24"/>
                <w:szCs w:val="24"/>
              </w:rPr>
              <w:lastRenderedPageBreak/>
              <w:t>生子女和双女户家庭及独生子女死亡、计划生育手术并发症等特殊困难家庭参保的夫妻，由区政府出资，每人每月增加不低于10元的基础养老金。</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对城镇居民中计划生育独生子女和双女户家庭参保</w:t>
            </w:r>
            <w:r w:rsidRPr="00262478">
              <w:rPr>
                <w:rFonts w:asciiTheme="minorEastAsia" w:eastAsiaTheme="minorEastAsia" w:hAnsiTheme="minorEastAsia" w:hint="eastAsia"/>
                <w:sz w:val="24"/>
                <w:szCs w:val="24"/>
              </w:rPr>
              <w:lastRenderedPageBreak/>
              <w:t>的夫妻，按每人每月不低于10元的标准增加基础养老金；对独生子女伤残、死亡和计划生育手术并发症等特殊困难家庭参保的夫妻，按每人每月不低于15元的标准增加基础养老金。</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开展农村社会养老保险</w:t>
            </w:r>
            <w:r w:rsidRPr="00262478">
              <w:rPr>
                <w:rFonts w:asciiTheme="minorEastAsia" w:eastAsiaTheme="minorEastAsia" w:hAnsiTheme="minorEastAsia" w:hint="eastAsia"/>
                <w:sz w:val="24"/>
                <w:szCs w:val="24"/>
              </w:rPr>
              <w:lastRenderedPageBreak/>
              <w:t>试点工作中，对计划生育独生子女和双女户家庭及独生子女死亡、计划生育手术并发症等特殊困难家庭参保的夫妻，由区政府出资，每人每月增加不低于10元的基础养老金。</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w:t>
            </w:r>
            <w:r w:rsidRPr="00262478">
              <w:rPr>
                <w:rFonts w:asciiTheme="minorEastAsia" w:eastAsiaTheme="minorEastAsia" w:hAnsiTheme="minorEastAsia" w:hint="eastAsia"/>
                <w:sz w:val="24"/>
                <w:szCs w:val="24"/>
              </w:rPr>
              <w:lastRenderedPageBreak/>
              <w:t>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75%及以</w:t>
            </w:r>
            <w:r w:rsidRPr="00262478">
              <w:rPr>
                <w:rFonts w:asciiTheme="minorEastAsia" w:eastAsiaTheme="minorEastAsia" w:hAnsiTheme="minorEastAsia" w:hint="eastAsia"/>
                <w:sz w:val="24"/>
                <w:szCs w:val="24"/>
              </w:rPr>
              <w:lastRenderedPageBreak/>
              <w:t>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12、预防出生缺陷基因检测项目</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预防出生缺陷基因检测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val="restart"/>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13、婴幼儿早期发展工作经费出生人口性别比计划生育事业补助经费计划生育服务补助资金青春健康俱乐部补助</w:t>
            </w:r>
          </w:p>
        </w:tc>
        <w:tc>
          <w:tcPr>
            <w:tcW w:w="12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做好婴幼儿早期教育，为每个公民的健康发展创造良好的人生开端，是贯彻落实科学发展观，坚持以人为本，提高人口素质，促进我国由人口大国向人力资本强国转变的重要举</w:t>
            </w:r>
            <w:r w:rsidRPr="00262478">
              <w:rPr>
                <w:rFonts w:asciiTheme="minorEastAsia" w:eastAsiaTheme="minorEastAsia" w:hAnsiTheme="minorEastAsia" w:hint="eastAsia"/>
                <w:sz w:val="24"/>
                <w:szCs w:val="24"/>
              </w:rPr>
              <w:lastRenderedPageBreak/>
              <w:t>措。</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国家从法律保障、政策调整、传统观念、督查指导等方面进行指导以保证出生人口性别比的合理化</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为了落实我国人口与计划生育政策，支持地方计划生育事业发展</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用于支持开展计划生育服务工作</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提供青年人适宜的性与生殖健康教育和服务，减少非意愿妊娠，预防艾滋病病毒和性传播疾病的感染，维护青年人性与生殖健康的权利，鼓励青年参与，培养一批致力于青春健康教育服务的志愿同伴教育者。</w:t>
            </w:r>
          </w:p>
        </w:tc>
        <w:tc>
          <w:tcPr>
            <w:tcW w:w="29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积极开展对青少年的青春教育和服务，营造良好的宣传和教育氛围，提高青少年性与生殖健康水平。</w:t>
            </w:r>
          </w:p>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早期教育工作能够使我们更好的贯彻科学发展观、落实以人为本的指导思想；能</w:t>
            </w:r>
            <w:r w:rsidRPr="00262478">
              <w:rPr>
                <w:rFonts w:asciiTheme="minorEastAsia" w:eastAsiaTheme="minorEastAsia" w:hAnsiTheme="minorEastAsia" w:hint="eastAsia"/>
                <w:sz w:val="24"/>
                <w:szCs w:val="24"/>
              </w:rPr>
              <w:lastRenderedPageBreak/>
              <w:t>够使计生工作人员更好的明确责任，有利于计生工作科学理性的进行；能够使每个家庭更明白采取什么样的方式帮助孩子的成长</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国家从法律保障、政策调整、传统观念、督查指导等方面进行指导以保证出生人口性别比的合理化</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计划生育避孕节育手术补助、困难地区独生子</w:t>
            </w:r>
            <w:r w:rsidRPr="00262478">
              <w:rPr>
                <w:rFonts w:asciiTheme="minorEastAsia" w:eastAsiaTheme="minorEastAsia" w:hAnsiTheme="minorEastAsia" w:hint="eastAsia"/>
                <w:sz w:val="24"/>
                <w:szCs w:val="24"/>
              </w:rPr>
              <w:lastRenderedPageBreak/>
              <w:t>女父母奖励补助、基础计划生育服务设备购置补助、宣传教育</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用于支持开展计划生育服务工作</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积极开展对青少年的青春教育和服务，营造良好的宣传和教育氛围，提高青少年性与生殖健康水平。</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三、计划生育服务站经费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提供各类计划生育技术服务、建立利益导向机制，开展出生人口性别比治理以及流动人口计划生育管理、城市计划生育属地管理，坚持计划生育目标管理责任制，指导计划生育</w:t>
            </w:r>
            <w:r w:rsidRPr="00262478">
              <w:rPr>
                <w:rFonts w:asciiTheme="minorEastAsia" w:eastAsiaTheme="minorEastAsia" w:hAnsiTheme="minorEastAsia" w:hint="eastAsia"/>
                <w:sz w:val="24"/>
                <w:szCs w:val="24"/>
              </w:rPr>
              <w:lastRenderedPageBreak/>
              <w:t>协 、基层卫生和计划生育服务站、妇幼卫生服务体系建设等各项工作。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稳定适度的低生育水平，有效保障计划生育家庭生活水平，提高妇女生殖健康水平，落实孕前优生服务率，降低出生缺陷的发生，有效遏制 出生人口性别比偏高问题，负责计划</w:t>
            </w:r>
            <w:r w:rsidRPr="00262478">
              <w:rPr>
                <w:rFonts w:asciiTheme="minorEastAsia" w:eastAsiaTheme="minorEastAsia" w:hAnsiTheme="minorEastAsia" w:hint="eastAsia"/>
                <w:sz w:val="24"/>
                <w:szCs w:val="24"/>
              </w:rPr>
              <w:lastRenderedPageBreak/>
              <w:t>生育规划及目标管理责任制执行情况进行监督和考核评估 ，开展计划生育群众自治工作。 负责拟定基层卫生和计划生育服务、妇幼卫生发展规划和政策措施并实施 ，推行基本公共卫生和计划生育服务均等化。</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1、计划生育服务站经费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负责计划生育技术服务的技术指导、咨询，孕前优生检查结果的信息录入、随访等工作。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为已婚育龄妇女提供免费计划生育手术、孕情、环情检查，开展生殖健康、孕前优生、和季服务检查。</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各项免费服务检查的落实率，随访率。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四、计划生育群众工作</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提供各类计划生育技术服务、建立利益导向机制，开展出生人口性别比治理以及流动人口计划生育管理、城市计划生育属地管理，坚持计划生育目标管理责任制，指导计划生育协 、基层卫生和计划生育服务站、妇幼卫生服务体系建设等各项工作。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稳定适度的低生育水平，有效保障计划生育家庭生活水平，提高妇女生殖健康水平，落实孕前优生服务率，降低出生缺陷的发生，有效遏制 出生人口性别比偏高问题，负责计划生育规划及目标管理责任制执行情况进行监督和考核评估 ，开展计划生育群众自治工作。 负责拟定基</w:t>
            </w:r>
            <w:r w:rsidRPr="00262478">
              <w:rPr>
                <w:rFonts w:asciiTheme="minorEastAsia" w:eastAsiaTheme="minorEastAsia" w:hAnsiTheme="minorEastAsia" w:hint="eastAsia"/>
                <w:sz w:val="24"/>
                <w:szCs w:val="24"/>
              </w:rPr>
              <w:lastRenderedPageBreak/>
              <w:t>层卫生和计划生育服务、妇幼卫生发展规划和政策措施并实施 ，推行基本公共卫生和计划生育服务均等化。</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1、失独家庭“亲情关爱”管理和服务费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协助政府开展群众自治、亲情关爱及幸福工程等工作，提供心理咨询、健康检查、经济帮扶和科教培训等服务，提高计生特困家庭抵御风险能力，宣传计划生育各项政策。</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五、基本公共卫生服务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191.40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公共卫生是关系到人民大众健康的公共事业，包括对重大疾病的预防、监控和医治，对突发公共事件的卫生应急处置，对食品、药品、公共环境卫生的监督管制。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推进基本公共卫生服务均等化；控制各类重大疾病的发生与传播；有效应对我市突发公共卫生事件；保障妇女儿童身心健康；提高食品安全风险预警能力。</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1、基本公共卫生配套资金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191.40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按照国家基本公共卫生服务项目《规范》，组织全市基层医疗卫生机构开展实施基本公共卫生服务项目。</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对城乡居民健康实行干预，减少危害健康的因素，有效预防传染病及慢性病，使其享有平等的基本卫生服务。</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居民健康档案总体建档率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六、公立医院改革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通过各类医疗机构，对不</w:t>
            </w:r>
            <w:r w:rsidRPr="00262478">
              <w:rPr>
                <w:rFonts w:asciiTheme="minorEastAsia" w:eastAsiaTheme="minorEastAsia" w:hAnsiTheme="minorEastAsia" w:hint="eastAsia"/>
                <w:sz w:val="24"/>
                <w:szCs w:val="24"/>
              </w:rPr>
              <w:lastRenderedPageBreak/>
              <w:t>同类型的疾病进行治疗。包括医疗救治，机构改革，鼓励社会资本办医等内容。</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提高医疗机构的疾病救治</w:t>
            </w:r>
            <w:r w:rsidRPr="00262478">
              <w:rPr>
                <w:rFonts w:asciiTheme="minorEastAsia" w:eastAsiaTheme="minorEastAsia" w:hAnsiTheme="minorEastAsia" w:hint="eastAsia"/>
                <w:sz w:val="24"/>
                <w:szCs w:val="24"/>
              </w:rPr>
              <w:lastRenderedPageBreak/>
              <w:t>能力，强化公立医院和基层医疗卫生机构综合改革。</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1、医院补助（公立医院改革）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以改革补偿机制和落实医院自主经营管理权为切入点，继续深化全市县级公立医院综合改革；以改革补偿机制和建立现代医院管理制度为抓手，扎实推进城市公立医院改革工作。开展平安医院创建工作。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取消县级公立医院药品加成，健全完善公立医院药品和高值医用耗材集中采购制度，建立基层首诊、分级医疗、双向转诊、急慢分治、上下联动机制，缓解群众看病难、看病贵问题。</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县级公立医院改革覆盖率；公立医院药品和高值医用耗材网上采购率；各级医院按规范病种收治符合率；医疗风险分担机制覆盖率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七、基础医疗改革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114.00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通过各类医疗机构，对不同类型的疾病进行治疗。包括医疗救治，机构改革，鼓励社会资本办医等内容。</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提高医疗机构的疾病救治能力，强化公立医院和基层医疗卫生机构综合改革。</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1、卫生院补助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组织实施基本药物制度，巩固完善基层医改补偿和运行新机制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巩固完善基本药物制度，实现基本药物制度乡村卫生机构全覆盖，落实财政补偿政策，稳固基本药物</w:t>
            </w:r>
            <w:r w:rsidRPr="00262478">
              <w:rPr>
                <w:rFonts w:asciiTheme="minorEastAsia" w:eastAsiaTheme="minorEastAsia" w:hAnsiTheme="minorEastAsia" w:hint="eastAsia"/>
                <w:sz w:val="24"/>
                <w:szCs w:val="24"/>
              </w:rPr>
              <w:lastRenderedPageBreak/>
              <w:t>集中采购机制，推进基本药物临床合理使用。</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基本药物及时配送到位率；基层医疗卫生机构</w:t>
            </w:r>
            <w:r w:rsidRPr="00262478">
              <w:rPr>
                <w:rFonts w:asciiTheme="minorEastAsia" w:eastAsiaTheme="minorEastAsia" w:hAnsiTheme="minorEastAsia" w:hint="eastAsia"/>
                <w:sz w:val="24"/>
                <w:szCs w:val="24"/>
              </w:rPr>
              <w:lastRenderedPageBreak/>
              <w:t>药品零差率实施率；基层医疗卫生机构基本药物临床应用指南和处方集培训覆盖率。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2、社区卫生服务经费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组织实施基本药物制度，巩固完善基层医改补偿和运行新机制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随着科学技术的不断发展，高科技医疗诊治设备越来越多地应用于临床，对提高临床诊断治疗水平发挥了积极作用</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为进一步方便患者就医、精准诊断、精准治疗切实提高医疗服务水平，更好的解决广大群众</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3、戴河卫生院建设项目配套资金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2010年火车站改造一直未建</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为进一步加强我镇中心卫生医院能力建设，改善患者就医条件，满足广大群众对健康和医疗日益增长的需求，为群众就诊医疗提供一个安全、便捷、高效、廉价、和谐的就医环境，</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满足广大群众对健康和医疗日益增长的需求，为群众就诊医疗提供一个安全、便捷、高效、</w:t>
            </w:r>
            <w:r w:rsidRPr="00262478">
              <w:rPr>
                <w:rFonts w:asciiTheme="minorEastAsia" w:eastAsiaTheme="minorEastAsia" w:hAnsiTheme="minorEastAsia" w:hint="eastAsia"/>
                <w:sz w:val="24"/>
                <w:szCs w:val="24"/>
              </w:rPr>
              <w:lastRenderedPageBreak/>
              <w:t>廉价、和谐的就医环境，</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4、基层医疗机构管理信息系统维护管理</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项目是按照省发改委正式批复的可研和初设方案进行实施建设，基层管理信息系统基础上全省统一开发部署的村卫生室和新农合管理信息系统基础上全省统一开发部署的乡村一体化的管理信息系统，涵盖公共卫生、医疗服务、医疗保障、药品管理、综合管理等五大业务应用。</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5、乡村医生养老补助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60.00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切实解决好原“赤脚医生”养老保障问题。原“赤脚医生”养老补助问题事关群众切身利益和社会稳定，切实解决好原“赤脚医生”养老保障问题，使原赤脚医生得到一定养老补偿，老有所养。</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切实解决好原“赤脚医生”养老保障问题。原“赤脚医生”养老补助问题事关群众切身利益和社会稳定，切实解决好原“赤脚医生”养老保障问题，使原赤脚医生得到一定养老补偿，老有所养。</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切实解决好原“赤脚医生”养老保障问题。原“赤脚医生”养老补助问题事关群众切身利益和社会稳定，切实解决好原“赤</w:t>
            </w:r>
            <w:r w:rsidRPr="00262478">
              <w:rPr>
                <w:rFonts w:asciiTheme="minorEastAsia" w:eastAsiaTheme="minorEastAsia" w:hAnsiTheme="minorEastAsia" w:hint="eastAsia"/>
                <w:sz w:val="24"/>
                <w:szCs w:val="24"/>
              </w:rPr>
              <w:lastRenderedPageBreak/>
              <w:t>脚医生”养老保障问题，使原赤脚医生得到一定养老补偿，老有所养。</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6、基本药物制度配套资金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组织全区村卫生室开展实施基本药物制度。解决村民看病难、用药难的问题</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组织全区村卫生室开展实施基本药物制度。解决村民看病难、用药难的问题</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组织全区村卫生室开展实施基本药物制度。解决村民看病难、用药难的问题</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7、村卫生室建设（牛头崖）</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54.00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为贯彻落实全省县级公立医院综合改革试点深化基层医改工作推进会议精神，切实改善我区村卫生室基础设施条件，提升村级卫生服务能力，按时完成省政府确定的基层医改目标</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建成后的村卫生室设有独立的诊断室、治疗室、观察室、药房，符合国家卫生学标准及体现无障碍设计要求，做到“产权清晰、各室分开、相对独立、市容整洁”，满足群众基本医疗和公共卫生服务。</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建成后的村卫生室设有独立的诊断室、治疗室、观察室、药房，符合国家卫生学标准及体现无障碍设计要求，做到“产权</w:t>
            </w:r>
            <w:r w:rsidRPr="00262478">
              <w:rPr>
                <w:rFonts w:asciiTheme="minorEastAsia" w:eastAsiaTheme="minorEastAsia" w:hAnsiTheme="minorEastAsia" w:hint="eastAsia"/>
                <w:sz w:val="24"/>
                <w:szCs w:val="24"/>
              </w:rPr>
              <w:lastRenderedPageBreak/>
              <w:t>清晰、各室分开、相对独立、市容整洁”，满足群众基本医疗和公共卫生服务。</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八、医疗救治</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5.00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通过各类医疗机构，对不同类型的疾病进行治疗。包括医疗救治，机构改革，鼓励社会资本办医等内容。</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提高医疗机构的疾病救治能力，强化公立医院和基层医疗卫生机构综合改革。</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1、购置救护车经费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针对不同类型的疾病提供预防、检查、诊断、治疗和康复等各类医疗活动，开展医疗惠民工程，满足各类患者的医疗服务需求。</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2、海蜇蛰伤防治经费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暑期海蜇蛰伤防治</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暑期海蜇蛰伤防治</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暑期海蜇蛰伤防治</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3、精神卫生防治经费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5.00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高风险患者随访管理指导、应急医疗处置、家属护理教育、病例筛查与诊断、精神卫生防治人员技</w:t>
            </w:r>
            <w:r w:rsidRPr="00262478">
              <w:rPr>
                <w:rFonts w:asciiTheme="minorEastAsia" w:eastAsiaTheme="minorEastAsia" w:hAnsiTheme="minorEastAsia" w:hint="eastAsia"/>
                <w:sz w:val="24"/>
                <w:szCs w:val="24"/>
              </w:rPr>
              <w:lastRenderedPageBreak/>
              <w:t>术指导培训。</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社区</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应急医疗处置</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九、新型农村合作医疗及城乡居民大病保险</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通过建立和实施新型农村合作医疗、疾病应急救助、城乡居民大病保险以及公费医疗等制度，保障人民群众公平享有所需医疗服务权益。</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保障新型农村合作医疗管理中心制度正常运行，以提高农村居民的医疗保障水平，减轻重大疾病患者和“三无”病人的经济负担；保障市直保健对象身心健康。</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1、新型农村合作医疗管理中心资金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2、新型农村合作医疗管理中心房租及水电费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保障新型农村合作医疗管理中心制度正常运行</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3、新型农村合作医疗管理中心软件维护费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保障新型农村合作医疗管理中心制度正常运行</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4、新农合搬家经费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根据人大常委会的调研意见，方便群众报销及转诊，现农合管理中心搬迁到北戴河区医院</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十、爱国卫生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15.00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贯彻党和国家有关爱国卫生工作的法律、法规和政策，编制区爱国卫生工作的规划、计划和措施，并组织实施和鉴定检查，组织参与爱国卫生运动，知道本区爱国卫生工作。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组织开展创建卫生城、镇、村工作，协助上级开展检查评比；全面监控教育活动，普及科学卫生知识；消除病媒虫害和控制吸烟等工作。</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1、爱卫会消杀经费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15.00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社会环境消杀</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深入发动，广泛宣传，爱卫会深入发动群众，营造良好的除害氛围，大打一场除害歼灭战</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营造整洁、干净、健康的生活工作环境</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2、灭鼠经费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春秋季灭鼠</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预防流行性出血热疾病</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预防流行性出血热疾病</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3、居民区垃圾桶购置</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居民环境卫生整治</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4、购置消杀车经费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保障消杀工作安全有效的进行</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5、卫生城市创建经费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活动组织实施健康教育和健康促进、环境保护生活饮用水安全。深入开展禁烟、控烟宣传活动。开展无烟学校、无烟机关、无烟医疗卫生机构等无烟场所建设。</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十一、红十字会</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区红十字会是从事人道主义工作的社会救助团体，是中国红十字会的地方组织，是区政府开展人道救助活动的承办部门</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开展卫生救护和防病知识的宣传普及，协助区人民政府开展无偿献血的宣传，开展捐献造血干细胞、遗体（器官）自愿捐献的宣传；开展预防控制艾滋病宣传和健康教育等工作；依法开展社会募捐活动；</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1、红十字会经费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开展“博爱一日捐”活动，无偿捐献遗体器官和造血干细胞，无偿献血、和预防艾滋的工作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了让广大人民群众更好的了解红十字的相关工作，使更多的人志愿加入到公益事业当中来；积极踊跃的参与无偿献血，推动我区无偿献血事业持续健康发展；普及艾滋病防治知识，增强社会民众自我防治的意识和能力，营造有利于艾滋病防治的社会环境，以便更好的提升全区的精神文明建设</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为了让广大人民群众更好的了解红十字的相关工作，使更多的人志愿加入到公益事业当中来；积极踊跃的参与无偿献血，推动我区无偿献血事业持续健康发展；普及艾滋病防治知</w:t>
            </w:r>
            <w:r w:rsidRPr="00262478">
              <w:rPr>
                <w:rFonts w:asciiTheme="minorEastAsia" w:eastAsiaTheme="minorEastAsia" w:hAnsiTheme="minorEastAsia" w:hint="eastAsia"/>
                <w:sz w:val="24"/>
                <w:szCs w:val="24"/>
              </w:rPr>
              <w:lastRenderedPageBreak/>
              <w:t>识，增强社会民众自我防治的意识和能力，营造有利于艾滋病防治的社会环境，以便更好的提升全区的精神文明建设</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十二、疾控中心公共卫生服务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145.90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公共卫生是关系到人民大众健康的公共事业，包括对重大疾病的预防、监控和医治，对突发公共事件的卫生应急处置，对食品、药品、公共环境卫生的监督管制。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开展卫生救护和防病知识的宣传普及，协助区人民政府开展无偿献血的宣传，开展捐献造血干细胞、遗体（器官）自愿捐献的宣传；开展预防控制艾滋病宣传和健康教育等工作；依法开展社会募捐活动；</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1、疾病预防控制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145.90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重大传染病监测、预防与控制:流感、禽流感、手足口病、麻疹、风疹、流行性出血热、中东呼吸综合征、不明原因肺炎、登革</w:t>
            </w:r>
            <w:r w:rsidRPr="00262478">
              <w:rPr>
                <w:rFonts w:asciiTheme="minorEastAsia" w:eastAsiaTheme="minorEastAsia" w:hAnsiTheme="minorEastAsia" w:hint="eastAsia"/>
                <w:sz w:val="24"/>
                <w:szCs w:val="24"/>
              </w:rPr>
              <w:lastRenderedPageBreak/>
              <w:t>热、寨卡病毒、黄热病、计划免疫抗体水平监测、重点肠道传染病、流脑监测、疟原虫检测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提高重点传染病监测水平，有效落实疾病防控措施</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按要求完成病种监测和处置</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2、疾病预防控制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生活饮用水监测:组织开展生活饮用水的监测，每年对城市市政供水、农村集中式供水进行检测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生活饮用水监测:组织开展生活饮用水的监测</w:t>
            </w:r>
          </w:p>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丰、枯水期各监测一次</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3、疾病预防控制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扩大国家免疫规划监测与防控：落实免疫规划，队疫苗接种异常反应病例进行鉴定和诊断，促进疫苗接种工作的开展。</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依法做好预防接种异常反应处理工作</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调查诊断、鉴定完成率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4、疾病预防控制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慢性病监测与防控：组织开展慢性病防治，完善疾病预防控制体系</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提高重点疾病监测水平，有效落实疾病防控措施</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开展疾病预防控制宣传，提高传染病、慢病防治知识知晓率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5、疾病预防控制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"免疫规划疫苗接种监测：组织开展重大疾病防治，落实免疫规划、完善疾病预防控制体系</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提高疫苗接种管理水平</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适龄儿童免疫规划疫苗接种率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6、疾病预防控</w:t>
            </w:r>
            <w:r w:rsidRPr="00262478">
              <w:rPr>
                <w:rFonts w:asciiTheme="minorEastAsia" w:eastAsiaTheme="minorEastAsia" w:hAnsiTheme="minorEastAsia" w:hint="eastAsia"/>
                <w:b/>
                <w:sz w:val="24"/>
                <w:szCs w:val="24"/>
              </w:rPr>
              <w:lastRenderedPageBreak/>
              <w:t>制</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实验室质量控制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保证公正、科学、正确、</w:t>
            </w:r>
            <w:r w:rsidRPr="00262478">
              <w:rPr>
                <w:rFonts w:asciiTheme="minorEastAsia" w:eastAsiaTheme="minorEastAsia" w:hAnsiTheme="minorEastAsia" w:hint="eastAsia"/>
                <w:sz w:val="24"/>
                <w:szCs w:val="24"/>
              </w:rPr>
              <w:lastRenderedPageBreak/>
              <w:t>规范的向社会提供检验检测数据，更好的为社会提供优质高效的服务，建立完善的实验室质量管理体系</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实验室检验</w:t>
            </w:r>
            <w:r w:rsidRPr="00262478">
              <w:rPr>
                <w:rFonts w:asciiTheme="minorEastAsia" w:eastAsiaTheme="minorEastAsia" w:hAnsiTheme="minorEastAsia" w:hint="eastAsia"/>
                <w:sz w:val="24"/>
                <w:szCs w:val="24"/>
              </w:rPr>
              <w:lastRenderedPageBreak/>
              <w:t>项目开展率；质控覆盖率</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85%</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w:t>
            </w:r>
            <w:r w:rsidRPr="00262478">
              <w:rPr>
                <w:rFonts w:asciiTheme="minorEastAsia" w:eastAsiaTheme="minorEastAsia" w:hAnsiTheme="minorEastAsia" w:hint="eastAsia"/>
                <w:sz w:val="24"/>
                <w:szCs w:val="24"/>
              </w:rPr>
              <w:lastRenderedPageBreak/>
              <w:t>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65%</w:t>
            </w:r>
            <w:r w:rsidRPr="00262478">
              <w:rPr>
                <w:rFonts w:asciiTheme="minorEastAsia" w:eastAsiaTheme="minorEastAsia" w:hAnsiTheme="minorEastAsia" w:hint="eastAsia"/>
                <w:sz w:val="24"/>
                <w:szCs w:val="24"/>
              </w:rPr>
              <w:lastRenderedPageBreak/>
              <w:t>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65%</w:t>
            </w:r>
            <w:r w:rsidRPr="00262478">
              <w:rPr>
                <w:rFonts w:asciiTheme="minorEastAsia" w:eastAsiaTheme="minorEastAsia" w:hAnsiTheme="minorEastAsia" w:hint="eastAsia"/>
                <w:sz w:val="24"/>
                <w:szCs w:val="24"/>
              </w:rPr>
              <w:lastRenderedPageBreak/>
              <w:t>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十三、妇幼保健站公共卫生服务</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14.00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公共卫生是关系到人民大众健康的公共事业，包括对重大疾病的预防、监控和医治，对突发公共事件的卫生应急处置，对食品、药品、公共环境卫生的监督管制。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推进基本公共卫生服务均等化；控制各类重大疾病的发生与传播；有效应对我市突发公共卫生事件；保障妇女儿童身心健康；提高食品安全风险预警能力。</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14.00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2、妇幼卫生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3、妇幼卫生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w:t>
            </w:r>
            <w:r w:rsidRPr="00262478">
              <w:rPr>
                <w:rFonts w:asciiTheme="minorEastAsia" w:eastAsiaTheme="minorEastAsia" w:hAnsiTheme="minorEastAsia" w:hint="eastAsia"/>
                <w:sz w:val="24"/>
                <w:szCs w:val="24"/>
              </w:rPr>
              <w:lastRenderedPageBreak/>
              <w:t>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4、妇幼卫生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5、妇幼卫生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w:t>
            </w:r>
            <w:r w:rsidRPr="00262478">
              <w:rPr>
                <w:rFonts w:asciiTheme="minorEastAsia" w:eastAsiaTheme="minorEastAsia" w:hAnsiTheme="minorEastAsia" w:hint="eastAsia"/>
                <w:sz w:val="24"/>
                <w:szCs w:val="24"/>
              </w:rPr>
              <w:lastRenderedPageBreak/>
              <w:t>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6、妇幼卫生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7、妇幼卫生</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w:t>
            </w:r>
            <w:r w:rsidRPr="00262478">
              <w:rPr>
                <w:rFonts w:asciiTheme="minorEastAsia" w:eastAsiaTheme="minorEastAsia" w:hAnsiTheme="minorEastAsia" w:hint="eastAsia"/>
                <w:sz w:val="24"/>
                <w:szCs w:val="24"/>
              </w:rPr>
              <w:lastRenderedPageBreak/>
              <w:t>童健康状况进行监测，开展孕产妇死亡、岁以下儿童死亡及出生缺陷监测。</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十四、卫生执法监督所卫计政务管理</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拟定卫生计生改革与发展目标、规划和政策措施，起草相关性地方法规和规章草案，制定有关标准和技术规范，监督指导卫生计生相关法律法规落实情况，承担政务公开和业务宣传工作.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保障卫生计生事业顺利发展。</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1、综合业务管理</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开展卫生计生规划、统计、法制、政策研究、宣传教育、行业改革，拟定行业标准，监督政策落实等各项综合业务工作。</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公共卫生安全监管，具有依法依规监督执法的资格，具有指导和处理突发公共卫生安全事件的能力。加强卫生监督监管工作，是确保暑期安全和全区人民身体健康的重要内容，签于目前严峻的公共卫生安全形势和我区承担</w:t>
            </w:r>
            <w:r w:rsidRPr="00262478">
              <w:rPr>
                <w:rFonts w:asciiTheme="minorEastAsia" w:eastAsiaTheme="minorEastAsia" w:hAnsiTheme="minorEastAsia" w:hint="eastAsia"/>
                <w:sz w:val="24"/>
                <w:szCs w:val="24"/>
              </w:rPr>
              <w:lastRenderedPageBreak/>
              <w:t>的艰巨公共卫生安全监管任务。</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具有依法依规监督执法的资格，具有指导和处理突发公共卫生安全事件的能力。</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可以有效预防公共场所和其他卫生安全事件，确保实现公众公共卫生安全工作目标。</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加强监督监管力度和频次，及时开展现场快速检测和实验室检测</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2、综合业务管理</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开展卫生计生规划、统计、法制、政策研究、宣传教育、行业改革，拟定行业标准，监督政策落实等各项综合业务工作。</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建立起适应我区公共卫生安全需要的公共卫生监督体系，增加监督队伍辅助人员，最大限度地保障监督队伍力量。积极配合区里暑期对民宿的整治进行全天候巡查，不断提升我区民宿管理水平。</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支暑经费。为加强公共场所卫生监督和医疗卫生安全监管，为此，需增加财务会计、保安、司机等非业务必须人员；增加监督频次，暑期借用车辆；加</w:t>
            </w:r>
            <w:r w:rsidRPr="00262478">
              <w:rPr>
                <w:rFonts w:asciiTheme="minorEastAsia" w:eastAsiaTheme="minorEastAsia" w:hAnsiTheme="minorEastAsia" w:hint="eastAsia"/>
                <w:sz w:val="24"/>
                <w:szCs w:val="24"/>
              </w:rPr>
              <w:lastRenderedPageBreak/>
              <w:t>大宣传和硬件执法能力建设等工作，需设立暑期监督保障费项目。</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杜绝和减少突发公共卫生事件和非法行医致死、致伤、致残事件，确保实现暑期万无一失和全区人民身体健康的工作目标。</w:t>
            </w:r>
          </w:p>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有效预防公共卫生事件和严厉打击非法行医行为，</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十五、计划生育协会经费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提供各类计划生育技术服务、建立利益导向机制，开展出生人口性别比治理以及流动人口计划生育管理、城市计划生育属地管理，坚持计划生育目标管理责任制，指导计划生育协 、基层卫生和计划生育服务站、妇幼卫生服务体系建设等各项工作。</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稳定适度的低生育水平，有效保障计划生育家庭生活水平，提高妇女生殖健康水平，落实孕前优生服务率，降低出生缺陷的发生，有效遏制 出生人口性别比偏高问题，负责计划生育规划及目标管理责任制执行情况进行监督和考核评估 ，开展计划生育群众自治工作。 负责拟定基层卫生和计划生育服务、妇幼卫生发展规划和政策措施并实施 ，推行基本公共卫生和计划生育服务均等化。</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1、计划生育协会经费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2.00</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开展基层群众自治和特色服务；开展群众性计划生育宣传工作，倡导婚育新风，普及计划生育、性与生殖健康、避孕节育、预防艾滋病知识等；</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切实维护计生群众合法权益，推动服务项目常态化发展，关怀改善计生特困特殊人群生活质量。</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计划生育协会活动经费占本级计划生育事业经费10%要求；计划生</w:t>
            </w:r>
            <w:r w:rsidRPr="00262478">
              <w:rPr>
                <w:rFonts w:asciiTheme="minorEastAsia" w:eastAsiaTheme="minorEastAsia" w:hAnsiTheme="minorEastAsia" w:hint="eastAsia"/>
                <w:sz w:val="24"/>
                <w:szCs w:val="24"/>
              </w:rPr>
              <w:lastRenderedPageBreak/>
              <w:t>育基层群众自治村（居）覆盖率；生育关怀行动覆盖面。</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十六、医疗废物处置</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对医疗垃圾进行集中处置，安全转运，防止疾病传播，保护环境，保障人体健康</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对医疗垃圾进行集中处置，安全转运，防止疾病传播，保护环境，保障人体健康</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1、医疗废物处置、转运费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医疗废物作为国家危险废物名录中的第一类，是具有严重危害性、污染性的的危险废物。以“环境健康、风险预防、安全无害、废物减量”为原则对医疗废物进行集中处置转运。</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规范医疗废物管理，有效预防和控制医疗废物对人体健康和环境产生危害</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对医疗垃圾进行集中处置，安全转运，防止疾病传播，保护环境，保障人体健康</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十七、扶贫资金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青龙扶贫</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青龙扶贫</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1、扶贫工作用车及修车费用</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扶贫工作用车及修车费用</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2、人员经费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人员经费</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十八、公共卫生补助资金</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公共卫生是关系到人民大众健康的公共事业，包括对重大疾病的预防、监控</w:t>
            </w:r>
            <w:r w:rsidRPr="00262478">
              <w:rPr>
                <w:rFonts w:asciiTheme="minorEastAsia" w:eastAsiaTheme="minorEastAsia" w:hAnsiTheme="minorEastAsia" w:hint="eastAsia"/>
                <w:sz w:val="24"/>
                <w:szCs w:val="24"/>
              </w:rPr>
              <w:lastRenderedPageBreak/>
              <w:t>和医治，对突发公共事件的卫生应急处置，对食品、药品、公共环境卫生的监督管制。</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提高医疗机构的疾病救治能力，强化公立医院和基层医疗卫生机构综合改</w:t>
            </w:r>
            <w:r w:rsidRPr="00262478">
              <w:rPr>
                <w:rFonts w:asciiTheme="minorEastAsia" w:eastAsiaTheme="minorEastAsia" w:hAnsiTheme="minorEastAsia" w:hint="eastAsia"/>
                <w:sz w:val="24"/>
                <w:szCs w:val="24"/>
              </w:rPr>
              <w:lastRenderedPageBreak/>
              <w:t>革。</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vMerge w:val="restart"/>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lastRenderedPageBreak/>
              <w:t xml:space="preserve">　　1、公共卫生补助资金中医药公共卫生服务补助资金重大公共卫生补助资金</w:t>
            </w:r>
          </w:p>
        </w:tc>
        <w:tc>
          <w:tcPr>
            <w:tcW w:w="12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关系人民大众健康的公共事业。实施重大妇幼卫生服务项目,有利于提高广大农村妇女健康水平，及重大传染病防控</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为加快建立基层医疗卫生机构中医诊区（国医堂）</w:t>
            </w:r>
          </w:p>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关系人民大众健康的公共事业。实施重大妇幼卫生服务项目,有利于提高广大农村妇女健康水平，及重大传染病防控</w:t>
            </w:r>
          </w:p>
        </w:tc>
        <w:tc>
          <w:tcPr>
            <w:tcW w:w="2976" w:type="dxa"/>
            <w:vMerge w:val="restart"/>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有利于提高广大农村妇女健康水平，重大传染病防控</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重大疾病的预防、监控和医治，对突发公共事件的卫生应急处置，对食品、药品、公共环境卫生的监督管制。</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通过在乡镇卫生院和社区卫生服务中心，将中医药临床科室集中独立设置、营造浓郁的中医药文化氛围、综合使用多种中医</w:t>
            </w:r>
            <w:r w:rsidRPr="00262478">
              <w:rPr>
                <w:rFonts w:asciiTheme="minorEastAsia" w:eastAsiaTheme="minorEastAsia" w:hAnsiTheme="minorEastAsia" w:hint="eastAsia"/>
                <w:sz w:val="24"/>
                <w:szCs w:val="24"/>
              </w:rPr>
              <w:lastRenderedPageBreak/>
              <w:t>药技术方法服务城乡居民，进一步提升基层中医药服务能力，促进中医药特色优势的发挥</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2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2976" w:type="dxa"/>
            <w:vMerge/>
            <w:shd w:val="clear" w:color="auto" w:fill="auto"/>
            <w:vAlign w:val="center"/>
          </w:tcPr>
          <w:p w:rsidR="004D5090" w:rsidRPr="00262478" w:rsidRDefault="004D5090" w:rsidP="00262478">
            <w:pPr>
              <w:rPr>
                <w:rFonts w:asciiTheme="minorEastAsia" w:eastAsiaTheme="minorEastAsia" w:hAnsiTheme="minorEastAsia"/>
                <w:sz w:val="24"/>
                <w:szCs w:val="24"/>
              </w:rPr>
            </w:pP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有利于提高广大农村妇女健康水平，重大传染病防控</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十九、政府法律顾问</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加强政府法律顾问制度建设，是推进依法行政，建设法治政府的必然要求。</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是提高政府依法管理经济社会事务能力、推动和保障科学发展的客观要求</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p>
        </w:tc>
      </w:tr>
      <w:tr w:rsidR="004D5090" w:rsidRPr="00262478" w:rsidTr="00AE08B1">
        <w:trPr>
          <w:trHeight w:val="227"/>
          <w:jc w:val="center"/>
        </w:trPr>
        <w:tc>
          <w:tcPr>
            <w:tcW w:w="2341" w:type="dxa"/>
            <w:shd w:val="clear" w:color="auto" w:fill="auto"/>
            <w:vAlign w:val="center"/>
          </w:tcPr>
          <w:p w:rsidR="004D5090" w:rsidRPr="00262478" w:rsidRDefault="004D5090" w:rsidP="00262478">
            <w:pPr>
              <w:jc w:val="left"/>
              <w:rPr>
                <w:rFonts w:asciiTheme="minorEastAsia" w:eastAsiaTheme="minorEastAsia" w:hAnsiTheme="minorEastAsia"/>
                <w:b/>
                <w:sz w:val="24"/>
                <w:szCs w:val="24"/>
              </w:rPr>
            </w:pPr>
            <w:r w:rsidRPr="00262478">
              <w:rPr>
                <w:rFonts w:asciiTheme="minorEastAsia" w:eastAsiaTheme="minorEastAsia" w:hAnsiTheme="minorEastAsia" w:hint="eastAsia"/>
                <w:b/>
                <w:sz w:val="24"/>
                <w:szCs w:val="24"/>
              </w:rPr>
              <w:t xml:space="preserve">　　1、政府法律顾问经费</w:t>
            </w:r>
          </w:p>
        </w:tc>
        <w:tc>
          <w:tcPr>
            <w:tcW w:w="12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参与信访接待、信访案件处理和行政调解工作并提供法律意见、建议。协助开展法制宣传教育、社会法律咨询等政府基本公共卫生服务工作等</w:t>
            </w:r>
          </w:p>
        </w:tc>
        <w:tc>
          <w:tcPr>
            <w:tcW w:w="2976"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区政府及其各部门和单位、各镇街建立政府法律顾问制度</w:t>
            </w:r>
          </w:p>
        </w:tc>
        <w:tc>
          <w:tcPr>
            <w:tcW w:w="1417" w:type="dxa"/>
            <w:shd w:val="clear" w:color="auto" w:fill="auto"/>
            <w:vAlign w:val="center"/>
          </w:tcPr>
          <w:p w:rsidR="004D5090" w:rsidRPr="00262478" w:rsidRDefault="004D5090" w:rsidP="00262478">
            <w:pPr>
              <w:jc w:val="left"/>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对政府或部门重大行政决策的合法性、可行性及决策实施可能涉及的法律风险、社会问题，进行研究、</w:t>
            </w:r>
            <w:r w:rsidRPr="00262478">
              <w:rPr>
                <w:rFonts w:asciiTheme="minorEastAsia" w:eastAsiaTheme="minorEastAsia" w:hAnsiTheme="minorEastAsia" w:hint="eastAsia"/>
                <w:sz w:val="24"/>
                <w:szCs w:val="24"/>
              </w:rPr>
              <w:lastRenderedPageBreak/>
              <w:t>论证、评估并提出书面审查意见</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lastRenderedPageBreak/>
              <w:t>100%</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85%及以上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75%及以上</w:t>
            </w:r>
          </w:p>
        </w:tc>
        <w:tc>
          <w:tcPr>
            <w:tcW w:w="737" w:type="dxa"/>
            <w:shd w:val="clear" w:color="auto" w:fill="auto"/>
            <w:vAlign w:val="center"/>
          </w:tcPr>
          <w:p w:rsidR="004D5090" w:rsidRPr="00262478" w:rsidRDefault="004D5090" w:rsidP="00262478">
            <w:pPr>
              <w:jc w:val="center"/>
              <w:rPr>
                <w:rFonts w:asciiTheme="minorEastAsia" w:eastAsiaTheme="minorEastAsia" w:hAnsiTheme="minorEastAsia"/>
                <w:sz w:val="24"/>
                <w:szCs w:val="24"/>
              </w:rPr>
            </w:pPr>
            <w:r w:rsidRPr="00262478">
              <w:rPr>
                <w:rFonts w:asciiTheme="minorEastAsia" w:eastAsiaTheme="minorEastAsia" w:hAnsiTheme="minorEastAsia" w:hint="eastAsia"/>
                <w:sz w:val="24"/>
                <w:szCs w:val="24"/>
              </w:rPr>
              <w:t>75%以下</w:t>
            </w:r>
          </w:p>
        </w:tc>
      </w:tr>
    </w:tbl>
    <w:p w:rsidR="0081078E" w:rsidRDefault="0081078E" w:rsidP="00262478">
      <w:pPr>
        <w:spacing w:line="600" w:lineRule="exact"/>
        <w:jc w:val="left"/>
        <w:rPr>
          <w:rFonts w:ascii="黑体" w:eastAsia="黑体" w:hAnsi="黑体"/>
          <w:b/>
          <w:color w:val="333333"/>
          <w:sz w:val="32"/>
          <w:szCs w:val="32"/>
        </w:rPr>
      </w:pPr>
      <w:r w:rsidRPr="003E227A">
        <w:rPr>
          <w:rFonts w:ascii="仿宋_GB2312" w:eastAsia="仿宋_GB2312" w:hAnsi="黑体" w:cs="宋体" w:hint="eastAsia"/>
          <w:sz w:val="32"/>
          <w:szCs w:val="32"/>
        </w:rPr>
        <w:lastRenderedPageBreak/>
        <w:t>备注：表中的年度预算数为项目支出，部门工作活动虽未安排项目支出，但由基本支出保障，由于基本支</w:t>
      </w:r>
      <w:r>
        <w:rPr>
          <w:rFonts w:ascii="仿宋_GB2312" w:eastAsia="仿宋_GB2312" w:hAnsi="黑体" w:cs="宋体" w:hint="eastAsia"/>
          <w:sz w:val="32"/>
          <w:szCs w:val="32"/>
        </w:rPr>
        <w:t>出无法拆分到相应的工作活动，因此部分工作活动没有列示年度预算数。</w:t>
      </w:r>
    </w:p>
    <w:p w:rsidR="00E74FD0" w:rsidRPr="0056585E" w:rsidRDefault="0056585E" w:rsidP="00262478">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六、政府采购预算情况</w:t>
      </w:r>
    </w:p>
    <w:p w:rsidR="00E74FD0" w:rsidRDefault="00E74FD0" w:rsidP="00262478">
      <w:pPr>
        <w:spacing w:line="600" w:lineRule="exact"/>
        <w:ind w:firstLineChars="200" w:firstLine="640"/>
        <w:jc w:val="left"/>
        <w:rPr>
          <w:rFonts w:ascii="仿宋_GB2312" w:eastAsia="仿宋_GB2312"/>
          <w:color w:val="333333"/>
          <w:sz w:val="32"/>
          <w:szCs w:val="32"/>
        </w:rPr>
      </w:pPr>
      <w:r w:rsidRPr="00262478">
        <w:rPr>
          <w:rFonts w:ascii="仿宋_GB2312" w:eastAsia="仿宋_GB2312" w:hint="eastAsia"/>
          <w:color w:val="333333"/>
          <w:sz w:val="32"/>
          <w:szCs w:val="32"/>
        </w:rPr>
        <w:t>2</w:t>
      </w:r>
      <w:r w:rsidR="004D5090" w:rsidRPr="00262478">
        <w:rPr>
          <w:rFonts w:ascii="仿宋_GB2312" w:eastAsia="仿宋_GB2312" w:hint="eastAsia"/>
          <w:color w:val="333333"/>
          <w:sz w:val="32"/>
          <w:szCs w:val="32"/>
        </w:rPr>
        <w:t>018</w:t>
      </w:r>
      <w:r w:rsidR="00647CE1">
        <w:rPr>
          <w:rFonts w:ascii="仿宋_GB2312" w:eastAsia="仿宋_GB2312" w:hint="eastAsia"/>
          <w:color w:val="333333"/>
          <w:sz w:val="32"/>
          <w:szCs w:val="32"/>
        </w:rPr>
        <w:t>年秦皇岛市北戴河区卫计局本部门采购预算22.</w:t>
      </w:r>
      <w:r w:rsidR="00011032">
        <w:rPr>
          <w:rFonts w:ascii="仿宋_GB2312" w:eastAsia="仿宋_GB2312" w:hint="eastAsia"/>
          <w:color w:val="333333"/>
          <w:sz w:val="32"/>
          <w:szCs w:val="32"/>
        </w:rPr>
        <w:t>5</w:t>
      </w:r>
      <w:r w:rsidR="00647CE1">
        <w:rPr>
          <w:rFonts w:ascii="仿宋_GB2312" w:eastAsia="仿宋_GB2312" w:hint="eastAsia"/>
          <w:color w:val="333333"/>
          <w:sz w:val="32"/>
          <w:szCs w:val="32"/>
        </w:rPr>
        <w:t>万元</w:t>
      </w:r>
      <w:r w:rsidRPr="00262478">
        <w:rPr>
          <w:rFonts w:ascii="仿宋_GB2312" w:eastAsia="仿宋_GB2312" w:hint="eastAsia"/>
          <w:color w:val="333333"/>
          <w:sz w:val="32"/>
          <w:szCs w:val="32"/>
        </w:rPr>
        <w:t>。</w:t>
      </w:r>
    </w:p>
    <w:p w:rsidR="00647CE1" w:rsidRDefault="00647CE1" w:rsidP="00647CE1">
      <w:pPr>
        <w:jc w:val="center"/>
        <w:outlineLvl w:val="0"/>
        <w:rPr>
          <w:rFonts w:ascii="方正小标宋_GBK" w:eastAsia="方正小标宋_GBK"/>
          <w:sz w:val="32"/>
        </w:rPr>
      </w:pPr>
      <w:bookmarkStart w:id="1" w:name="_Toc511302301"/>
      <w:r w:rsidRPr="00B9388B">
        <w:rPr>
          <w:rFonts w:ascii="方正小标宋_GBK" w:eastAsia="方正小标宋_GBK" w:hint="eastAsia"/>
          <w:sz w:val="32"/>
        </w:rPr>
        <w:t>部门政府采购预算</w:t>
      </w:r>
      <w:bookmarkEnd w:id="1"/>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194"/>
        <w:gridCol w:w="985"/>
        <w:gridCol w:w="873"/>
        <w:gridCol w:w="882"/>
        <w:gridCol w:w="681"/>
        <w:gridCol w:w="681"/>
        <w:gridCol w:w="760"/>
        <w:gridCol w:w="861"/>
        <w:gridCol w:w="861"/>
        <w:gridCol w:w="861"/>
        <w:gridCol w:w="861"/>
        <w:gridCol w:w="864"/>
        <w:gridCol w:w="864"/>
        <w:gridCol w:w="825"/>
      </w:tblGrid>
      <w:tr w:rsidR="00647CE1" w:rsidRPr="003D4715" w:rsidTr="008B6106">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647CE1" w:rsidRPr="003D4715" w:rsidRDefault="00647CE1" w:rsidP="008B6106">
            <w:pPr>
              <w:spacing w:line="300" w:lineRule="exact"/>
              <w:jc w:val="left"/>
              <w:rPr>
                <w:rFonts w:ascii="方正小标宋_GBK" w:eastAsia="方正小标宋_GBK"/>
                <w:sz w:val="24"/>
              </w:rPr>
            </w:pPr>
            <w:r w:rsidRPr="003D4715">
              <w:rPr>
                <w:rFonts w:ascii="方正小标宋_GBK" w:eastAsia="方正小标宋_GBK"/>
                <w:sz w:val="24"/>
              </w:rPr>
              <w:t>361</w:t>
            </w:r>
            <w:r w:rsidRPr="003D4715">
              <w:rPr>
                <w:rFonts w:ascii="方正小标宋_GBK" w:eastAsia="方正小标宋_GBK" w:hint="eastAsia"/>
                <w:sz w:val="24"/>
              </w:rPr>
              <w:t>卫生</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647CE1" w:rsidRPr="003D4715" w:rsidRDefault="00647CE1" w:rsidP="008B6106">
            <w:pPr>
              <w:spacing w:line="300" w:lineRule="exact"/>
              <w:jc w:val="right"/>
              <w:rPr>
                <w:rFonts w:ascii="方正书宋_GBK" w:eastAsia="方正书宋_GBK"/>
                <w:sz w:val="24"/>
              </w:rPr>
            </w:pPr>
            <w:r w:rsidRPr="003D4715">
              <w:rPr>
                <w:rFonts w:ascii="方正书宋_GBK" w:eastAsia="方正书宋_GBK" w:hint="eastAsia"/>
                <w:sz w:val="24"/>
              </w:rPr>
              <w:t>单位：万元</w:t>
            </w:r>
          </w:p>
        </w:tc>
      </w:tr>
      <w:tr w:rsidR="00647CE1" w:rsidRPr="003D4715" w:rsidTr="008B6106">
        <w:trPr>
          <w:tblHeader/>
          <w:jc w:val="center"/>
        </w:trPr>
        <w:tc>
          <w:tcPr>
            <w:tcW w:w="1217" w:type="pct"/>
            <w:gridSpan w:val="2"/>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政府采购项目来源</w:t>
            </w:r>
          </w:p>
        </w:tc>
        <w:tc>
          <w:tcPr>
            <w:tcW w:w="334"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采购物品名称</w:t>
            </w:r>
          </w:p>
        </w:tc>
        <w:tc>
          <w:tcPr>
            <w:tcW w:w="338"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政府采购目录序号</w:t>
            </w:r>
          </w:p>
        </w:tc>
        <w:tc>
          <w:tcPr>
            <w:tcW w:w="261"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数量</w:t>
            </w:r>
            <w:r w:rsidRPr="003D4715">
              <w:rPr>
                <w:rFonts w:ascii="方正书宋_GBK" w:eastAsia="方正书宋_GBK"/>
                <w:b/>
              </w:rPr>
              <w:t xml:space="preserve">  </w:t>
            </w:r>
            <w:r w:rsidRPr="003D4715">
              <w:rPr>
                <w:rFonts w:ascii="方正书宋_GBK" w:eastAsia="方正书宋_GBK" w:hint="eastAsia"/>
                <w:b/>
              </w:rPr>
              <w:t>单位</w:t>
            </w:r>
          </w:p>
        </w:tc>
        <w:tc>
          <w:tcPr>
            <w:tcW w:w="261"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数量</w:t>
            </w:r>
          </w:p>
        </w:tc>
        <w:tc>
          <w:tcPr>
            <w:tcW w:w="290"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单价</w:t>
            </w:r>
          </w:p>
        </w:tc>
        <w:tc>
          <w:tcPr>
            <w:tcW w:w="2298" w:type="pct"/>
            <w:gridSpan w:val="7"/>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政府采购金额</w:t>
            </w:r>
          </w:p>
        </w:tc>
      </w:tr>
      <w:tr w:rsidR="00647CE1" w:rsidRPr="003D4715" w:rsidTr="008B6106">
        <w:trPr>
          <w:tblHeader/>
          <w:jc w:val="center"/>
        </w:trPr>
        <w:tc>
          <w:tcPr>
            <w:tcW w:w="840"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项目名称</w:t>
            </w:r>
          </w:p>
        </w:tc>
        <w:tc>
          <w:tcPr>
            <w:tcW w:w="377"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预算资金</w:t>
            </w:r>
          </w:p>
        </w:tc>
        <w:tc>
          <w:tcPr>
            <w:tcW w:w="334" w:type="pct"/>
            <w:vMerge/>
            <w:shd w:val="clear" w:color="auto" w:fill="auto"/>
            <w:vAlign w:val="center"/>
          </w:tcPr>
          <w:p w:rsidR="00647CE1" w:rsidRPr="003D4715" w:rsidRDefault="00647CE1" w:rsidP="008B6106">
            <w:pPr>
              <w:spacing w:line="300" w:lineRule="exact"/>
              <w:jc w:val="left"/>
              <w:outlineLvl w:val="0"/>
            </w:pPr>
          </w:p>
        </w:tc>
        <w:tc>
          <w:tcPr>
            <w:tcW w:w="338" w:type="pct"/>
            <w:vMerge/>
            <w:shd w:val="clear" w:color="auto" w:fill="auto"/>
            <w:vAlign w:val="center"/>
          </w:tcPr>
          <w:p w:rsidR="00647CE1" w:rsidRPr="003D4715" w:rsidRDefault="00647CE1" w:rsidP="008B6106">
            <w:pPr>
              <w:spacing w:line="300" w:lineRule="exact"/>
              <w:jc w:val="left"/>
              <w:outlineLvl w:val="0"/>
            </w:pPr>
          </w:p>
        </w:tc>
        <w:tc>
          <w:tcPr>
            <w:tcW w:w="261" w:type="pct"/>
            <w:vMerge/>
            <w:shd w:val="clear" w:color="auto" w:fill="auto"/>
            <w:vAlign w:val="center"/>
          </w:tcPr>
          <w:p w:rsidR="00647CE1" w:rsidRPr="003D4715" w:rsidRDefault="00647CE1" w:rsidP="008B6106">
            <w:pPr>
              <w:spacing w:line="300" w:lineRule="exact"/>
              <w:jc w:val="left"/>
              <w:outlineLvl w:val="0"/>
            </w:pPr>
          </w:p>
        </w:tc>
        <w:tc>
          <w:tcPr>
            <w:tcW w:w="261" w:type="pct"/>
            <w:vMerge/>
            <w:shd w:val="clear" w:color="auto" w:fill="auto"/>
            <w:vAlign w:val="center"/>
          </w:tcPr>
          <w:p w:rsidR="00647CE1" w:rsidRPr="003D4715" w:rsidRDefault="00647CE1" w:rsidP="008B6106">
            <w:pPr>
              <w:spacing w:line="300" w:lineRule="exact"/>
              <w:jc w:val="left"/>
              <w:outlineLvl w:val="0"/>
            </w:pPr>
          </w:p>
        </w:tc>
        <w:tc>
          <w:tcPr>
            <w:tcW w:w="290" w:type="pct"/>
            <w:vMerge/>
            <w:shd w:val="clear" w:color="auto" w:fill="auto"/>
            <w:vAlign w:val="center"/>
          </w:tcPr>
          <w:p w:rsidR="00647CE1" w:rsidRPr="003D4715" w:rsidRDefault="00647CE1" w:rsidP="008B6106">
            <w:pPr>
              <w:spacing w:line="300" w:lineRule="exact"/>
              <w:jc w:val="left"/>
              <w:outlineLvl w:val="0"/>
            </w:pPr>
          </w:p>
        </w:tc>
        <w:tc>
          <w:tcPr>
            <w:tcW w:w="330"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总计</w:t>
            </w:r>
          </w:p>
        </w:tc>
        <w:tc>
          <w:tcPr>
            <w:tcW w:w="1651" w:type="pct"/>
            <w:gridSpan w:val="5"/>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当年部门预算安排资金</w:t>
            </w:r>
          </w:p>
        </w:tc>
        <w:tc>
          <w:tcPr>
            <w:tcW w:w="317" w:type="pct"/>
            <w:vMerge w:val="restar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其他渠道资金</w:t>
            </w:r>
          </w:p>
        </w:tc>
      </w:tr>
      <w:tr w:rsidR="00647CE1" w:rsidRPr="003D4715" w:rsidTr="008B6106">
        <w:trPr>
          <w:tblHeader/>
          <w:jc w:val="center"/>
        </w:trPr>
        <w:tc>
          <w:tcPr>
            <w:tcW w:w="840" w:type="pct"/>
            <w:vMerge/>
            <w:shd w:val="clear" w:color="auto" w:fill="auto"/>
            <w:vAlign w:val="center"/>
          </w:tcPr>
          <w:p w:rsidR="00647CE1" w:rsidRPr="003D4715" w:rsidRDefault="00647CE1" w:rsidP="008B6106">
            <w:pPr>
              <w:spacing w:line="300" w:lineRule="exact"/>
              <w:jc w:val="left"/>
              <w:outlineLvl w:val="0"/>
            </w:pPr>
          </w:p>
        </w:tc>
        <w:tc>
          <w:tcPr>
            <w:tcW w:w="377" w:type="pct"/>
            <w:vMerge/>
            <w:shd w:val="clear" w:color="auto" w:fill="auto"/>
            <w:vAlign w:val="center"/>
          </w:tcPr>
          <w:p w:rsidR="00647CE1" w:rsidRPr="003D4715" w:rsidRDefault="00647CE1" w:rsidP="008B6106">
            <w:pPr>
              <w:spacing w:line="300" w:lineRule="exact"/>
              <w:jc w:val="left"/>
              <w:outlineLvl w:val="0"/>
            </w:pPr>
          </w:p>
        </w:tc>
        <w:tc>
          <w:tcPr>
            <w:tcW w:w="334" w:type="pct"/>
            <w:vMerge/>
            <w:shd w:val="clear" w:color="auto" w:fill="auto"/>
            <w:vAlign w:val="center"/>
          </w:tcPr>
          <w:p w:rsidR="00647CE1" w:rsidRPr="003D4715" w:rsidRDefault="00647CE1" w:rsidP="008B6106">
            <w:pPr>
              <w:spacing w:line="300" w:lineRule="exact"/>
              <w:jc w:val="left"/>
              <w:outlineLvl w:val="0"/>
            </w:pPr>
          </w:p>
        </w:tc>
        <w:tc>
          <w:tcPr>
            <w:tcW w:w="338" w:type="pct"/>
            <w:vMerge/>
            <w:shd w:val="clear" w:color="auto" w:fill="auto"/>
            <w:vAlign w:val="center"/>
          </w:tcPr>
          <w:p w:rsidR="00647CE1" w:rsidRPr="003D4715" w:rsidRDefault="00647CE1" w:rsidP="008B6106">
            <w:pPr>
              <w:spacing w:line="300" w:lineRule="exact"/>
              <w:jc w:val="left"/>
              <w:outlineLvl w:val="0"/>
            </w:pPr>
          </w:p>
        </w:tc>
        <w:tc>
          <w:tcPr>
            <w:tcW w:w="261" w:type="pct"/>
            <w:vMerge/>
            <w:shd w:val="clear" w:color="auto" w:fill="auto"/>
            <w:vAlign w:val="center"/>
          </w:tcPr>
          <w:p w:rsidR="00647CE1" w:rsidRPr="003D4715" w:rsidRDefault="00647CE1" w:rsidP="008B6106">
            <w:pPr>
              <w:spacing w:line="300" w:lineRule="exact"/>
              <w:jc w:val="left"/>
              <w:outlineLvl w:val="0"/>
            </w:pPr>
          </w:p>
        </w:tc>
        <w:tc>
          <w:tcPr>
            <w:tcW w:w="261" w:type="pct"/>
            <w:vMerge/>
            <w:shd w:val="clear" w:color="auto" w:fill="auto"/>
            <w:vAlign w:val="center"/>
          </w:tcPr>
          <w:p w:rsidR="00647CE1" w:rsidRPr="003D4715" w:rsidRDefault="00647CE1" w:rsidP="008B6106">
            <w:pPr>
              <w:spacing w:line="300" w:lineRule="exact"/>
              <w:jc w:val="left"/>
              <w:outlineLvl w:val="0"/>
            </w:pPr>
          </w:p>
        </w:tc>
        <w:tc>
          <w:tcPr>
            <w:tcW w:w="290" w:type="pct"/>
            <w:vMerge/>
            <w:shd w:val="clear" w:color="auto" w:fill="auto"/>
            <w:vAlign w:val="center"/>
          </w:tcPr>
          <w:p w:rsidR="00647CE1" w:rsidRPr="003D4715" w:rsidRDefault="00647CE1" w:rsidP="008B6106">
            <w:pPr>
              <w:spacing w:line="300" w:lineRule="exact"/>
              <w:jc w:val="left"/>
              <w:outlineLvl w:val="0"/>
            </w:pPr>
          </w:p>
        </w:tc>
        <w:tc>
          <w:tcPr>
            <w:tcW w:w="330" w:type="pct"/>
            <w:vMerge/>
            <w:shd w:val="clear" w:color="auto" w:fill="auto"/>
            <w:vAlign w:val="center"/>
          </w:tcPr>
          <w:p w:rsidR="00647CE1" w:rsidRPr="003D4715" w:rsidRDefault="00647CE1" w:rsidP="008B6106">
            <w:pPr>
              <w:spacing w:line="300" w:lineRule="exact"/>
              <w:jc w:val="left"/>
              <w:outlineLvl w:val="0"/>
            </w:pPr>
          </w:p>
        </w:tc>
        <w:tc>
          <w:tcPr>
            <w:tcW w:w="330"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合计</w:t>
            </w:r>
          </w:p>
        </w:tc>
        <w:tc>
          <w:tcPr>
            <w:tcW w:w="330"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一般公共预算拨款</w:t>
            </w:r>
          </w:p>
        </w:tc>
        <w:tc>
          <w:tcPr>
            <w:tcW w:w="330"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基金预算拨款</w:t>
            </w:r>
          </w:p>
        </w:tc>
        <w:tc>
          <w:tcPr>
            <w:tcW w:w="331"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财政专户核拨</w:t>
            </w:r>
          </w:p>
        </w:tc>
        <w:tc>
          <w:tcPr>
            <w:tcW w:w="331"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其他来源收入</w:t>
            </w:r>
          </w:p>
        </w:tc>
        <w:tc>
          <w:tcPr>
            <w:tcW w:w="317" w:type="pct"/>
            <w:vMerge/>
            <w:shd w:val="clear" w:color="auto" w:fill="auto"/>
            <w:vAlign w:val="center"/>
          </w:tcPr>
          <w:p w:rsidR="00647CE1" w:rsidRPr="003D4715" w:rsidRDefault="00647CE1" w:rsidP="008B6106">
            <w:pPr>
              <w:spacing w:line="300" w:lineRule="exact"/>
              <w:jc w:val="left"/>
              <w:outlineLvl w:val="0"/>
            </w:pPr>
          </w:p>
        </w:tc>
      </w:tr>
      <w:tr w:rsidR="00647CE1" w:rsidRPr="003D4715" w:rsidTr="008B6106">
        <w:trPr>
          <w:jc w:val="center"/>
        </w:trPr>
        <w:tc>
          <w:tcPr>
            <w:tcW w:w="840"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合　计</w:t>
            </w:r>
          </w:p>
        </w:tc>
        <w:tc>
          <w:tcPr>
            <w:tcW w:w="377"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4"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338"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261"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26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290"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17" w:type="pct"/>
            <w:shd w:val="clear" w:color="auto" w:fill="auto"/>
            <w:vAlign w:val="center"/>
          </w:tcPr>
          <w:p w:rsidR="00647CE1" w:rsidRPr="003D4715" w:rsidRDefault="00647CE1" w:rsidP="008B6106">
            <w:pPr>
              <w:spacing w:line="300" w:lineRule="exact"/>
              <w:jc w:val="right"/>
              <w:rPr>
                <w:rFonts w:ascii="方正书宋_GBK" w:eastAsia="方正书宋_GBK"/>
                <w:b/>
              </w:rPr>
            </w:pPr>
          </w:p>
        </w:tc>
      </w:tr>
      <w:tr w:rsidR="00647CE1" w:rsidRPr="003D4715" w:rsidTr="008B6106">
        <w:trPr>
          <w:jc w:val="center"/>
        </w:trPr>
        <w:tc>
          <w:tcPr>
            <w:tcW w:w="840" w:type="pct"/>
            <w:shd w:val="clear" w:color="auto" w:fill="auto"/>
            <w:vAlign w:val="center"/>
          </w:tcPr>
          <w:p w:rsidR="00647CE1" w:rsidRPr="003D4715" w:rsidRDefault="00647CE1" w:rsidP="008B6106">
            <w:pPr>
              <w:spacing w:line="300" w:lineRule="exact"/>
              <w:jc w:val="center"/>
              <w:rPr>
                <w:rFonts w:ascii="方正书宋_GBK" w:eastAsia="方正书宋_GBK"/>
                <w:b/>
              </w:rPr>
            </w:pPr>
            <w:r w:rsidRPr="003D4715">
              <w:rPr>
                <w:rFonts w:ascii="方正书宋_GBK" w:eastAsia="方正书宋_GBK" w:hint="eastAsia"/>
                <w:b/>
              </w:rPr>
              <w:t>秦皇岛市北戴河区疾病预防控制中心小计</w:t>
            </w:r>
          </w:p>
        </w:tc>
        <w:tc>
          <w:tcPr>
            <w:tcW w:w="377"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4"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338"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261" w:type="pct"/>
            <w:shd w:val="clear" w:color="auto" w:fill="auto"/>
            <w:vAlign w:val="center"/>
          </w:tcPr>
          <w:p w:rsidR="00647CE1" w:rsidRPr="003D4715" w:rsidRDefault="00647CE1" w:rsidP="008B6106">
            <w:pPr>
              <w:spacing w:line="300" w:lineRule="exact"/>
              <w:jc w:val="left"/>
              <w:rPr>
                <w:rFonts w:ascii="方正书宋_GBK" w:eastAsia="方正书宋_GBK"/>
                <w:b/>
              </w:rPr>
            </w:pPr>
          </w:p>
        </w:tc>
        <w:tc>
          <w:tcPr>
            <w:tcW w:w="26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290"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r w:rsidRPr="003D4715">
              <w:rPr>
                <w:rFonts w:ascii="方正书宋_GBK" w:eastAsia="方正书宋_GBK"/>
                <w:b/>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b/>
              </w:rPr>
            </w:pPr>
          </w:p>
        </w:tc>
        <w:tc>
          <w:tcPr>
            <w:tcW w:w="317" w:type="pct"/>
            <w:shd w:val="clear" w:color="auto" w:fill="auto"/>
            <w:vAlign w:val="center"/>
          </w:tcPr>
          <w:p w:rsidR="00647CE1" w:rsidRPr="003D4715" w:rsidRDefault="00647CE1" w:rsidP="008B6106">
            <w:pPr>
              <w:spacing w:line="300" w:lineRule="exact"/>
              <w:jc w:val="right"/>
              <w:rPr>
                <w:rFonts w:ascii="方正书宋_GBK" w:eastAsia="方正书宋_GBK"/>
                <w:b/>
              </w:rPr>
            </w:pPr>
          </w:p>
        </w:tc>
      </w:tr>
      <w:tr w:rsidR="00647CE1" w:rsidRPr="003D4715" w:rsidTr="008B6106">
        <w:trPr>
          <w:jc w:val="center"/>
        </w:trPr>
        <w:tc>
          <w:tcPr>
            <w:tcW w:w="840" w:type="pct"/>
            <w:shd w:val="clear" w:color="auto" w:fill="auto"/>
            <w:vAlign w:val="center"/>
          </w:tcPr>
          <w:p w:rsidR="00647CE1" w:rsidRPr="003D4715" w:rsidRDefault="00647CE1" w:rsidP="008B6106">
            <w:pPr>
              <w:spacing w:line="300" w:lineRule="exact"/>
              <w:jc w:val="left"/>
              <w:rPr>
                <w:rFonts w:ascii="方正书宋_GBK" w:eastAsia="方正书宋_GBK"/>
              </w:rPr>
            </w:pPr>
            <w:r w:rsidRPr="003D4715">
              <w:rPr>
                <w:rFonts w:ascii="方正书宋_GBK" w:eastAsia="方正书宋_GBK" w:hint="eastAsia"/>
              </w:rPr>
              <w:t>劳务派遣人员工资</w:t>
            </w:r>
          </w:p>
        </w:tc>
        <w:tc>
          <w:tcPr>
            <w:tcW w:w="377"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22.50</w:t>
            </w:r>
          </w:p>
        </w:tc>
        <w:tc>
          <w:tcPr>
            <w:tcW w:w="334" w:type="pct"/>
            <w:shd w:val="clear" w:color="auto" w:fill="auto"/>
            <w:vAlign w:val="center"/>
          </w:tcPr>
          <w:p w:rsidR="00647CE1" w:rsidRPr="003D4715" w:rsidRDefault="00647CE1" w:rsidP="008B6106">
            <w:pPr>
              <w:spacing w:line="300" w:lineRule="exact"/>
              <w:jc w:val="left"/>
              <w:rPr>
                <w:rFonts w:ascii="方正书宋_GBK" w:eastAsia="方正书宋_GBK"/>
              </w:rPr>
            </w:pPr>
            <w:r w:rsidRPr="003D4715">
              <w:rPr>
                <w:rFonts w:ascii="方正书宋_GBK" w:eastAsia="方正书宋_GBK" w:hint="eastAsia"/>
              </w:rPr>
              <w:t>医疗卫生服务</w:t>
            </w:r>
          </w:p>
        </w:tc>
        <w:tc>
          <w:tcPr>
            <w:tcW w:w="338" w:type="pct"/>
            <w:shd w:val="clear" w:color="auto" w:fill="auto"/>
            <w:vAlign w:val="center"/>
          </w:tcPr>
          <w:p w:rsidR="00647CE1" w:rsidRPr="003D4715" w:rsidRDefault="00647CE1" w:rsidP="008B6106">
            <w:pPr>
              <w:spacing w:line="300" w:lineRule="exact"/>
              <w:jc w:val="left"/>
              <w:rPr>
                <w:rFonts w:ascii="方正书宋_GBK" w:eastAsia="方正书宋_GBK"/>
              </w:rPr>
            </w:pPr>
            <w:r w:rsidRPr="003D4715">
              <w:rPr>
                <w:rFonts w:ascii="方正书宋_GBK" w:eastAsia="方正书宋_GBK"/>
              </w:rPr>
              <w:t>C1901</w:t>
            </w:r>
          </w:p>
        </w:tc>
        <w:tc>
          <w:tcPr>
            <w:tcW w:w="261" w:type="pct"/>
            <w:shd w:val="clear" w:color="auto" w:fill="auto"/>
            <w:vAlign w:val="center"/>
          </w:tcPr>
          <w:p w:rsidR="00647CE1" w:rsidRPr="003D4715" w:rsidRDefault="00647CE1" w:rsidP="008B6106">
            <w:pPr>
              <w:spacing w:line="300" w:lineRule="exact"/>
              <w:jc w:val="left"/>
              <w:rPr>
                <w:rFonts w:ascii="方正书宋_GBK" w:eastAsia="方正书宋_GBK"/>
              </w:rPr>
            </w:pPr>
          </w:p>
        </w:tc>
        <w:tc>
          <w:tcPr>
            <w:tcW w:w="261"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1.00</w:t>
            </w:r>
          </w:p>
        </w:tc>
        <w:tc>
          <w:tcPr>
            <w:tcW w:w="290"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rPr>
            </w:pPr>
            <w:r w:rsidRPr="003D4715">
              <w:rPr>
                <w:rFonts w:ascii="方正书宋_GBK" w:eastAsia="方正书宋_GBK"/>
              </w:rPr>
              <w:t>22.50</w:t>
            </w:r>
          </w:p>
        </w:tc>
        <w:tc>
          <w:tcPr>
            <w:tcW w:w="330" w:type="pct"/>
            <w:shd w:val="clear" w:color="auto" w:fill="auto"/>
            <w:vAlign w:val="center"/>
          </w:tcPr>
          <w:p w:rsidR="00647CE1" w:rsidRPr="003D4715" w:rsidRDefault="00647CE1" w:rsidP="008B6106">
            <w:pPr>
              <w:spacing w:line="300" w:lineRule="exact"/>
              <w:jc w:val="right"/>
              <w:rPr>
                <w:rFonts w:ascii="方正书宋_GBK" w:eastAsia="方正书宋_GBK"/>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rPr>
            </w:pPr>
          </w:p>
        </w:tc>
        <w:tc>
          <w:tcPr>
            <w:tcW w:w="331" w:type="pct"/>
            <w:shd w:val="clear" w:color="auto" w:fill="auto"/>
            <w:vAlign w:val="center"/>
          </w:tcPr>
          <w:p w:rsidR="00647CE1" w:rsidRPr="003D4715" w:rsidRDefault="00647CE1" w:rsidP="008B6106">
            <w:pPr>
              <w:spacing w:line="300" w:lineRule="exact"/>
              <w:jc w:val="right"/>
              <w:rPr>
                <w:rFonts w:ascii="方正书宋_GBK" w:eastAsia="方正书宋_GBK"/>
              </w:rPr>
            </w:pPr>
          </w:p>
        </w:tc>
        <w:tc>
          <w:tcPr>
            <w:tcW w:w="317" w:type="pct"/>
            <w:shd w:val="clear" w:color="auto" w:fill="auto"/>
            <w:vAlign w:val="center"/>
          </w:tcPr>
          <w:p w:rsidR="00647CE1" w:rsidRPr="003D4715" w:rsidRDefault="00647CE1" w:rsidP="008B6106">
            <w:pPr>
              <w:spacing w:line="300" w:lineRule="exact"/>
              <w:jc w:val="right"/>
              <w:rPr>
                <w:rFonts w:ascii="方正书宋_GBK" w:eastAsia="方正书宋_GBK"/>
              </w:rPr>
            </w:pPr>
          </w:p>
        </w:tc>
      </w:tr>
    </w:tbl>
    <w:p w:rsidR="00647CE1" w:rsidRPr="00262478" w:rsidRDefault="00647CE1" w:rsidP="00262478">
      <w:pPr>
        <w:spacing w:line="600" w:lineRule="exact"/>
        <w:ind w:firstLineChars="200" w:firstLine="640"/>
        <w:jc w:val="left"/>
        <w:rPr>
          <w:rFonts w:ascii="仿宋_GB2312" w:eastAsia="仿宋_GB2312"/>
          <w:color w:val="333333"/>
          <w:sz w:val="32"/>
          <w:szCs w:val="32"/>
        </w:rPr>
      </w:pPr>
    </w:p>
    <w:p w:rsidR="00262478" w:rsidRPr="0056585E" w:rsidRDefault="0056585E" w:rsidP="00262478">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lastRenderedPageBreak/>
        <w:t>七、国有资产信息</w:t>
      </w:r>
    </w:p>
    <w:p w:rsidR="00E74FD0" w:rsidRPr="00262478" w:rsidRDefault="00E74FD0" w:rsidP="00262478">
      <w:pPr>
        <w:spacing w:line="600" w:lineRule="exact"/>
        <w:ind w:firstLineChars="196" w:firstLine="627"/>
        <w:jc w:val="left"/>
        <w:rPr>
          <w:rFonts w:ascii="仿宋_GB2312" w:eastAsia="仿宋_GB2312"/>
          <w:b/>
          <w:color w:val="333333"/>
          <w:sz w:val="32"/>
          <w:szCs w:val="32"/>
        </w:rPr>
      </w:pPr>
      <w:r w:rsidRPr="00262478">
        <w:rPr>
          <w:rFonts w:ascii="仿宋_GB2312" w:eastAsia="仿宋_GB2312" w:hint="eastAsia"/>
          <w:color w:val="333333"/>
          <w:sz w:val="32"/>
          <w:szCs w:val="32"/>
        </w:rPr>
        <w:t>截至201</w:t>
      </w:r>
      <w:r w:rsidR="004F489C" w:rsidRPr="00262478">
        <w:rPr>
          <w:rFonts w:ascii="仿宋_GB2312" w:eastAsia="仿宋_GB2312" w:hint="eastAsia"/>
          <w:color w:val="333333"/>
          <w:sz w:val="32"/>
          <w:szCs w:val="32"/>
        </w:rPr>
        <w:t>7</w:t>
      </w:r>
      <w:r w:rsidRPr="00262478">
        <w:rPr>
          <w:rFonts w:ascii="仿宋_GB2312" w:eastAsia="仿宋_GB2312" w:hint="eastAsia"/>
          <w:color w:val="333333"/>
          <w:sz w:val="32"/>
          <w:szCs w:val="32"/>
        </w:rPr>
        <w:t>年12月31日，</w:t>
      </w:r>
      <w:r w:rsidRPr="00262478">
        <w:rPr>
          <w:rFonts w:ascii="仿宋_GB2312" w:eastAsia="仿宋_GB2312" w:cs="FangSong_GB2312" w:hint="eastAsia"/>
          <w:color w:val="333333"/>
          <w:sz w:val="32"/>
          <w:szCs w:val="32"/>
        </w:rPr>
        <w:t>本部门</w:t>
      </w:r>
      <w:r w:rsidRPr="00262478">
        <w:rPr>
          <w:rFonts w:ascii="仿宋_GB2312" w:eastAsia="仿宋_GB2312" w:cs="??" w:hint="eastAsia"/>
          <w:sz w:val="32"/>
          <w:szCs w:val="32"/>
        </w:rPr>
        <w:t>固定资产金额为</w:t>
      </w:r>
      <w:r w:rsidR="00F37218" w:rsidRPr="00262478">
        <w:rPr>
          <w:rFonts w:ascii="仿宋_GB2312" w:eastAsia="仿宋_GB2312" w:cs="??" w:hint="eastAsia"/>
          <w:sz w:val="32"/>
          <w:szCs w:val="32"/>
        </w:rPr>
        <w:t>1431.5</w:t>
      </w:r>
      <w:r w:rsidRPr="00262478">
        <w:rPr>
          <w:rFonts w:ascii="仿宋_GB2312" w:eastAsia="仿宋_GB2312" w:cs="??" w:hint="eastAsia"/>
          <w:sz w:val="32"/>
          <w:szCs w:val="32"/>
        </w:rPr>
        <w:t>万元。</w:t>
      </w:r>
      <w:r w:rsidRPr="00262478">
        <w:rPr>
          <w:rFonts w:ascii="仿宋_GB2312" w:eastAsia="仿宋_GB2312" w:hint="eastAsia"/>
          <w:color w:val="333333"/>
          <w:sz w:val="32"/>
          <w:szCs w:val="32"/>
        </w:rPr>
        <w:t>本部门共有车辆</w:t>
      </w:r>
      <w:r w:rsidR="00F37218" w:rsidRPr="00262478">
        <w:rPr>
          <w:rFonts w:ascii="仿宋_GB2312" w:eastAsia="仿宋_GB2312" w:hint="eastAsia"/>
          <w:color w:val="333333"/>
          <w:sz w:val="32"/>
          <w:szCs w:val="32"/>
        </w:rPr>
        <w:t>13</w:t>
      </w:r>
      <w:r w:rsidRPr="00262478">
        <w:rPr>
          <w:rFonts w:ascii="仿宋_GB2312" w:eastAsia="仿宋_GB2312" w:hint="eastAsia"/>
          <w:color w:val="333333"/>
          <w:sz w:val="32"/>
          <w:szCs w:val="32"/>
        </w:rPr>
        <w:t>辆，其中，一般公务用车</w:t>
      </w:r>
      <w:r w:rsidR="00F37218" w:rsidRPr="00262478">
        <w:rPr>
          <w:rFonts w:ascii="仿宋_GB2312" w:eastAsia="仿宋_GB2312" w:hint="eastAsia"/>
          <w:color w:val="333333"/>
          <w:sz w:val="32"/>
          <w:szCs w:val="32"/>
        </w:rPr>
        <w:t>4</w:t>
      </w:r>
      <w:r w:rsidRPr="00262478">
        <w:rPr>
          <w:rFonts w:ascii="仿宋_GB2312" w:eastAsia="仿宋_GB2312" w:hint="eastAsia"/>
          <w:color w:val="333333"/>
          <w:sz w:val="32"/>
          <w:szCs w:val="32"/>
        </w:rPr>
        <w:t>辆、</w:t>
      </w:r>
      <w:r w:rsidR="00C165FD" w:rsidRPr="00262478">
        <w:rPr>
          <w:rFonts w:ascii="仿宋_GB2312" w:eastAsia="仿宋_GB2312" w:hint="eastAsia"/>
          <w:color w:val="333333"/>
          <w:sz w:val="32"/>
          <w:szCs w:val="32"/>
        </w:rPr>
        <w:t>其他用车</w:t>
      </w:r>
      <w:r w:rsidR="00F37218" w:rsidRPr="00262478">
        <w:rPr>
          <w:rFonts w:ascii="仿宋_GB2312" w:eastAsia="仿宋_GB2312" w:hint="eastAsia"/>
          <w:color w:val="333333"/>
          <w:sz w:val="32"/>
          <w:szCs w:val="32"/>
        </w:rPr>
        <w:t>9</w:t>
      </w:r>
      <w:r w:rsidRPr="00262478">
        <w:rPr>
          <w:rFonts w:ascii="仿宋_GB2312" w:eastAsia="仿宋_GB2312" w:hint="eastAsia"/>
          <w:color w:val="333333"/>
          <w:sz w:val="32"/>
          <w:szCs w:val="32"/>
        </w:rPr>
        <w:t>辆。201</w:t>
      </w:r>
      <w:r w:rsidR="004F489C" w:rsidRPr="00262478">
        <w:rPr>
          <w:rFonts w:ascii="仿宋_GB2312" w:eastAsia="仿宋_GB2312" w:hint="eastAsia"/>
          <w:color w:val="333333"/>
          <w:sz w:val="32"/>
          <w:szCs w:val="32"/>
        </w:rPr>
        <w:t>8</w:t>
      </w:r>
      <w:r w:rsidRPr="00262478">
        <w:rPr>
          <w:rFonts w:ascii="仿宋_GB2312" w:eastAsia="仿宋_GB2312" w:hint="eastAsia"/>
          <w:color w:val="333333"/>
          <w:sz w:val="32"/>
          <w:szCs w:val="32"/>
        </w:rPr>
        <w:t>年未安排国有资产购置预算。</w:t>
      </w:r>
    </w:p>
    <w:p w:rsidR="00C165FD" w:rsidRPr="00262478" w:rsidRDefault="00C165FD" w:rsidP="00262478">
      <w:pPr>
        <w:spacing w:line="600" w:lineRule="exact"/>
        <w:ind w:firstLineChars="1204" w:firstLine="3853"/>
        <w:rPr>
          <w:rFonts w:ascii="仿宋_GB2312" w:eastAsia="仿宋_GB2312"/>
          <w:sz w:val="32"/>
          <w:szCs w:val="32"/>
        </w:rPr>
      </w:pPr>
      <w:r w:rsidRPr="00262478">
        <w:rPr>
          <w:rFonts w:ascii="仿宋_GB2312" w:eastAsia="仿宋_GB2312" w:hAnsi="宋体" w:hint="eastAsia"/>
          <w:bCs/>
          <w:color w:val="000000"/>
          <w:sz w:val="32"/>
          <w:szCs w:val="32"/>
        </w:rPr>
        <w:t>部门固定资产占用情况表</w:t>
      </w:r>
    </w:p>
    <w:tbl>
      <w:tblPr>
        <w:tblW w:w="0" w:type="auto"/>
        <w:tblLayout w:type="fixed"/>
        <w:tblLook w:val="0000"/>
      </w:tblPr>
      <w:tblGrid>
        <w:gridCol w:w="4012"/>
        <w:gridCol w:w="2006"/>
        <w:gridCol w:w="2006"/>
        <w:gridCol w:w="4013"/>
      </w:tblGrid>
      <w:tr w:rsidR="00C165FD" w:rsidRPr="00262478" w:rsidTr="00630B8C">
        <w:trPr>
          <w:trHeight w:val="110"/>
        </w:trPr>
        <w:tc>
          <w:tcPr>
            <w:tcW w:w="6018" w:type="dxa"/>
            <w:gridSpan w:val="2"/>
            <w:tcBorders>
              <w:top w:val="nil"/>
              <w:left w:val="nil"/>
              <w:bottom w:val="single" w:sz="4" w:space="0" w:color="auto"/>
              <w:right w:val="nil"/>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编制部门：北戴河区卫生和计划生育局</w:t>
            </w:r>
          </w:p>
        </w:tc>
        <w:tc>
          <w:tcPr>
            <w:tcW w:w="6019" w:type="dxa"/>
            <w:gridSpan w:val="2"/>
            <w:tcBorders>
              <w:top w:val="nil"/>
              <w:left w:val="nil"/>
              <w:bottom w:val="single" w:sz="4" w:space="0" w:color="auto"/>
              <w:right w:val="nil"/>
            </w:tcBorders>
          </w:tcPr>
          <w:p w:rsidR="00C165FD" w:rsidRPr="00262478" w:rsidRDefault="00C165FD" w:rsidP="00262478">
            <w:pPr>
              <w:tabs>
                <w:tab w:val="left" w:pos="4700"/>
              </w:tabs>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截止时间：201</w:t>
            </w:r>
            <w:r w:rsidR="004F489C" w:rsidRPr="00262478">
              <w:rPr>
                <w:rFonts w:asciiTheme="minorEastAsia" w:eastAsiaTheme="minorEastAsia" w:hAnsiTheme="minorEastAsia" w:cs="仿宋" w:hint="eastAsia"/>
                <w:color w:val="000000"/>
                <w:sz w:val="24"/>
                <w:szCs w:val="24"/>
              </w:rPr>
              <w:t>7</w:t>
            </w:r>
            <w:r w:rsidRPr="00262478">
              <w:rPr>
                <w:rFonts w:asciiTheme="minorEastAsia" w:eastAsiaTheme="minorEastAsia" w:hAnsiTheme="minorEastAsia" w:cs="仿宋" w:hint="eastAsia"/>
                <w:color w:val="000000"/>
                <w:sz w:val="24"/>
                <w:szCs w:val="24"/>
              </w:rPr>
              <w:t xml:space="preserve">年12月31日 </w:t>
            </w:r>
            <w:r w:rsidRPr="00262478">
              <w:rPr>
                <w:rFonts w:asciiTheme="minorEastAsia" w:eastAsiaTheme="minorEastAsia" w:hAnsiTheme="minorEastAsia" w:cs="仿宋" w:hint="eastAsia"/>
                <w:color w:val="000000"/>
                <w:sz w:val="24"/>
                <w:szCs w:val="24"/>
              </w:rPr>
              <w:tab/>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黑体"/>
                <w:color w:val="000000"/>
                <w:sz w:val="24"/>
                <w:szCs w:val="24"/>
              </w:rPr>
            </w:pPr>
            <w:r w:rsidRPr="00262478">
              <w:rPr>
                <w:rFonts w:asciiTheme="minorEastAsia" w:eastAsiaTheme="minorEastAsia" w:hAnsiTheme="minorEastAsia" w:cs="黑体" w:hint="eastAsia"/>
                <w:color w:val="000000"/>
                <w:sz w:val="24"/>
                <w:szCs w:val="24"/>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黑体"/>
                <w:color w:val="000000"/>
                <w:sz w:val="24"/>
                <w:szCs w:val="24"/>
              </w:rPr>
            </w:pPr>
            <w:r w:rsidRPr="00262478">
              <w:rPr>
                <w:rFonts w:asciiTheme="minorEastAsia" w:eastAsiaTheme="minorEastAsia" w:hAnsiTheme="minorEastAsia" w:cs="黑体" w:hint="eastAsia"/>
                <w:color w:val="000000"/>
                <w:sz w:val="24"/>
                <w:szCs w:val="24"/>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黑体"/>
                <w:color w:val="000000"/>
                <w:sz w:val="24"/>
                <w:szCs w:val="24"/>
              </w:rPr>
            </w:pPr>
            <w:r w:rsidRPr="00262478">
              <w:rPr>
                <w:rFonts w:asciiTheme="minorEastAsia" w:eastAsiaTheme="minorEastAsia" w:hAnsiTheme="minorEastAsia" w:cs="黑体" w:hint="eastAsia"/>
                <w:color w:val="000000"/>
                <w:sz w:val="24"/>
                <w:szCs w:val="24"/>
              </w:rPr>
              <w:t xml:space="preserve">价值（金额单位：万元） </w:t>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 w:hint="eastAsia"/>
                <w:sz w:val="24"/>
                <w:szCs w:val="24"/>
              </w:rPr>
              <w:t>1431.5</w:t>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4909.13</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556.23</w:t>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1179.13</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81.84</w:t>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13</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164.82</w:t>
            </w: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p>
        </w:tc>
      </w:tr>
      <w:tr w:rsidR="00C165FD" w:rsidRPr="00262478"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Pr="00262478" w:rsidRDefault="00C165FD"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C165FD" w:rsidRPr="00262478" w:rsidRDefault="00640272" w:rsidP="00262478">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10109</w:t>
            </w:r>
          </w:p>
        </w:tc>
        <w:tc>
          <w:tcPr>
            <w:tcW w:w="4013" w:type="dxa"/>
            <w:tcBorders>
              <w:top w:val="single" w:sz="4" w:space="0" w:color="auto"/>
              <w:left w:val="single" w:sz="4" w:space="0" w:color="auto"/>
              <w:bottom w:val="single" w:sz="4" w:space="0" w:color="auto"/>
              <w:right w:val="single" w:sz="4" w:space="0" w:color="auto"/>
            </w:tcBorders>
          </w:tcPr>
          <w:p w:rsidR="00C165FD" w:rsidRPr="00262478" w:rsidRDefault="00F37218" w:rsidP="00262478">
            <w:pPr>
              <w:jc w:val="left"/>
              <w:rPr>
                <w:rFonts w:asciiTheme="minorEastAsia" w:eastAsiaTheme="minorEastAsia" w:hAnsiTheme="minorEastAsia" w:cs="仿宋"/>
                <w:color w:val="000000"/>
                <w:sz w:val="24"/>
                <w:szCs w:val="24"/>
              </w:rPr>
            </w:pPr>
            <w:r w:rsidRPr="00262478">
              <w:rPr>
                <w:rFonts w:asciiTheme="minorEastAsia" w:eastAsiaTheme="minorEastAsia" w:hAnsiTheme="minorEastAsia" w:cs="仿宋" w:hint="eastAsia"/>
                <w:color w:val="000000"/>
                <w:sz w:val="24"/>
                <w:szCs w:val="24"/>
              </w:rPr>
              <w:t>710.45</w:t>
            </w:r>
          </w:p>
        </w:tc>
      </w:tr>
    </w:tbl>
    <w:p w:rsidR="00E74FD0" w:rsidRPr="0056585E" w:rsidRDefault="00E74FD0" w:rsidP="0056585E">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t>八、名词解释</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1、一般公共预算拨款收入：指省级财政当年拨付的资金。</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2、事业收入：指事业单位开展专业业务活动及辅助活动所取得的收入。</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3、其他收入：指除“一般公共预算拨款收入”、“事业收入”等以外的收入。主要是按规定动用的租房收入、存款利息收入等。</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lastRenderedPageBreak/>
        <w:t>4、基本支出：指为保障机构正常运转、完成日常工作任务而发生的人员支出和公用支出。</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5、项目支出：指在基本支出之外为完成特定行政任务和事业发展目标所发生的支出。</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6、上缴上级支出：指下级单位上缴上级的支出。</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81078E" w:rsidRPr="003E227A" w:rsidRDefault="0081078E" w:rsidP="0081078E">
      <w:pPr>
        <w:spacing w:line="600" w:lineRule="exact"/>
        <w:ind w:left="300" w:firstLine="480"/>
        <w:jc w:val="left"/>
        <w:rPr>
          <w:rFonts w:ascii="仿宋_GB2312" w:eastAsia="仿宋_GB2312" w:hAnsi="仿宋" w:cs="仿宋"/>
          <w:sz w:val="32"/>
          <w:szCs w:val="32"/>
        </w:rPr>
      </w:pPr>
      <w:r w:rsidRPr="003E227A">
        <w:rPr>
          <w:rFonts w:ascii="仿宋_GB2312" w:eastAsia="仿宋_GB2312" w:hAnsi="仿宋" w:cs="仿宋" w:hint="eastAsia"/>
          <w:sz w:val="32"/>
          <w:szCs w:val="32"/>
        </w:rPr>
        <w:t>9、上年结转：指以前年度尚未完成、结转到本年仍按原规定用途继续使用的资金。</w:t>
      </w:r>
    </w:p>
    <w:p w:rsidR="00E74FD0" w:rsidRPr="0081078E" w:rsidRDefault="0081078E" w:rsidP="0081078E">
      <w:pPr>
        <w:spacing w:line="600" w:lineRule="exact"/>
        <w:ind w:firstLineChars="200" w:firstLine="640"/>
      </w:pPr>
      <w:r w:rsidRPr="003E227A">
        <w:rPr>
          <w:rFonts w:ascii="仿宋_GB2312" w:eastAsia="仿宋_GB2312" w:hAnsi="仿宋" w:cs="仿宋" w:hint="eastAsia"/>
          <w:sz w:val="32"/>
          <w:szCs w:val="32"/>
        </w:rPr>
        <w:t>10、事业单位经营支出：指事业单位在专业业务活动及其辅助活动之外开展非独立核算经营活动发生的支出。</w:t>
      </w:r>
    </w:p>
    <w:p w:rsidR="00E74FD0" w:rsidRPr="0056585E" w:rsidRDefault="00E74FD0" w:rsidP="00262478">
      <w:pPr>
        <w:spacing w:line="600" w:lineRule="exact"/>
        <w:jc w:val="left"/>
        <w:rPr>
          <w:rFonts w:ascii="黑体" w:eastAsia="黑体" w:hAnsi="黑体"/>
          <w:b/>
          <w:color w:val="333333"/>
          <w:sz w:val="32"/>
          <w:szCs w:val="32"/>
        </w:rPr>
      </w:pPr>
      <w:r w:rsidRPr="0056585E">
        <w:rPr>
          <w:rFonts w:ascii="黑体" w:eastAsia="黑体" w:hAnsi="黑体" w:hint="eastAsia"/>
          <w:b/>
          <w:color w:val="333333"/>
          <w:sz w:val="32"/>
          <w:szCs w:val="32"/>
        </w:rPr>
        <w:lastRenderedPageBreak/>
        <w:t>九、其他需说明的事项</w:t>
      </w:r>
    </w:p>
    <w:p w:rsidR="00E74FD0" w:rsidRPr="00262478" w:rsidRDefault="00E74FD0" w:rsidP="00262478">
      <w:pPr>
        <w:spacing w:line="600" w:lineRule="exact"/>
        <w:jc w:val="left"/>
        <w:rPr>
          <w:rFonts w:ascii="仿宋_GB2312" w:eastAsia="仿宋_GB2312"/>
          <w:color w:val="333333"/>
          <w:sz w:val="32"/>
          <w:szCs w:val="32"/>
        </w:rPr>
      </w:pPr>
      <w:r w:rsidRPr="00262478">
        <w:rPr>
          <w:rFonts w:ascii="仿宋_GB2312" w:eastAsia="仿宋_GB2312" w:hint="eastAsia"/>
          <w:color w:val="333333"/>
          <w:sz w:val="32"/>
          <w:szCs w:val="32"/>
        </w:rPr>
        <w:t>无其他需说明的事项。</w:t>
      </w:r>
    </w:p>
    <w:sectPr w:rsidR="00E74FD0" w:rsidRPr="00262478" w:rsidSect="00262478">
      <w:headerReference w:type="default" r:id="rId8"/>
      <w:type w:val="continuous"/>
      <w:pgSz w:w="16838" w:h="11906" w:orient="landscape"/>
      <w:pgMar w:top="1440" w:right="1800" w:bottom="1440" w:left="1800" w:header="709" w:footer="709"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88" w:rsidRDefault="00036D88">
      <w:r>
        <w:separator/>
      </w:r>
    </w:p>
  </w:endnote>
  <w:endnote w:type="continuationSeparator" w:id="1">
    <w:p w:rsidR="00036D88" w:rsidRDefault="00036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Lucida Sans Unicode"/>
    <w:panose1 w:val="00000000000000000000"/>
    <w:charset w:val="00"/>
    <w:family w:val="auto"/>
    <w:notTrueType/>
    <w:pitch w:val="variable"/>
    <w:sig w:usb0="00000003" w:usb1="00000000" w:usb2="00000000" w:usb3="00000000" w:csb0="00000001" w:csb1="00000000"/>
  </w:font>
  <w:font w:name="FangSong_GB2312">
    <w:altName w:val="Times New Roman"/>
    <w:panose1 w:val="02010609060101010101"/>
    <w:charset w:val="00"/>
    <w:family w:val="roman"/>
    <w:notTrueType/>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88" w:rsidRDefault="00036D88">
      <w:r>
        <w:separator/>
      </w:r>
    </w:p>
  </w:footnote>
  <w:footnote w:type="continuationSeparator" w:id="1">
    <w:p w:rsidR="00036D88" w:rsidRDefault="00036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D0" w:rsidRDefault="00E74FD0" w:rsidP="000021D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74DE"/>
    <w:multiLevelType w:val="hybridMultilevel"/>
    <w:tmpl w:val="00000000"/>
    <w:lvl w:ilvl="0" w:tplc="A970B05C">
      <w:start w:val="1"/>
      <w:numFmt w:val="decimal"/>
      <w:lvlRestart w:val="0"/>
      <w:lvlText w:val="%1、"/>
      <w:lvlJc w:val="left"/>
      <w:pPr>
        <w:tabs>
          <w:tab w:val="num" w:pos="527"/>
        </w:tabs>
        <w:ind w:left="527" w:hanging="527"/>
      </w:pPr>
      <w:rPr>
        <w:rFonts w:cs="Times New Roman"/>
      </w:rPr>
    </w:lvl>
    <w:lvl w:ilvl="1" w:tplc="375AD572">
      <w:start w:val="1"/>
      <w:numFmt w:val="lowerLetter"/>
      <w:lvlText w:val="%2)"/>
      <w:lvlJc w:val="left"/>
      <w:pPr>
        <w:tabs>
          <w:tab w:val="num" w:pos="840"/>
        </w:tabs>
        <w:ind w:left="840" w:hanging="420"/>
      </w:pPr>
      <w:rPr>
        <w:rFonts w:cs="Times New Roman"/>
      </w:rPr>
    </w:lvl>
    <w:lvl w:ilvl="2" w:tplc="230A8178">
      <w:start w:val="1"/>
      <w:numFmt w:val="lowerRoman"/>
      <w:lvlText w:val="%3."/>
      <w:lvlJc w:val="right"/>
      <w:pPr>
        <w:tabs>
          <w:tab w:val="num" w:pos="1260"/>
        </w:tabs>
        <w:ind w:left="1260" w:hanging="420"/>
      </w:pPr>
      <w:rPr>
        <w:rFonts w:cs="Times New Roman"/>
      </w:rPr>
    </w:lvl>
    <w:lvl w:ilvl="3" w:tplc="7DA80B6E">
      <w:start w:val="1"/>
      <w:numFmt w:val="decimal"/>
      <w:lvlText w:val="%4."/>
      <w:lvlJc w:val="left"/>
      <w:pPr>
        <w:tabs>
          <w:tab w:val="num" w:pos="1680"/>
        </w:tabs>
        <w:ind w:left="1680" w:hanging="420"/>
      </w:pPr>
      <w:rPr>
        <w:rFonts w:cs="Times New Roman"/>
      </w:rPr>
    </w:lvl>
    <w:lvl w:ilvl="4" w:tplc="FDF6524E">
      <w:start w:val="1"/>
      <w:numFmt w:val="lowerLetter"/>
      <w:lvlText w:val="%5)"/>
      <w:lvlJc w:val="left"/>
      <w:pPr>
        <w:tabs>
          <w:tab w:val="num" w:pos="2100"/>
        </w:tabs>
        <w:ind w:left="2100" w:hanging="420"/>
      </w:pPr>
      <w:rPr>
        <w:rFonts w:cs="Times New Roman"/>
      </w:rPr>
    </w:lvl>
    <w:lvl w:ilvl="5" w:tplc="DD50D004">
      <w:start w:val="1"/>
      <w:numFmt w:val="lowerRoman"/>
      <w:lvlText w:val="%6."/>
      <w:lvlJc w:val="right"/>
      <w:pPr>
        <w:tabs>
          <w:tab w:val="num" w:pos="2520"/>
        </w:tabs>
        <w:ind w:left="2520" w:hanging="420"/>
      </w:pPr>
      <w:rPr>
        <w:rFonts w:cs="Times New Roman"/>
      </w:rPr>
    </w:lvl>
    <w:lvl w:ilvl="6" w:tplc="B4AA4ACC">
      <w:start w:val="1"/>
      <w:numFmt w:val="decimal"/>
      <w:lvlText w:val="%7."/>
      <w:lvlJc w:val="left"/>
      <w:pPr>
        <w:tabs>
          <w:tab w:val="num" w:pos="2940"/>
        </w:tabs>
        <w:ind w:left="2940" w:hanging="420"/>
      </w:pPr>
      <w:rPr>
        <w:rFonts w:cs="Times New Roman"/>
      </w:rPr>
    </w:lvl>
    <w:lvl w:ilvl="7" w:tplc="C7AA646E">
      <w:start w:val="1"/>
      <w:numFmt w:val="lowerLetter"/>
      <w:lvlText w:val="%8)"/>
      <w:lvlJc w:val="left"/>
      <w:pPr>
        <w:tabs>
          <w:tab w:val="num" w:pos="3360"/>
        </w:tabs>
        <w:ind w:left="3360" w:hanging="420"/>
      </w:pPr>
      <w:rPr>
        <w:rFonts w:cs="Times New Roman"/>
      </w:rPr>
    </w:lvl>
    <w:lvl w:ilvl="8" w:tplc="51ACAF90">
      <w:start w:val="1"/>
      <w:numFmt w:val="lowerRoman"/>
      <w:lvlText w:val="%9."/>
      <w:lvlJc w:val="right"/>
      <w:pPr>
        <w:tabs>
          <w:tab w:val="num" w:pos="3780"/>
        </w:tabs>
        <w:ind w:left="3780" w:hanging="420"/>
      </w:pPr>
      <w:rPr>
        <w:rFonts w:cs="Times New Roman"/>
      </w:rPr>
    </w:lvl>
  </w:abstractNum>
  <w:abstractNum w:abstractNumId="1">
    <w:nsid w:val="58DC425E"/>
    <w:multiLevelType w:val="hybridMultilevel"/>
    <w:tmpl w:val="4D6A5872"/>
    <w:lvl w:ilvl="0" w:tplc="4F06248C">
      <w:start w:val="1"/>
      <w:numFmt w:val="decimal"/>
      <w:lvlText w:val="%1、"/>
      <w:lvlJc w:val="left"/>
      <w:pPr>
        <w:tabs>
          <w:tab w:val="num" w:pos="720"/>
        </w:tabs>
        <w:ind w:left="720" w:hanging="720"/>
      </w:pPr>
      <w:rPr>
        <w:rFonts w:cs="Times New Roman" w:hint="default"/>
      </w:rPr>
    </w:lvl>
    <w:lvl w:ilvl="1" w:tplc="7FD23CDC" w:tentative="1">
      <w:start w:val="1"/>
      <w:numFmt w:val="lowerLetter"/>
      <w:lvlText w:val="%2)"/>
      <w:lvlJc w:val="left"/>
      <w:pPr>
        <w:tabs>
          <w:tab w:val="num" w:pos="840"/>
        </w:tabs>
        <w:ind w:left="840" w:hanging="420"/>
      </w:pPr>
      <w:rPr>
        <w:rFonts w:cs="Times New Roman"/>
      </w:rPr>
    </w:lvl>
    <w:lvl w:ilvl="2" w:tplc="10C6E688" w:tentative="1">
      <w:start w:val="1"/>
      <w:numFmt w:val="lowerRoman"/>
      <w:lvlText w:val="%3."/>
      <w:lvlJc w:val="right"/>
      <w:pPr>
        <w:tabs>
          <w:tab w:val="num" w:pos="1260"/>
        </w:tabs>
        <w:ind w:left="1260" w:hanging="420"/>
      </w:pPr>
      <w:rPr>
        <w:rFonts w:cs="Times New Roman"/>
      </w:rPr>
    </w:lvl>
    <w:lvl w:ilvl="3" w:tplc="B228228E" w:tentative="1">
      <w:start w:val="1"/>
      <w:numFmt w:val="decimal"/>
      <w:lvlText w:val="%4."/>
      <w:lvlJc w:val="left"/>
      <w:pPr>
        <w:tabs>
          <w:tab w:val="num" w:pos="1680"/>
        </w:tabs>
        <w:ind w:left="1680" w:hanging="420"/>
      </w:pPr>
      <w:rPr>
        <w:rFonts w:cs="Times New Roman"/>
      </w:rPr>
    </w:lvl>
    <w:lvl w:ilvl="4" w:tplc="EA36A764" w:tentative="1">
      <w:start w:val="1"/>
      <w:numFmt w:val="lowerLetter"/>
      <w:lvlText w:val="%5)"/>
      <w:lvlJc w:val="left"/>
      <w:pPr>
        <w:tabs>
          <w:tab w:val="num" w:pos="2100"/>
        </w:tabs>
        <w:ind w:left="2100" w:hanging="420"/>
      </w:pPr>
      <w:rPr>
        <w:rFonts w:cs="Times New Roman"/>
      </w:rPr>
    </w:lvl>
    <w:lvl w:ilvl="5" w:tplc="11A6823C" w:tentative="1">
      <w:start w:val="1"/>
      <w:numFmt w:val="lowerRoman"/>
      <w:lvlText w:val="%6."/>
      <w:lvlJc w:val="right"/>
      <w:pPr>
        <w:tabs>
          <w:tab w:val="num" w:pos="2520"/>
        </w:tabs>
        <w:ind w:left="2520" w:hanging="420"/>
      </w:pPr>
      <w:rPr>
        <w:rFonts w:cs="Times New Roman"/>
      </w:rPr>
    </w:lvl>
    <w:lvl w:ilvl="6" w:tplc="9F84F43E" w:tentative="1">
      <w:start w:val="1"/>
      <w:numFmt w:val="decimal"/>
      <w:lvlText w:val="%7."/>
      <w:lvlJc w:val="left"/>
      <w:pPr>
        <w:tabs>
          <w:tab w:val="num" w:pos="2940"/>
        </w:tabs>
        <w:ind w:left="2940" w:hanging="420"/>
      </w:pPr>
      <w:rPr>
        <w:rFonts w:cs="Times New Roman"/>
      </w:rPr>
    </w:lvl>
    <w:lvl w:ilvl="7" w:tplc="912E0710" w:tentative="1">
      <w:start w:val="1"/>
      <w:numFmt w:val="lowerLetter"/>
      <w:lvlText w:val="%8)"/>
      <w:lvlJc w:val="left"/>
      <w:pPr>
        <w:tabs>
          <w:tab w:val="num" w:pos="3360"/>
        </w:tabs>
        <w:ind w:left="3360" w:hanging="420"/>
      </w:pPr>
      <w:rPr>
        <w:rFonts w:cs="Times New Roman"/>
      </w:rPr>
    </w:lvl>
    <w:lvl w:ilvl="8" w:tplc="72802ED4" w:tentative="1">
      <w:start w:val="1"/>
      <w:numFmt w:val="lowerRoman"/>
      <w:lvlText w:val="%9."/>
      <w:lvlJc w:val="right"/>
      <w:pPr>
        <w:tabs>
          <w:tab w:val="num" w:pos="3780"/>
        </w:tabs>
        <w:ind w:left="3780" w:hanging="420"/>
      </w:pPr>
      <w:rPr>
        <w:rFonts w:cs="Times New Roman"/>
      </w:rPr>
    </w:lvl>
  </w:abstractNum>
  <w:abstractNum w:abstractNumId="2">
    <w:nsid w:val="67E32FBC"/>
    <w:multiLevelType w:val="hybridMultilevel"/>
    <w:tmpl w:val="BA247B2C"/>
    <w:lvl w:ilvl="0" w:tplc="98103F68">
      <w:start w:val="1"/>
      <w:numFmt w:val="decimal"/>
      <w:lvlRestart w:val="0"/>
      <w:lvlText w:val="%1、"/>
      <w:lvlJc w:val="left"/>
      <w:pPr>
        <w:tabs>
          <w:tab w:val="num" w:pos="1400"/>
        </w:tabs>
        <w:ind w:left="1400" w:hanging="720"/>
      </w:pPr>
      <w:rPr>
        <w:rFonts w:cs="Times New Roman" w:hint="default"/>
      </w:rPr>
    </w:lvl>
    <w:lvl w:ilvl="1" w:tplc="D264C6CC">
      <w:start w:val="1"/>
      <w:numFmt w:val="lowerLetter"/>
      <w:lvlText w:val="%2)"/>
      <w:lvlJc w:val="left"/>
      <w:pPr>
        <w:tabs>
          <w:tab w:val="num" w:pos="1520"/>
        </w:tabs>
        <w:ind w:left="1520" w:hanging="420"/>
      </w:pPr>
      <w:rPr>
        <w:rFonts w:cs="Times New Roman"/>
      </w:rPr>
    </w:lvl>
    <w:lvl w:ilvl="2" w:tplc="2C704D8C">
      <w:start w:val="1"/>
      <w:numFmt w:val="lowerRoman"/>
      <w:lvlText w:val="%3."/>
      <w:lvlJc w:val="right"/>
      <w:pPr>
        <w:tabs>
          <w:tab w:val="num" w:pos="1940"/>
        </w:tabs>
        <w:ind w:left="1940" w:hanging="420"/>
      </w:pPr>
      <w:rPr>
        <w:rFonts w:cs="Times New Roman"/>
      </w:rPr>
    </w:lvl>
    <w:lvl w:ilvl="3" w:tplc="8AEE2FAE">
      <w:start w:val="1"/>
      <w:numFmt w:val="decimal"/>
      <w:lvlText w:val="%4."/>
      <w:lvlJc w:val="left"/>
      <w:pPr>
        <w:tabs>
          <w:tab w:val="num" w:pos="2360"/>
        </w:tabs>
        <w:ind w:left="2360" w:hanging="420"/>
      </w:pPr>
      <w:rPr>
        <w:rFonts w:cs="Times New Roman"/>
      </w:rPr>
    </w:lvl>
    <w:lvl w:ilvl="4" w:tplc="72DE2688">
      <w:start w:val="1"/>
      <w:numFmt w:val="lowerLetter"/>
      <w:lvlText w:val="%5)"/>
      <w:lvlJc w:val="left"/>
      <w:pPr>
        <w:tabs>
          <w:tab w:val="num" w:pos="2780"/>
        </w:tabs>
        <w:ind w:left="2780" w:hanging="420"/>
      </w:pPr>
      <w:rPr>
        <w:rFonts w:cs="Times New Roman"/>
      </w:rPr>
    </w:lvl>
    <w:lvl w:ilvl="5" w:tplc="9A064222">
      <w:start w:val="1"/>
      <w:numFmt w:val="lowerRoman"/>
      <w:lvlText w:val="%6."/>
      <w:lvlJc w:val="right"/>
      <w:pPr>
        <w:tabs>
          <w:tab w:val="num" w:pos="3200"/>
        </w:tabs>
        <w:ind w:left="3200" w:hanging="420"/>
      </w:pPr>
      <w:rPr>
        <w:rFonts w:cs="Times New Roman"/>
      </w:rPr>
    </w:lvl>
    <w:lvl w:ilvl="6" w:tplc="7318EA06">
      <w:start w:val="1"/>
      <w:numFmt w:val="decimal"/>
      <w:lvlText w:val="%7."/>
      <w:lvlJc w:val="left"/>
      <w:pPr>
        <w:tabs>
          <w:tab w:val="num" w:pos="3620"/>
        </w:tabs>
        <w:ind w:left="3620" w:hanging="420"/>
      </w:pPr>
      <w:rPr>
        <w:rFonts w:cs="Times New Roman"/>
      </w:rPr>
    </w:lvl>
    <w:lvl w:ilvl="7" w:tplc="7D1C3714">
      <w:start w:val="1"/>
      <w:numFmt w:val="lowerLetter"/>
      <w:lvlText w:val="%8)"/>
      <w:lvlJc w:val="left"/>
      <w:pPr>
        <w:tabs>
          <w:tab w:val="num" w:pos="4040"/>
        </w:tabs>
        <w:ind w:left="4040" w:hanging="420"/>
      </w:pPr>
      <w:rPr>
        <w:rFonts w:cs="Times New Roman"/>
      </w:rPr>
    </w:lvl>
    <w:lvl w:ilvl="8" w:tplc="789EB84C">
      <w:start w:val="1"/>
      <w:numFmt w:val="lowerRoman"/>
      <w:lvlText w:val="%9."/>
      <w:lvlJc w:val="right"/>
      <w:pPr>
        <w:tabs>
          <w:tab w:val="num" w:pos="4460"/>
        </w:tabs>
        <w:ind w:left="446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800"/>
  <w:drawingGridHorizontalSpacing w:val="105"/>
  <w:drawingGridVerticalSpacing w:val="156"/>
  <w:displayHorizontalDrawingGridEvery w:val="0"/>
  <w:displayVerticalDrawingGridEvery w:val="2"/>
  <w:noPunctuationKerning/>
  <w:characterSpacingControl w:val="doNotCompress"/>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ExpandShiftReturn/>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68E"/>
    <w:rsid w:val="000021DE"/>
    <w:rsid w:val="00011032"/>
    <w:rsid w:val="00036873"/>
    <w:rsid w:val="00036D88"/>
    <w:rsid w:val="00053304"/>
    <w:rsid w:val="00112805"/>
    <w:rsid w:val="00166E77"/>
    <w:rsid w:val="00192D7B"/>
    <w:rsid w:val="00244C06"/>
    <w:rsid w:val="00262478"/>
    <w:rsid w:val="00294B2F"/>
    <w:rsid w:val="002D3CCF"/>
    <w:rsid w:val="002E0AD8"/>
    <w:rsid w:val="00315CBF"/>
    <w:rsid w:val="004D5090"/>
    <w:rsid w:val="004E6B9C"/>
    <w:rsid w:val="004F489C"/>
    <w:rsid w:val="0056585E"/>
    <w:rsid w:val="00577929"/>
    <w:rsid w:val="00591886"/>
    <w:rsid w:val="005B7FC4"/>
    <w:rsid w:val="005E7688"/>
    <w:rsid w:val="00630088"/>
    <w:rsid w:val="00640272"/>
    <w:rsid w:val="00647CE1"/>
    <w:rsid w:val="006B158C"/>
    <w:rsid w:val="00797620"/>
    <w:rsid w:val="007F6CD6"/>
    <w:rsid w:val="0081078E"/>
    <w:rsid w:val="008871AA"/>
    <w:rsid w:val="00962F73"/>
    <w:rsid w:val="00973039"/>
    <w:rsid w:val="00A2668E"/>
    <w:rsid w:val="00A44BB1"/>
    <w:rsid w:val="00A5611C"/>
    <w:rsid w:val="00A655E9"/>
    <w:rsid w:val="00A65D57"/>
    <w:rsid w:val="00B0045C"/>
    <w:rsid w:val="00B35762"/>
    <w:rsid w:val="00B45932"/>
    <w:rsid w:val="00B645CC"/>
    <w:rsid w:val="00BA57F2"/>
    <w:rsid w:val="00C1355F"/>
    <w:rsid w:val="00C165FD"/>
    <w:rsid w:val="00C42F95"/>
    <w:rsid w:val="00C97B14"/>
    <w:rsid w:val="00D25001"/>
    <w:rsid w:val="00D44FDB"/>
    <w:rsid w:val="00E74FD0"/>
    <w:rsid w:val="00E82BDA"/>
    <w:rsid w:val="00E91C81"/>
    <w:rsid w:val="00F37218"/>
    <w:rsid w:val="00F72C26"/>
    <w:rsid w:val="00FE49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2668E"/>
    <w:pPr>
      <w:jc w:val="both"/>
    </w:pPr>
    <w:rPr>
      <w:sz w:val="21"/>
      <w:szCs w:val="21"/>
    </w:rPr>
  </w:style>
  <w:style w:type="paragraph" w:styleId="1">
    <w:name w:val="heading 1"/>
    <w:basedOn w:val="a"/>
    <w:link w:val="1Char"/>
    <w:uiPriority w:val="99"/>
    <w:qFormat/>
    <w:rsid w:val="00A2668E"/>
    <w:pPr>
      <w:outlineLvl w:val="0"/>
    </w:pPr>
    <w:rPr>
      <w:sz w:val="28"/>
      <w:szCs w:val="28"/>
    </w:rPr>
  </w:style>
  <w:style w:type="paragraph" w:styleId="2">
    <w:name w:val="heading 2"/>
    <w:basedOn w:val="a"/>
    <w:link w:val="2Char"/>
    <w:uiPriority w:val="99"/>
    <w:qFormat/>
    <w:rsid w:val="00A2668E"/>
    <w:pPr>
      <w:outlineLvl w:val="1"/>
    </w:pPr>
  </w:style>
  <w:style w:type="paragraph" w:styleId="3">
    <w:name w:val="heading 3"/>
    <w:basedOn w:val="a"/>
    <w:link w:val="3Char"/>
    <w:uiPriority w:val="99"/>
    <w:qFormat/>
    <w:rsid w:val="00A2668E"/>
    <w:pPr>
      <w:ind w:left="1000" w:hanging="400"/>
      <w:outlineLvl w:val="2"/>
    </w:pPr>
  </w:style>
  <w:style w:type="paragraph" w:styleId="4">
    <w:name w:val="heading 4"/>
    <w:basedOn w:val="a"/>
    <w:link w:val="4Char"/>
    <w:uiPriority w:val="99"/>
    <w:qFormat/>
    <w:rsid w:val="00A2668E"/>
    <w:pPr>
      <w:ind w:left="1200" w:hanging="400"/>
      <w:outlineLvl w:val="3"/>
    </w:pPr>
    <w:rPr>
      <w:b/>
    </w:rPr>
  </w:style>
  <w:style w:type="paragraph" w:styleId="5">
    <w:name w:val="heading 5"/>
    <w:basedOn w:val="a"/>
    <w:link w:val="5Char"/>
    <w:uiPriority w:val="99"/>
    <w:qFormat/>
    <w:rsid w:val="00A2668E"/>
    <w:pPr>
      <w:ind w:left="1400" w:hanging="400"/>
      <w:outlineLvl w:val="4"/>
    </w:pPr>
  </w:style>
  <w:style w:type="paragraph" w:styleId="6">
    <w:name w:val="heading 6"/>
    <w:basedOn w:val="a"/>
    <w:link w:val="6Char"/>
    <w:uiPriority w:val="99"/>
    <w:qFormat/>
    <w:rsid w:val="00A2668E"/>
    <w:pPr>
      <w:ind w:left="1600" w:hanging="400"/>
      <w:outlineLvl w:val="5"/>
    </w:pPr>
    <w:rPr>
      <w:b/>
    </w:rPr>
  </w:style>
  <w:style w:type="paragraph" w:styleId="7">
    <w:name w:val="heading 7"/>
    <w:basedOn w:val="a"/>
    <w:link w:val="7Char"/>
    <w:uiPriority w:val="99"/>
    <w:qFormat/>
    <w:rsid w:val="00A2668E"/>
    <w:pPr>
      <w:ind w:left="1800" w:hanging="400"/>
      <w:outlineLvl w:val="6"/>
    </w:pPr>
  </w:style>
  <w:style w:type="paragraph" w:styleId="8">
    <w:name w:val="heading 8"/>
    <w:basedOn w:val="a"/>
    <w:link w:val="8Char"/>
    <w:uiPriority w:val="99"/>
    <w:qFormat/>
    <w:rsid w:val="00A2668E"/>
    <w:pPr>
      <w:ind w:left="2000" w:hanging="400"/>
      <w:outlineLvl w:val="7"/>
    </w:pPr>
  </w:style>
  <w:style w:type="paragraph" w:styleId="9">
    <w:name w:val="heading 9"/>
    <w:basedOn w:val="a"/>
    <w:link w:val="9Char"/>
    <w:uiPriority w:val="99"/>
    <w:qFormat/>
    <w:rsid w:val="00A2668E"/>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555C"/>
    <w:rPr>
      <w:b/>
      <w:bCs/>
      <w:kern w:val="44"/>
      <w:sz w:val="44"/>
      <w:szCs w:val="44"/>
    </w:rPr>
  </w:style>
  <w:style w:type="character" w:customStyle="1" w:styleId="2Char">
    <w:name w:val="标题 2 Char"/>
    <w:basedOn w:val="a0"/>
    <w:link w:val="2"/>
    <w:uiPriority w:val="9"/>
    <w:semiHidden/>
    <w:rsid w:val="00FD555C"/>
    <w:rPr>
      <w:rFonts w:ascii="Cambria" w:eastAsia="宋体" w:hAnsi="Cambria" w:cs="Times New Roman"/>
      <w:b/>
      <w:bCs/>
      <w:kern w:val="0"/>
      <w:sz w:val="32"/>
      <w:szCs w:val="32"/>
    </w:rPr>
  </w:style>
  <w:style w:type="character" w:customStyle="1" w:styleId="3Char">
    <w:name w:val="标题 3 Char"/>
    <w:basedOn w:val="a0"/>
    <w:link w:val="3"/>
    <w:uiPriority w:val="9"/>
    <w:semiHidden/>
    <w:rsid w:val="00FD555C"/>
    <w:rPr>
      <w:b/>
      <w:bCs/>
      <w:kern w:val="0"/>
      <w:sz w:val="32"/>
      <w:szCs w:val="32"/>
    </w:rPr>
  </w:style>
  <w:style w:type="character" w:customStyle="1" w:styleId="4Char">
    <w:name w:val="标题 4 Char"/>
    <w:basedOn w:val="a0"/>
    <w:link w:val="4"/>
    <w:uiPriority w:val="9"/>
    <w:semiHidden/>
    <w:rsid w:val="00FD555C"/>
    <w:rPr>
      <w:rFonts w:ascii="Cambria" w:eastAsia="宋体" w:hAnsi="Cambria" w:cs="Times New Roman"/>
      <w:b/>
      <w:bCs/>
      <w:kern w:val="0"/>
      <w:sz w:val="28"/>
      <w:szCs w:val="28"/>
    </w:rPr>
  </w:style>
  <w:style w:type="character" w:customStyle="1" w:styleId="5Char">
    <w:name w:val="标题 5 Char"/>
    <w:basedOn w:val="a0"/>
    <w:link w:val="5"/>
    <w:uiPriority w:val="9"/>
    <w:semiHidden/>
    <w:rsid w:val="00FD555C"/>
    <w:rPr>
      <w:b/>
      <w:bCs/>
      <w:kern w:val="0"/>
      <w:sz w:val="28"/>
      <w:szCs w:val="28"/>
    </w:rPr>
  </w:style>
  <w:style w:type="character" w:customStyle="1" w:styleId="6Char">
    <w:name w:val="标题 6 Char"/>
    <w:basedOn w:val="a0"/>
    <w:link w:val="6"/>
    <w:uiPriority w:val="9"/>
    <w:semiHidden/>
    <w:rsid w:val="00FD555C"/>
    <w:rPr>
      <w:rFonts w:ascii="Cambria" w:eastAsia="宋体" w:hAnsi="Cambria" w:cs="Times New Roman"/>
      <w:b/>
      <w:bCs/>
      <w:kern w:val="0"/>
      <w:sz w:val="24"/>
      <w:szCs w:val="24"/>
    </w:rPr>
  </w:style>
  <w:style w:type="character" w:customStyle="1" w:styleId="7Char">
    <w:name w:val="标题 7 Char"/>
    <w:basedOn w:val="a0"/>
    <w:link w:val="7"/>
    <w:uiPriority w:val="9"/>
    <w:semiHidden/>
    <w:rsid w:val="00FD555C"/>
    <w:rPr>
      <w:b/>
      <w:bCs/>
      <w:kern w:val="0"/>
      <w:sz w:val="24"/>
      <w:szCs w:val="24"/>
    </w:rPr>
  </w:style>
  <w:style w:type="character" w:customStyle="1" w:styleId="8Char">
    <w:name w:val="标题 8 Char"/>
    <w:basedOn w:val="a0"/>
    <w:link w:val="8"/>
    <w:uiPriority w:val="9"/>
    <w:semiHidden/>
    <w:rsid w:val="00FD555C"/>
    <w:rPr>
      <w:rFonts w:ascii="Cambria" w:eastAsia="宋体" w:hAnsi="Cambria" w:cs="Times New Roman"/>
      <w:kern w:val="0"/>
      <w:sz w:val="24"/>
      <w:szCs w:val="24"/>
    </w:rPr>
  </w:style>
  <w:style w:type="character" w:customStyle="1" w:styleId="9Char">
    <w:name w:val="标题 9 Char"/>
    <w:basedOn w:val="a0"/>
    <w:link w:val="9"/>
    <w:uiPriority w:val="9"/>
    <w:semiHidden/>
    <w:rsid w:val="00FD555C"/>
    <w:rPr>
      <w:rFonts w:ascii="Cambria" w:eastAsia="宋体" w:hAnsi="Cambria" w:cs="Times New Roman"/>
      <w:kern w:val="0"/>
      <w:szCs w:val="21"/>
    </w:rPr>
  </w:style>
  <w:style w:type="paragraph" w:customStyle="1" w:styleId="NoSpacing1">
    <w:name w:val="No Spacing1"/>
    <w:uiPriority w:val="99"/>
    <w:rsid w:val="00A2668E"/>
    <w:pPr>
      <w:jc w:val="both"/>
    </w:pPr>
    <w:rPr>
      <w:sz w:val="21"/>
      <w:szCs w:val="21"/>
    </w:rPr>
  </w:style>
  <w:style w:type="paragraph" w:styleId="a3">
    <w:name w:val="Title"/>
    <w:basedOn w:val="a"/>
    <w:link w:val="Char"/>
    <w:uiPriority w:val="99"/>
    <w:qFormat/>
    <w:rsid w:val="00A2668E"/>
    <w:pPr>
      <w:jc w:val="center"/>
    </w:pPr>
    <w:rPr>
      <w:b/>
      <w:sz w:val="32"/>
      <w:szCs w:val="32"/>
    </w:rPr>
  </w:style>
  <w:style w:type="character" w:customStyle="1" w:styleId="Char">
    <w:name w:val="标题 Char"/>
    <w:basedOn w:val="a0"/>
    <w:link w:val="a3"/>
    <w:uiPriority w:val="10"/>
    <w:rsid w:val="00FD555C"/>
    <w:rPr>
      <w:rFonts w:ascii="Cambria" w:hAnsi="Cambria" w:cs="Times New Roman"/>
      <w:b/>
      <w:bCs/>
      <w:kern w:val="0"/>
      <w:sz w:val="32"/>
      <w:szCs w:val="32"/>
    </w:rPr>
  </w:style>
  <w:style w:type="paragraph" w:styleId="a4">
    <w:name w:val="Subtitle"/>
    <w:basedOn w:val="a"/>
    <w:link w:val="Char0"/>
    <w:uiPriority w:val="99"/>
    <w:qFormat/>
    <w:rsid w:val="00A2668E"/>
    <w:pPr>
      <w:jc w:val="center"/>
    </w:pPr>
    <w:rPr>
      <w:sz w:val="24"/>
      <w:szCs w:val="24"/>
    </w:rPr>
  </w:style>
  <w:style w:type="character" w:customStyle="1" w:styleId="Char0">
    <w:name w:val="副标题 Char"/>
    <w:basedOn w:val="a0"/>
    <w:link w:val="a4"/>
    <w:uiPriority w:val="11"/>
    <w:rsid w:val="00FD555C"/>
    <w:rPr>
      <w:rFonts w:ascii="Cambria" w:hAnsi="Cambria" w:cs="Times New Roman"/>
      <w:b/>
      <w:bCs/>
      <w:kern w:val="28"/>
      <w:sz w:val="32"/>
      <w:szCs w:val="32"/>
    </w:rPr>
  </w:style>
  <w:style w:type="character" w:customStyle="1" w:styleId="SubtleEmphasis1">
    <w:name w:val="Subtle Emphasis1"/>
    <w:uiPriority w:val="99"/>
    <w:rsid w:val="00A2668E"/>
    <w:rPr>
      <w:i/>
      <w:color w:val="404040"/>
      <w:w w:val="100"/>
      <w:sz w:val="21"/>
      <w:shd w:val="clear" w:color="auto" w:fill="auto"/>
    </w:rPr>
  </w:style>
  <w:style w:type="character" w:styleId="a5">
    <w:name w:val="Emphasis"/>
    <w:basedOn w:val="a0"/>
    <w:uiPriority w:val="99"/>
    <w:qFormat/>
    <w:rsid w:val="00A2668E"/>
    <w:rPr>
      <w:rFonts w:cs="Times New Roman"/>
      <w:i/>
      <w:w w:val="100"/>
      <w:sz w:val="21"/>
      <w:shd w:val="clear" w:color="auto" w:fill="auto"/>
    </w:rPr>
  </w:style>
  <w:style w:type="character" w:customStyle="1" w:styleId="IntenseEmphasis1">
    <w:name w:val="Intense Emphasis1"/>
    <w:uiPriority w:val="99"/>
    <w:rsid w:val="00A2668E"/>
    <w:rPr>
      <w:i/>
      <w:color w:val="5B9BD5"/>
      <w:w w:val="100"/>
      <w:sz w:val="21"/>
      <w:shd w:val="clear" w:color="auto" w:fill="auto"/>
    </w:rPr>
  </w:style>
  <w:style w:type="character" w:styleId="a6">
    <w:name w:val="Strong"/>
    <w:basedOn w:val="a0"/>
    <w:uiPriority w:val="99"/>
    <w:qFormat/>
    <w:rsid w:val="00A2668E"/>
    <w:rPr>
      <w:rFonts w:cs="Times New Roman"/>
      <w:b/>
      <w:w w:val="100"/>
      <w:sz w:val="21"/>
      <w:shd w:val="clear" w:color="auto" w:fill="auto"/>
    </w:rPr>
  </w:style>
  <w:style w:type="paragraph" w:customStyle="1" w:styleId="Quote1">
    <w:name w:val="Quote1"/>
    <w:uiPriority w:val="99"/>
    <w:rsid w:val="00A2668E"/>
    <w:pPr>
      <w:ind w:left="864" w:right="864"/>
      <w:jc w:val="center"/>
    </w:pPr>
    <w:rPr>
      <w:i/>
      <w:color w:val="404040"/>
      <w:sz w:val="21"/>
      <w:szCs w:val="21"/>
    </w:rPr>
  </w:style>
  <w:style w:type="paragraph" w:customStyle="1" w:styleId="IntenseQuote1">
    <w:name w:val="Intense Quote1"/>
    <w:uiPriority w:val="99"/>
    <w:rsid w:val="00A2668E"/>
    <w:pPr>
      <w:ind w:left="950" w:right="950"/>
      <w:jc w:val="center"/>
    </w:pPr>
    <w:rPr>
      <w:i/>
      <w:color w:val="5B9BD5"/>
      <w:sz w:val="21"/>
      <w:szCs w:val="21"/>
    </w:rPr>
  </w:style>
  <w:style w:type="character" w:customStyle="1" w:styleId="SubtleReference1">
    <w:name w:val="Subtle Reference1"/>
    <w:uiPriority w:val="99"/>
    <w:rsid w:val="00A2668E"/>
    <w:rPr>
      <w:smallCaps/>
      <w:color w:val="5A5A5A"/>
      <w:w w:val="100"/>
      <w:sz w:val="21"/>
      <w:shd w:val="clear" w:color="auto" w:fill="auto"/>
    </w:rPr>
  </w:style>
  <w:style w:type="character" w:customStyle="1" w:styleId="IntenseReference1">
    <w:name w:val="Intense Reference1"/>
    <w:uiPriority w:val="99"/>
    <w:rsid w:val="00A2668E"/>
    <w:rPr>
      <w:b/>
      <w:smallCaps/>
      <w:color w:val="5B9BD5"/>
      <w:w w:val="100"/>
      <w:sz w:val="21"/>
      <w:shd w:val="clear" w:color="auto" w:fill="auto"/>
    </w:rPr>
  </w:style>
  <w:style w:type="character" w:customStyle="1" w:styleId="BookTitle1">
    <w:name w:val="Book Title1"/>
    <w:uiPriority w:val="99"/>
    <w:rsid w:val="00A2668E"/>
    <w:rPr>
      <w:b/>
      <w:i/>
      <w:w w:val="100"/>
      <w:sz w:val="21"/>
      <w:shd w:val="clear" w:color="auto" w:fill="auto"/>
    </w:rPr>
  </w:style>
  <w:style w:type="paragraph" w:customStyle="1" w:styleId="ListParagraph1">
    <w:name w:val="List Paragraph1"/>
    <w:uiPriority w:val="99"/>
    <w:rsid w:val="00A2668E"/>
    <w:pPr>
      <w:ind w:left="850"/>
      <w:jc w:val="both"/>
    </w:pPr>
    <w:rPr>
      <w:sz w:val="21"/>
      <w:szCs w:val="21"/>
    </w:rPr>
  </w:style>
  <w:style w:type="paragraph" w:customStyle="1" w:styleId="TOCHeading1">
    <w:name w:val="TOC Heading1"/>
    <w:uiPriority w:val="99"/>
    <w:rsid w:val="00A2668E"/>
    <w:pPr>
      <w:jc w:val="both"/>
    </w:pPr>
    <w:rPr>
      <w:color w:val="2E74B5"/>
      <w:sz w:val="32"/>
      <w:szCs w:val="32"/>
    </w:rPr>
  </w:style>
  <w:style w:type="paragraph" w:styleId="10">
    <w:name w:val="toc 1"/>
    <w:basedOn w:val="a"/>
    <w:rsid w:val="00A2668E"/>
  </w:style>
  <w:style w:type="paragraph" w:styleId="20">
    <w:name w:val="toc 2"/>
    <w:basedOn w:val="a"/>
    <w:rsid w:val="00A2668E"/>
    <w:pPr>
      <w:ind w:left="425"/>
    </w:pPr>
  </w:style>
  <w:style w:type="paragraph" w:styleId="30">
    <w:name w:val="toc 3"/>
    <w:basedOn w:val="a"/>
    <w:uiPriority w:val="99"/>
    <w:rsid w:val="00A2668E"/>
    <w:pPr>
      <w:ind w:left="850"/>
    </w:pPr>
  </w:style>
  <w:style w:type="paragraph" w:styleId="40">
    <w:name w:val="toc 4"/>
    <w:basedOn w:val="a"/>
    <w:uiPriority w:val="99"/>
    <w:rsid w:val="00A2668E"/>
    <w:pPr>
      <w:ind w:left="1275"/>
    </w:pPr>
  </w:style>
  <w:style w:type="paragraph" w:styleId="50">
    <w:name w:val="toc 5"/>
    <w:basedOn w:val="a"/>
    <w:uiPriority w:val="99"/>
    <w:rsid w:val="00A2668E"/>
    <w:pPr>
      <w:ind w:left="1700"/>
    </w:pPr>
  </w:style>
  <w:style w:type="paragraph" w:styleId="60">
    <w:name w:val="toc 6"/>
    <w:basedOn w:val="a"/>
    <w:uiPriority w:val="99"/>
    <w:rsid w:val="00A2668E"/>
    <w:pPr>
      <w:ind w:left="2125"/>
    </w:pPr>
  </w:style>
  <w:style w:type="paragraph" w:styleId="70">
    <w:name w:val="toc 7"/>
    <w:basedOn w:val="a"/>
    <w:uiPriority w:val="99"/>
    <w:rsid w:val="00A2668E"/>
    <w:pPr>
      <w:ind w:left="2550"/>
    </w:pPr>
  </w:style>
  <w:style w:type="paragraph" w:styleId="80">
    <w:name w:val="toc 8"/>
    <w:basedOn w:val="a"/>
    <w:uiPriority w:val="99"/>
    <w:rsid w:val="00A2668E"/>
    <w:pPr>
      <w:ind w:left="2975"/>
    </w:pPr>
  </w:style>
  <w:style w:type="paragraph" w:styleId="90">
    <w:name w:val="toc 9"/>
    <w:basedOn w:val="a"/>
    <w:uiPriority w:val="99"/>
    <w:rsid w:val="00A2668E"/>
    <w:pPr>
      <w:ind w:left="3400"/>
    </w:pPr>
  </w:style>
  <w:style w:type="paragraph" w:styleId="a7">
    <w:name w:val="Normal (Web)"/>
    <w:basedOn w:val="a"/>
    <w:next w:val="a3"/>
    <w:rsid w:val="00A2668E"/>
    <w:pPr>
      <w:widowControl w:val="0"/>
      <w:spacing w:before="100" w:beforeAutospacing="1" w:after="100" w:afterAutospacing="1"/>
      <w:jc w:val="left"/>
    </w:pPr>
    <w:rPr>
      <w:rFonts w:ascii="Calibri" w:hAnsi="Calibri"/>
      <w:sz w:val="24"/>
      <w:szCs w:val="24"/>
    </w:rPr>
  </w:style>
  <w:style w:type="paragraph" w:styleId="a8">
    <w:name w:val="header"/>
    <w:basedOn w:val="a"/>
    <w:link w:val="Char1"/>
    <w:uiPriority w:val="99"/>
    <w:rsid w:val="000021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FD555C"/>
    <w:rPr>
      <w:kern w:val="0"/>
      <w:sz w:val="18"/>
      <w:szCs w:val="18"/>
    </w:rPr>
  </w:style>
  <w:style w:type="paragraph" w:styleId="a9">
    <w:name w:val="footer"/>
    <w:basedOn w:val="a"/>
    <w:link w:val="Char2"/>
    <w:uiPriority w:val="99"/>
    <w:rsid w:val="000021DE"/>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FD555C"/>
    <w:rPr>
      <w:kern w:val="0"/>
      <w:sz w:val="18"/>
      <w:szCs w:val="18"/>
    </w:rPr>
  </w:style>
  <w:style w:type="character" w:styleId="aa">
    <w:name w:val="Hyperlink"/>
    <w:basedOn w:val="a0"/>
    <w:rsid w:val="004D5090"/>
    <w:rPr>
      <w:color w:val="0000FF"/>
      <w:u w:val="single"/>
    </w:rPr>
  </w:style>
</w:styles>
</file>

<file path=word/webSettings.xml><?xml version="1.0" encoding="utf-8"?>
<w:webSettings xmlns:r="http://schemas.openxmlformats.org/officeDocument/2006/relationships" xmlns:w="http://schemas.openxmlformats.org/wordprocessingml/2006/main">
  <w:divs>
    <w:div w:id="1839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B381-DB4D-4CD0-9895-211B7161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43</Pages>
  <Words>2898</Words>
  <Characters>16519</Characters>
  <Application>Microsoft Office Word</Application>
  <DocSecurity>0</DocSecurity>
  <Lines>137</Lines>
  <Paragraphs>38</Paragraphs>
  <ScaleCrop>false</ScaleCrop>
  <Company/>
  <LinksUpToDate>false</LinksUpToDate>
  <CharactersWithSpaces>19379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预算编审中心</cp:lastModifiedBy>
  <cp:revision>23</cp:revision>
  <dcterms:created xsi:type="dcterms:W3CDTF">2017-11-14T10:46:00Z</dcterms:created>
  <dcterms:modified xsi:type="dcterms:W3CDTF">2019-01-29T00:40:00Z</dcterms:modified>
</cp:coreProperties>
</file>