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DE2" w:rsidRPr="003D6CB1" w:rsidRDefault="00F008CE" w:rsidP="00F06B5F">
      <w:pPr>
        <w:widowControl/>
        <w:spacing w:line="600" w:lineRule="exact"/>
        <w:ind w:right="600"/>
        <w:jc w:val="center"/>
        <w:rPr>
          <w:rFonts w:asciiTheme="minorEastAsia" w:eastAsiaTheme="minorEastAsia" w:hAnsiTheme="minorEastAsia" w:cs="仿宋"/>
          <w:b/>
          <w:bCs/>
          <w:sz w:val="44"/>
          <w:szCs w:val="32"/>
        </w:rPr>
      </w:pPr>
      <w:r w:rsidRPr="003D6CB1">
        <w:rPr>
          <w:rFonts w:asciiTheme="minorEastAsia" w:eastAsiaTheme="minorEastAsia" w:hAnsiTheme="minorEastAsia" w:cs="仿宋" w:hint="eastAsia"/>
          <w:b/>
          <w:bCs/>
          <w:kern w:val="0"/>
          <w:sz w:val="44"/>
          <w:szCs w:val="32"/>
        </w:rPr>
        <w:t>秦皇岛市北戴河区人力资源和社会保障局2018年部门预算</w:t>
      </w:r>
    </w:p>
    <w:p w:rsidR="003D6CB1" w:rsidRDefault="003D6CB1" w:rsidP="003D6CB1">
      <w:pPr>
        <w:ind w:leftChars="-7" w:left="-15" w:firstLineChars="200" w:firstLine="640"/>
        <w:rPr>
          <w:rFonts w:ascii="仿宋_GB2312" w:eastAsia="仿宋_GB2312" w:hAnsi="仿宋"/>
          <w:sz w:val="32"/>
          <w:szCs w:val="32"/>
        </w:rPr>
      </w:pPr>
      <w:r>
        <w:rPr>
          <w:rFonts w:ascii="仿宋_GB2312" w:eastAsia="仿宋_GB2312" w:hAnsi="仿宋" w:hint="eastAsia"/>
          <w:sz w:val="32"/>
          <w:szCs w:val="32"/>
        </w:rPr>
        <w:t>按照《预算法》、《河北省预决算公开操作规程实施细则》和《秦皇岛市市级预算公开办法》规定，现将</w:t>
      </w:r>
      <w:r>
        <w:rPr>
          <w:rFonts w:ascii="仿宋_GB2312" w:eastAsia="仿宋_GB2312" w:hAnsi="仿宋_GB2312" w:cs="宋体" w:hint="eastAsia"/>
          <w:color w:val="333333"/>
          <w:kern w:val="0"/>
          <w:sz w:val="32"/>
          <w:szCs w:val="32"/>
        </w:rPr>
        <w:t>北戴河区</w:t>
      </w:r>
      <w:r w:rsidRPr="003D6CB1">
        <w:rPr>
          <w:rFonts w:ascii="仿宋_GB2312" w:eastAsia="仿宋_GB2312" w:hAnsi="仿宋" w:cs="仿宋" w:hint="eastAsia"/>
          <w:bCs/>
          <w:kern w:val="0"/>
          <w:sz w:val="32"/>
          <w:szCs w:val="32"/>
        </w:rPr>
        <w:t>人力资源和社会保障局</w:t>
      </w:r>
      <w:r>
        <w:rPr>
          <w:rFonts w:ascii="仿宋_GB2312" w:eastAsia="仿宋_GB2312" w:hAnsi="仿宋" w:hint="eastAsia"/>
          <w:sz w:val="32"/>
          <w:szCs w:val="32"/>
        </w:rPr>
        <w:t>2018年部门预算公开如下：</w:t>
      </w:r>
    </w:p>
    <w:p w:rsidR="00C37DE2" w:rsidRPr="003D6CB1" w:rsidRDefault="00F008CE" w:rsidP="003D6CB1">
      <w:pPr>
        <w:pStyle w:val="a5"/>
        <w:widowControl/>
        <w:spacing w:beforeAutospacing="0" w:afterAutospacing="0" w:line="600" w:lineRule="exact"/>
        <w:ind w:firstLineChars="196" w:firstLine="630"/>
        <w:rPr>
          <w:rFonts w:ascii="黑体" w:eastAsia="黑体" w:hAnsi="黑体" w:cs="仿宋"/>
          <w:b/>
          <w:sz w:val="32"/>
          <w:szCs w:val="32"/>
        </w:rPr>
      </w:pPr>
      <w:r w:rsidRPr="003D6CB1">
        <w:rPr>
          <w:rFonts w:ascii="黑体" w:eastAsia="黑体" w:hAnsi="黑体" w:cs="仿宋" w:hint="eastAsia"/>
          <w:b/>
          <w:sz w:val="32"/>
          <w:szCs w:val="32"/>
        </w:rPr>
        <w:t>一、部门职责、机构设置等基本情况</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bCs/>
          <w:sz w:val="32"/>
          <w:szCs w:val="32"/>
        </w:rPr>
      </w:pPr>
      <w:r w:rsidRPr="00F06B5F">
        <w:rPr>
          <w:rFonts w:ascii="仿宋_GB2312" w:eastAsia="仿宋_GB2312" w:hAnsi="仿宋" w:cs="仿宋" w:hint="eastAsia"/>
          <w:bCs/>
          <w:sz w:val="32"/>
          <w:szCs w:val="32"/>
        </w:rPr>
        <w:t>部门职责如下：</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1、贯彻执行《中华人民共和国公务员法》、《中华人民共和国劳动法》及相关法律法规和国家、省、市颁布的有关人力资源和社会保障方面的政策规定、基本标准、实施办法等；拟订全区人力资源和社会保障事业发展规划、政策办法，并组织实施和监督检查；负责全区人力资源和社会保障的宣传、统计和舆情研究。</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2、会同有关部门拟订全区人才工作总体目标，参与人才管理；负责全区人力资源规划、开发工作。建立统一规范的人力资源市场，促进人力资源合理流动、有效配置；会同有关部门拟订机构改革人员定岗和分流办法。</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3、负责全区促进就业工作。拟订统筹城乡就业发展规划和政策，完善公共就业服务体系；实施职业资格制度，统筹建立面向城乡劳动者的职业培训制度；负责非师范类大中专毕业生的就业指导和服务工作。</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lastRenderedPageBreak/>
        <w:t>4、负责养老、失业、医疗、生育等社会保险制度的实施；负责对全区社会保险基金收缴、支付、管理、运营工作实施行政监督；负责对社会保险经办机构的管理。</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5、负责全区劳动关系调整和劳动合同、集体合同制度的实施；负责企业职工工资收入及其劳动报酬的宏观调控政策和企业工资指导线、最低工资标准的落实。</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6、负责本区政府系统行政机关（含参照公务员法管理事业单位）公务员和事业单位工作人员的综合管理、人事教育培训、考核奖惩等工作。</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7、会同有关部门组织实施全区事业单位人事制度改革；负责全区专业技术人员管理和继续教育培训，综合管理全区职称工作。</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8、负责区政府机关及事业单位股级干部的任免及全区政府系统副科级以下干部职工人事档案管理工作。</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9、负责区政府任免和需提请区人大常委会任免干部具体手续的呈报工作。</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10、会同有关部门拟订全区机关、企事业单位人员工资收入分配政策，建立全区机关、企事业单位人员工资正常增长和支付保障机制；负责全区机关、企事业单位人员福利和离退休政策的组织实施和监督检查。</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11、组织指导全区机关、企事业单位工人技术等级培训、考核、定级和技术职务评聘工作。</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lastRenderedPageBreak/>
        <w:t>12、会同有关部门拟订全区军队转业干部安置办法和安置计划；负责随军家属的安置工作；负责全区企业军队转业干部解困政策落实和协调稳定工作。</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13、会同有关部门拟订农民工工作综合性政策和规划，推动农民工相关政策的落实，协调解决重点难点问题，维护农民工合法权益。</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14、监督检查人力资源和社会保障法律、法规执行情况，依法行使监督检查职权；负责劳动人事争议调解仲裁工作，完善人事劳动关系协调机制，组织实施劳动监察，协调劳动者维权工作，依法查处重大案件。</w:t>
      </w:r>
    </w:p>
    <w:p w:rsidR="00F06B5F" w:rsidRPr="003D6CB1" w:rsidRDefault="00F008CE" w:rsidP="003D6CB1">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15、承办区政府交办的其他事项。</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bCs/>
          <w:sz w:val="32"/>
          <w:szCs w:val="32"/>
        </w:rPr>
      </w:pPr>
      <w:r w:rsidRPr="00F06B5F">
        <w:rPr>
          <w:rFonts w:ascii="仿宋_GB2312" w:eastAsia="仿宋_GB2312" w:hAnsi="仿宋" w:cs="仿宋" w:hint="eastAsia"/>
          <w:bCs/>
          <w:sz w:val="32"/>
          <w:szCs w:val="32"/>
        </w:rPr>
        <w:t>机构设置如下：</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纳入北戴河区人社局2018年度部门预算编制范围为北戴河区人力资源和社会保障局，正科级，内设5个机构：</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1、办公室</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2、就业促进股（挂劳动监察仲裁股牌子）</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3、人事综合管理股（挂职改办牌子）</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4、工资福利股</w:t>
      </w:r>
    </w:p>
    <w:p w:rsidR="00C37DE2" w:rsidRPr="00F06B5F" w:rsidRDefault="00F008CE" w:rsidP="00F06B5F">
      <w:pPr>
        <w:pStyle w:val="a5"/>
        <w:widowControl/>
        <w:spacing w:beforeAutospacing="0" w:afterAutospacing="0" w:line="600" w:lineRule="exact"/>
        <w:ind w:left="300" w:right="600" w:firstLine="420"/>
        <w:rPr>
          <w:rFonts w:ascii="仿宋_GB2312" w:eastAsia="仿宋_GB2312" w:hAnsi="仿宋" w:cs="仿宋"/>
          <w:sz w:val="32"/>
          <w:szCs w:val="32"/>
        </w:rPr>
      </w:pPr>
      <w:r w:rsidRPr="00F06B5F">
        <w:rPr>
          <w:rFonts w:ascii="仿宋_GB2312" w:eastAsia="仿宋_GB2312" w:hAnsi="仿宋" w:cs="仿宋" w:hint="eastAsia"/>
          <w:sz w:val="32"/>
          <w:szCs w:val="32"/>
        </w:rPr>
        <w:t>5、基金监督股</w:t>
      </w:r>
    </w:p>
    <w:p w:rsidR="003D6CB1" w:rsidRDefault="003D6CB1" w:rsidP="003D6CB1">
      <w:pPr>
        <w:pStyle w:val="a5"/>
        <w:widowControl/>
        <w:spacing w:beforeAutospacing="0" w:afterAutospacing="0" w:line="600" w:lineRule="exact"/>
        <w:ind w:firstLineChars="196" w:firstLine="630"/>
        <w:rPr>
          <w:rFonts w:ascii="黑体" w:eastAsia="黑体" w:hAnsi="黑体" w:cs="仿宋"/>
          <w:b/>
          <w:sz w:val="32"/>
          <w:szCs w:val="32"/>
        </w:rPr>
      </w:pPr>
      <w:r w:rsidRPr="003D6CB1">
        <w:rPr>
          <w:rFonts w:ascii="黑体" w:eastAsia="黑体" w:hAnsi="黑体" w:cs="仿宋" w:hint="eastAsia"/>
          <w:b/>
          <w:sz w:val="32"/>
          <w:szCs w:val="32"/>
        </w:rPr>
        <w:lastRenderedPageBreak/>
        <w:t>二、部门预算安排的总体情况</w:t>
      </w:r>
    </w:p>
    <w:p w:rsidR="005B15CD" w:rsidRPr="005B15CD" w:rsidRDefault="005B15CD" w:rsidP="005B15CD">
      <w:pPr>
        <w:ind w:firstLineChars="200" w:firstLine="640"/>
        <w:rPr>
          <w:rFonts w:ascii="仿宋_GB2312" w:eastAsia="仿宋_GB2312" w:hAnsi="仿宋" w:cs="仿宋"/>
          <w:kern w:val="0"/>
          <w:sz w:val="32"/>
          <w:szCs w:val="32"/>
        </w:rPr>
      </w:pPr>
      <w:r w:rsidRPr="003E227A">
        <w:rPr>
          <w:rFonts w:ascii="仿宋_GB2312" w:eastAsia="仿宋_GB2312" w:hAnsi="仿宋" w:cs="仿宋" w:hint="eastAsia"/>
          <w:kern w:val="0"/>
          <w:sz w:val="32"/>
          <w:szCs w:val="32"/>
        </w:rPr>
        <w:t>按照预算管理有关规定，目前我区部门预算的编制实行综合预算管理，即全部收入和支出都反映在预算中。</w:t>
      </w:r>
      <w:r w:rsidRPr="00471241">
        <w:rPr>
          <w:rFonts w:ascii="仿宋_GB2312" w:eastAsia="仿宋_GB2312" w:hAnsi="仿宋" w:cs="仿宋" w:hint="eastAsia"/>
          <w:kern w:val="0"/>
          <w:sz w:val="32"/>
          <w:szCs w:val="32"/>
        </w:rPr>
        <w:t>秦皇岛市</w:t>
      </w:r>
      <w:r w:rsidRPr="00F06B5F">
        <w:rPr>
          <w:rFonts w:ascii="仿宋_GB2312" w:eastAsia="仿宋_GB2312" w:hAnsi="仿宋" w:cs="仿宋" w:hint="eastAsia"/>
          <w:sz w:val="32"/>
          <w:szCs w:val="32"/>
        </w:rPr>
        <w:t>北戴河区人力资源和社会保障局</w:t>
      </w:r>
      <w:r w:rsidRPr="00471241">
        <w:rPr>
          <w:rFonts w:ascii="仿宋_GB2312" w:eastAsia="仿宋_GB2312" w:hAnsi="仿宋" w:cs="仿宋" w:hint="eastAsia"/>
          <w:kern w:val="0"/>
          <w:sz w:val="32"/>
          <w:szCs w:val="32"/>
        </w:rPr>
        <w:t>的收支都包含在部门预算中。</w:t>
      </w:r>
    </w:p>
    <w:p w:rsidR="003D6CB1" w:rsidRPr="00F06B5F" w:rsidRDefault="003D6CB1" w:rsidP="003D6CB1">
      <w:pPr>
        <w:widowControl/>
        <w:spacing w:line="600" w:lineRule="exact"/>
        <w:jc w:val="left"/>
        <w:rPr>
          <w:rFonts w:ascii="仿宋_GB2312" w:eastAsia="仿宋_GB2312" w:hAnsi="仿宋" w:cs="仿宋"/>
          <w:kern w:val="0"/>
          <w:sz w:val="32"/>
          <w:szCs w:val="32"/>
        </w:rPr>
      </w:pPr>
      <w:r w:rsidRPr="00F06B5F">
        <w:rPr>
          <w:rFonts w:ascii="仿宋_GB2312" w:eastAsia="仿宋_GB2312" w:hAnsi="仿宋" w:cs="仿宋" w:hint="eastAsia"/>
          <w:kern w:val="0"/>
          <w:sz w:val="32"/>
          <w:szCs w:val="32"/>
        </w:rPr>
        <w:t>1、收入说明</w:t>
      </w:r>
    </w:p>
    <w:p w:rsidR="003D6CB1" w:rsidRPr="00F06B5F" w:rsidRDefault="003D6CB1" w:rsidP="003D6CB1">
      <w:pPr>
        <w:widowControl/>
        <w:spacing w:line="600" w:lineRule="exact"/>
        <w:ind w:firstLineChars="200" w:firstLine="640"/>
        <w:jc w:val="left"/>
        <w:rPr>
          <w:rFonts w:ascii="仿宋_GB2312" w:eastAsia="仿宋_GB2312" w:hAnsi="仿宋" w:cs="仿宋"/>
          <w:kern w:val="0"/>
          <w:sz w:val="32"/>
          <w:szCs w:val="32"/>
        </w:rPr>
      </w:pPr>
      <w:r w:rsidRPr="00F06B5F">
        <w:rPr>
          <w:rFonts w:ascii="仿宋_GB2312" w:eastAsia="仿宋_GB2312" w:hAnsi="仿宋" w:cs="仿宋" w:hint="eastAsia"/>
          <w:kern w:val="0"/>
          <w:sz w:val="32"/>
          <w:szCs w:val="32"/>
        </w:rPr>
        <w:t>反映本部门当年全部收入。2018年预算收入501.95万元，其中：一般公共预算收入501.95万元，事业收入0万元，其他收入0万元。</w:t>
      </w:r>
    </w:p>
    <w:p w:rsidR="003D6CB1" w:rsidRPr="00F06B5F" w:rsidRDefault="003D6CB1" w:rsidP="003D6CB1">
      <w:pPr>
        <w:widowControl/>
        <w:spacing w:line="600" w:lineRule="exact"/>
        <w:jc w:val="left"/>
        <w:rPr>
          <w:rFonts w:ascii="仿宋_GB2312" w:eastAsia="仿宋_GB2312" w:hAnsi="仿宋" w:cs="仿宋"/>
          <w:kern w:val="0"/>
          <w:sz w:val="32"/>
          <w:szCs w:val="32"/>
        </w:rPr>
      </w:pPr>
      <w:r w:rsidRPr="00F06B5F">
        <w:rPr>
          <w:rFonts w:ascii="仿宋_GB2312" w:eastAsia="仿宋_GB2312" w:hAnsi="仿宋" w:cs="仿宋" w:hint="eastAsia"/>
          <w:kern w:val="0"/>
          <w:sz w:val="32"/>
          <w:szCs w:val="32"/>
        </w:rPr>
        <w:t>2、支出说明</w:t>
      </w:r>
    </w:p>
    <w:p w:rsidR="003D6CB1" w:rsidRPr="00F06B5F" w:rsidRDefault="005B15CD" w:rsidP="003D6CB1">
      <w:pPr>
        <w:pStyle w:val="a5"/>
        <w:widowControl/>
        <w:spacing w:beforeAutospacing="0" w:afterAutospacing="0" w:line="600" w:lineRule="exact"/>
        <w:ind w:firstLineChars="200" w:firstLine="640"/>
        <w:rPr>
          <w:rFonts w:ascii="仿宋_GB2312" w:eastAsia="仿宋_GB2312" w:hAnsi="仿宋" w:cs="仿宋"/>
          <w:sz w:val="32"/>
          <w:szCs w:val="32"/>
        </w:rPr>
      </w:pPr>
      <w:r w:rsidRPr="003E227A">
        <w:rPr>
          <w:rFonts w:ascii="仿宋_GB2312" w:eastAsia="仿宋_GB2312" w:hAnsi="仿宋" w:cs="仿宋" w:hint="eastAsia"/>
          <w:sz w:val="32"/>
          <w:szCs w:val="32"/>
        </w:rPr>
        <w:t>收支预算总表支出栏、基本支出表、项目支出表按经济分类和支出功能分类科目编制，反映年度部门预算中支出预算的总体情况。</w:t>
      </w:r>
      <w:r w:rsidR="003D6CB1" w:rsidRPr="00F06B5F">
        <w:rPr>
          <w:rFonts w:ascii="仿宋_GB2312" w:eastAsia="仿宋_GB2312" w:hAnsi="仿宋" w:cs="仿宋" w:hint="eastAsia"/>
          <w:sz w:val="32"/>
          <w:szCs w:val="32"/>
        </w:rPr>
        <w:t>秦皇岛市北戴河区人力资源和社会保障局2018年度预算总体安排501.95万元。其中基本支出422.62万元 ；项目支出79.33万元，项目支出包括：</w:t>
      </w:r>
    </w:p>
    <w:p w:rsidR="003D6CB1" w:rsidRPr="00F06B5F" w:rsidRDefault="003D6CB1" w:rsidP="003D6CB1">
      <w:pPr>
        <w:pStyle w:val="a5"/>
        <w:widowControl/>
        <w:numPr>
          <w:ilvl w:val="0"/>
          <w:numId w:val="1"/>
        </w:numPr>
        <w:spacing w:beforeAutospacing="0" w:afterAutospacing="0" w:line="600" w:lineRule="exact"/>
        <w:ind w:firstLineChars="200" w:firstLine="640"/>
        <w:rPr>
          <w:rFonts w:ascii="仿宋_GB2312" w:eastAsia="仿宋_GB2312" w:hAnsi="仿宋" w:cs="仿宋"/>
          <w:sz w:val="32"/>
          <w:szCs w:val="32"/>
        </w:rPr>
      </w:pPr>
      <w:r w:rsidRPr="00F06B5F">
        <w:rPr>
          <w:rFonts w:ascii="仿宋_GB2312" w:eastAsia="仿宋_GB2312" w:hAnsi="仿宋" w:cs="仿宋" w:hint="eastAsia"/>
          <w:sz w:val="32"/>
          <w:szCs w:val="32"/>
        </w:rPr>
        <w:t>劳动监察仲裁工作经费7万元</w:t>
      </w:r>
    </w:p>
    <w:p w:rsidR="003D6CB1" w:rsidRPr="00F06B5F" w:rsidRDefault="003D6CB1" w:rsidP="003D6CB1">
      <w:pPr>
        <w:pStyle w:val="a5"/>
        <w:widowControl/>
        <w:numPr>
          <w:ilvl w:val="0"/>
          <w:numId w:val="1"/>
        </w:numPr>
        <w:spacing w:beforeAutospacing="0" w:afterAutospacing="0" w:line="600" w:lineRule="exact"/>
        <w:ind w:firstLineChars="200" w:firstLine="640"/>
        <w:rPr>
          <w:rFonts w:ascii="仿宋_GB2312" w:eastAsia="仿宋_GB2312" w:hAnsi="仿宋" w:cs="仿宋"/>
          <w:sz w:val="32"/>
          <w:szCs w:val="32"/>
        </w:rPr>
      </w:pPr>
      <w:r w:rsidRPr="00F06B5F">
        <w:rPr>
          <w:rFonts w:ascii="仿宋_GB2312" w:eastAsia="仿宋_GB2312" w:hAnsi="仿宋" w:cs="仿宋" w:hint="eastAsia"/>
          <w:sz w:val="32"/>
          <w:szCs w:val="32"/>
        </w:rPr>
        <w:t>劳务派遣工作人员费用19.54万元</w:t>
      </w:r>
    </w:p>
    <w:p w:rsidR="003D6CB1" w:rsidRPr="00F06B5F" w:rsidRDefault="003D6CB1" w:rsidP="003D6CB1">
      <w:pPr>
        <w:pStyle w:val="a5"/>
        <w:widowControl/>
        <w:numPr>
          <w:ilvl w:val="0"/>
          <w:numId w:val="1"/>
        </w:numPr>
        <w:spacing w:beforeAutospacing="0" w:afterAutospacing="0" w:line="600" w:lineRule="exact"/>
        <w:ind w:firstLineChars="200" w:firstLine="640"/>
        <w:rPr>
          <w:rFonts w:ascii="仿宋_GB2312" w:eastAsia="仿宋_GB2312" w:hAnsi="仿宋" w:cs="仿宋"/>
          <w:sz w:val="32"/>
          <w:szCs w:val="32"/>
        </w:rPr>
      </w:pPr>
      <w:r w:rsidRPr="00F06B5F">
        <w:rPr>
          <w:rFonts w:ascii="仿宋_GB2312" w:eastAsia="仿宋_GB2312" w:hAnsi="仿宋" w:cs="仿宋" w:hint="eastAsia"/>
          <w:sz w:val="32"/>
          <w:szCs w:val="32"/>
        </w:rPr>
        <w:t>数据库、网络、社保卡服务点维修管理费25万元</w:t>
      </w:r>
    </w:p>
    <w:p w:rsidR="003D6CB1" w:rsidRPr="00F06B5F" w:rsidRDefault="003D6CB1" w:rsidP="003D6CB1">
      <w:pPr>
        <w:pStyle w:val="a5"/>
        <w:widowControl/>
        <w:numPr>
          <w:ilvl w:val="0"/>
          <w:numId w:val="1"/>
        </w:numPr>
        <w:spacing w:beforeAutospacing="0" w:afterAutospacing="0" w:line="600" w:lineRule="exact"/>
        <w:ind w:firstLineChars="200" w:firstLine="640"/>
        <w:rPr>
          <w:rFonts w:ascii="仿宋_GB2312" w:eastAsia="仿宋_GB2312" w:hAnsi="仿宋" w:cs="仿宋"/>
          <w:sz w:val="32"/>
          <w:szCs w:val="32"/>
        </w:rPr>
      </w:pPr>
      <w:r w:rsidRPr="00F06B5F">
        <w:rPr>
          <w:rFonts w:ascii="仿宋_GB2312" w:eastAsia="仿宋_GB2312" w:hAnsi="仿宋" w:cs="仿宋" w:hint="eastAsia"/>
          <w:sz w:val="32"/>
          <w:szCs w:val="32"/>
        </w:rPr>
        <w:t>公务员培训费3万元</w:t>
      </w:r>
    </w:p>
    <w:p w:rsidR="003D6CB1" w:rsidRPr="00F06B5F" w:rsidRDefault="003D6CB1" w:rsidP="003D6CB1">
      <w:pPr>
        <w:pStyle w:val="a5"/>
        <w:widowControl/>
        <w:numPr>
          <w:ilvl w:val="0"/>
          <w:numId w:val="1"/>
        </w:numPr>
        <w:spacing w:beforeAutospacing="0" w:afterAutospacing="0" w:line="600" w:lineRule="exact"/>
        <w:ind w:firstLineChars="200" w:firstLine="640"/>
        <w:rPr>
          <w:rFonts w:ascii="仿宋_GB2312" w:eastAsia="仿宋_GB2312" w:hAnsi="仿宋" w:cs="仿宋"/>
          <w:sz w:val="32"/>
          <w:szCs w:val="32"/>
        </w:rPr>
      </w:pPr>
      <w:r w:rsidRPr="00F06B5F">
        <w:rPr>
          <w:rFonts w:ascii="仿宋_GB2312" w:eastAsia="仿宋_GB2312" w:hAnsi="仿宋" w:cs="仿宋" w:hint="eastAsia"/>
          <w:sz w:val="32"/>
          <w:szCs w:val="32"/>
        </w:rPr>
        <w:t xml:space="preserve">企业退休军转干部养老金补贴及体检费19.19万元  </w:t>
      </w:r>
    </w:p>
    <w:p w:rsidR="003D6CB1" w:rsidRPr="00F06B5F" w:rsidRDefault="003D6CB1" w:rsidP="003D6CB1">
      <w:pPr>
        <w:pStyle w:val="a5"/>
        <w:widowControl/>
        <w:numPr>
          <w:ilvl w:val="0"/>
          <w:numId w:val="1"/>
        </w:numPr>
        <w:spacing w:beforeAutospacing="0" w:afterAutospacing="0" w:line="600" w:lineRule="exact"/>
        <w:ind w:firstLineChars="200" w:firstLine="640"/>
        <w:rPr>
          <w:rFonts w:ascii="仿宋_GB2312" w:eastAsia="仿宋_GB2312" w:hAnsi="仿宋" w:cs="仿宋"/>
          <w:sz w:val="32"/>
          <w:szCs w:val="32"/>
        </w:rPr>
      </w:pPr>
      <w:r w:rsidRPr="00F06B5F">
        <w:rPr>
          <w:rFonts w:ascii="仿宋_GB2312" w:eastAsia="仿宋_GB2312" w:hAnsi="仿宋" w:cs="仿宋" w:hint="eastAsia"/>
          <w:sz w:val="32"/>
          <w:szCs w:val="32"/>
        </w:rPr>
        <w:t>人才档案管理经费5.6万元。</w:t>
      </w:r>
    </w:p>
    <w:p w:rsidR="003D6CB1" w:rsidRPr="00F06B5F" w:rsidRDefault="003D6CB1" w:rsidP="003D6CB1">
      <w:pPr>
        <w:widowControl/>
        <w:spacing w:line="600" w:lineRule="exact"/>
        <w:jc w:val="left"/>
        <w:rPr>
          <w:rFonts w:ascii="仿宋_GB2312" w:eastAsia="仿宋_GB2312" w:hAnsi="仿宋" w:cs="仿宋"/>
          <w:kern w:val="0"/>
          <w:sz w:val="32"/>
          <w:szCs w:val="32"/>
        </w:rPr>
      </w:pPr>
      <w:r w:rsidRPr="00F06B5F">
        <w:rPr>
          <w:rFonts w:ascii="仿宋_GB2312" w:eastAsia="仿宋_GB2312" w:hAnsi="仿宋" w:cs="仿宋" w:hint="eastAsia"/>
          <w:kern w:val="0"/>
          <w:sz w:val="32"/>
          <w:szCs w:val="32"/>
        </w:rPr>
        <w:lastRenderedPageBreak/>
        <w:t>3、比上年增减情况</w:t>
      </w:r>
    </w:p>
    <w:p w:rsidR="003D6CB1" w:rsidRPr="00F06B5F" w:rsidRDefault="003D6CB1" w:rsidP="003D6CB1">
      <w:pPr>
        <w:pStyle w:val="a5"/>
        <w:widowControl/>
        <w:spacing w:beforeAutospacing="0" w:afterAutospacing="0" w:line="600" w:lineRule="exact"/>
        <w:ind w:firstLineChars="200" w:firstLine="640"/>
        <w:rPr>
          <w:rFonts w:ascii="仿宋_GB2312" w:eastAsia="仿宋_GB2312" w:hAnsi="仿宋" w:cs="仿宋"/>
          <w:sz w:val="32"/>
          <w:szCs w:val="32"/>
        </w:rPr>
      </w:pPr>
      <w:r w:rsidRPr="00F06B5F">
        <w:rPr>
          <w:rFonts w:ascii="仿宋_GB2312" w:eastAsia="仿宋_GB2312" w:hAnsi="仿宋" w:cs="仿宋" w:hint="eastAsia"/>
          <w:sz w:val="32"/>
          <w:szCs w:val="32"/>
        </w:rPr>
        <w:t>2018年预算收支安排501.95万元，较2017年预算减少5.24万元，主要原因为项目支出减少。其中，基本支出增加了8.03万元，主要原因为增加人员经费支出；项目支出减少13.27万元，主要原因减少办公楼维修费项目支出。</w:t>
      </w:r>
    </w:p>
    <w:p w:rsidR="003D6CB1" w:rsidRPr="003D6CB1" w:rsidRDefault="003D6CB1" w:rsidP="003D6CB1">
      <w:pPr>
        <w:pStyle w:val="a5"/>
        <w:widowControl/>
        <w:spacing w:beforeAutospacing="0" w:afterAutospacing="0" w:line="600" w:lineRule="exact"/>
        <w:ind w:firstLineChars="196" w:firstLine="630"/>
        <w:rPr>
          <w:rFonts w:ascii="黑体" w:eastAsia="黑体" w:hAnsi="黑体" w:cs="仿宋"/>
          <w:b/>
          <w:sz w:val="32"/>
          <w:szCs w:val="32"/>
        </w:rPr>
      </w:pPr>
      <w:r w:rsidRPr="003D6CB1">
        <w:rPr>
          <w:rFonts w:ascii="黑体" w:eastAsia="黑体" w:hAnsi="黑体" w:cs="仿宋" w:hint="eastAsia"/>
          <w:b/>
          <w:sz w:val="32"/>
          <w:szCs w:val="32"/>
        </w:rPr>
        <w:t>三、机关运行经费安排情况</w:t>
      </w:r>
    </w:p>
    <w:p w:rsidR="003D6CB1" w:rsidRPr="00F06B5F" w:rsidRDefault="003D6CB1" w:rsidP="003D6CB1">
      <w:pPr>
        <w:pStyle w:val="a5"/>
        <w:widowControl/>
        <w:spacing w:beforeAutospacing="0" w:afterAutospacing="0" w:line="600" w:lineRule="exact"/>
        <w:ind w:firstLineChars="200" w:firstLine="640"/>
        <w:rPr>
          <w:rFonts w:ascii="仿宋_GB2312" w:eastAsia="仿宋_GB2312" w:hAnsi="仿宋" w:cs="仿宋"/>
          <w:sz w:val="32"/>
          <w:szCs w:val="32"/>
        </w:rPr>
      </w:pPr>
      <w:r w:rsidRPr="00F06B5F">
        <w:rPr>
          <w:rFonts w:ascii="仿宋_GB2312" w:eastAsia="仿宋_GB2312" w:hAnsi="仿宋" w:cs="仿宋" w:hint="eastAsia"/>
          <w:sz w:val="32"/>
          <w:szCs w:val="32"/>
        </w:rPr>
        <w:t>2018年秦皇岛市北戴河区人力资源和社会保障局机关运行经费支出75.6万元，其中办公费13.40 万元、邮电费6.83万元、水费3.30万元、电费10万元、福利费2.05万元、办公楼取暖费12.70万元、物业管理费10万元、差旅费1万元、公务用车运行维护费2.5万元、离退休干部经费1.24万元、公务交通补贴6.72万元、工会经费3.35万元、培训费2.51万元。</w:t>
      </w:r>
    </w:p>
    <w:p w:rsidR="003D6CB1" w:rsidRPr="003D6CB1" w:rsidRDefault="003D6CB1" w:rsidP="003D6CB1">
      <w:pPr>
        <w:pStyle w:val="a5"/>
        <w:widowControl/>
        <w:spacing w:beforeAutospacing="0" w:afterAutospacing="0" w:line="600" w:lineRule="exact"/>
        <w:ind w:firstLineChars="196" w:firstLine="630"/>
        <w:rPr>
          <w:rFonts w:ascii="黑体" w:eastAsia="黑体" w:hAnsi="黑体" w:cs="仿宋"/>
          <w:b/>
          <w:sz w:val="32"/>
          <w:szCs w:val="32"/>
        </w:rPr>
      </w:pPr>
      <w:r w:rsidRPr="003D6CB1">
        <w:rPr>
          <w:rFonts w:ascii="黑体" w:eastAsia="黑体" w:hAnsi="黑体" w:cs="仿宋" w:hint="eastAsia"/>
          <w:b/>
          <w:sz w:val="32"/>
          <w:szCs w:val="32"/>
        </w:rPr>
        <w:t>四、财政拨款“三公”经费预算情况及增减变化原因</w:t>
      </w:r>
    </w:p>
    <w:p w:rsidR="003D6CB1" w:rsidRDefault="003D6CB1" w:rsidP="003D6CB1">
      <w:pPr>
        <w:pStyle w:val="a5"/>
        <w:widowControl/>
        <w:spacing w:beforeAutospacing="0" w:afterAutospacing="0" w:line="600" w:lineRule="exact"/>
        <w:ind w:firstLineChars="200" w:firstLine="640"/>
        <w:rPr>
          <w:rFonts w:ascii="仿宋_GB2312" w:eastAsia="仿宋_GB2312" w:hAnsi="仿宋" w:cs="仿宋"/>
          <w:sz w:val="32"/>
          <w:szCs w:val="32"/>
        </w:rPr>
      </w:pPr>
      <w:r w:rsidRPr="00F06B5F">
        <w:rPr>
          <w:rFonts w:ascii="仿宋_GB2312" w:eastAsia="仿宋_GB2312" w:hAnsi="仿宋" w:cs="仿宋" w:hint="eastAsia"/>
          <w:sz w:val="32"/>
          <w:szCs w:val="32"/>
        </w:rPr>
        <w:t>秦皇岛市北戴河区人力资源和社会保障局2018年度“三公”经费财政拨款支出预算为2.5万元，比上年减少2.5万元，降低50%。2018年度“三公”经费财政拨款支出预算中，因公出国费我单位未安排此项支出，公务用车购置及运行费2.5万元，其中公务用车购置费我单位无此项支出，公务用车运行费支出2.5万元，占100%，公务接待费支出0万元。</w:t>
      </w:r>
    </w:p>
    <w:p w:rsidR="005B15CD" w:rsidRPr="003D6CB1" w:rsidRDefault="005B15CD" w:rsidP="003D6CB1">
      <w:pPr>
        <w:pStyle w:val="a5"/>
        <w:widowControl/>
        <w:spacing w:beforeAutospacing="0" w:afterAutospacing="0" w:line="600" w:lineRule="exact"/>
        <w:ind w:firstLineChars="200" w:firstLine="640"/>
        <w:rPr>
          <w:rFonts w:ascii="仿宋_GB2312" w:eastAsia="仿宋_GB2312" w:hAnsi="仿宋" w:cs="仿宋"/>
          <w:sz w:val="32"/>
          <w:szCs w:val="32"/>
        </w:rPr>
      </w:pPr>
      <w:r w:rsidRPr="00471241">
        <w:rPr>
          <w:rFonts w:ascii="仿宋_GB2312" w:eastAsia="仿宋_GB2312" w:hAnsi="仿宋" w:cs="仿宋" w:hint="eastAsia"/>
          <w:sz w:val="32"/>
          <w:szCs w:val="32"/>
        </w:rPr>
        <w:lastRenderedPageBreak/>
        <w:t>2018年度“三公”经费预算支出与上年持平的主要原因：一是严格落实党政机关厉行节约、反对浪费条例规定，加强支出管理，强化预算约束，节约了经费开支；二是贯彻落实公务用车制度改革精神，尽量压缩公务用车运行维护费。</w:t>
      </w:r>
    </w:p>
    <w:p w:rsidR="00C37DE2" w:rsidRPr="003D6CB1" w:rsidRDefault="003D6CB1" w:rsidP="003D6CB1">
      <w:pPr>
        <w:pStyle w:val="a5"/>
        <w:widowControl/>
        <w:spacing w:beforeAutospacing="0" w:afterAutospacing="0" w:line="600" w:lineRule="exact"/>
        <w:ind w:firstLineChars="196" w:firstLine="630"/>
        <w:rPr>
          <w:rFonts w:ascii="黑体" w:eastAsia="黑体" w:hAnsi="黑体" w:cs="仿宋"/>
          <w:b/>
          <w:sz w:val="32"/>
          <w:szCs w:val="32"/>
        </w:rPr>
      </w:pPr>
      <w:r w:rsidRPr="003D6CB1">
        <w:rPr>
          <w:rFonts w:ascii="黑体" w:eastAsia="黑体" w:hAnsi="黑体" w:cs="仿宋" w:hint="eastAsia"/>
          <w:b/>
          <w:sz w:val="32"/>
          <w:szCs w:val="32"/>
        </w:rPr>
        <w:t>五</w:t>
      </w:r>
      <w:r w:rsidR="00F008CE" w:rsidRPr="003D6CB1">
        <w:rPr>
          <w:rFonts w:ascii="黑体" w:eastAsia="黑体" w:hAnsi="黑体" w:cs="仿宋" w:hint="eastAsia"/>
          <w:b/>
          <w:sz w:val="32"/>
          <w:szCs w:val="32"/>
        </w:rPr>
        <w:t>、绩效预算信息</w:t>
      </w:r>
    </w:p>
    <w:p w:rsidR="00C37DE2" w:rsidRPr="00F06B5F" w:rsidRDefault="00F008CE" w:rsidP="00F06B5F">
      <w:pPr>
        <w:widowControl/>
        <w:spacing w:line="600" w:lineRule="exact"/>
        <w:ind w:left="200" w:firstLine="480"/>
        <w:jc w:val="left"/>
        <w:rPr>
          <w:rFonts w:ascii="仿宋_GB2312" w:eastAsia="仿宋_GB2312" w:hAnsi="仿宋" w:cs="仿宋"/>
          <w:kern w:val="0"/>
          <w:sz w:val="32"/>
          <w:szCs w:val="32"/>
        </w:rPr>
      </w:pPr>
      <w:r w:rsidRPr="00F06B5F">
        <w:rPr>
          <w:rFonts w:ascii="仿宋_GB2312" w:eastAsia="仿宋_GB2312" w:hAnsi="仿宋" w:cs="仿宋" w:hint="eastAsia"/>
          <w:bCs/>
          <w:kern w:val="0"/>
          <w:sz w:val="32"/>
          <w:szCs w:val="32"/>
        </w:rPr>
        <w:t>总体绩效目标:</w:t>
      </w:r>
    </w:p>
    <w:p w:rsidR="00C37DE2" w:rsidRDefault="00F008CE" w:rsidP="00F06B5F">
      <w:pPr>
        <w:widowControl/>
        <w:spacing w:line="600" w:lineRule="exact"/>
        <w:ind w:left="200" w:firstLine="480"/>
        <w:jc w:val="left"/>
        <w:rPr>
          <w:rFonts w:ascii="仿宋_GB2312" w:eastAsia="仿宋_GB2312" w:hAnsi="仿宋" w:cs="仿宋"/>
          <w:kern w:val="0"/>
          <w:sz w:val="32"/>
          <w:szCs w:val="32"/>
          <w:lang w:val="zh-CN"/>
        </w:rPr>
      </w:pPr>
      <w:r w:rsidRPr="00F06B5F">
        <w:rPr>
          <w:rFonts w:ascii="仿宋_GB2312" w:eastAsia="仿宋_GB2312" w:hAnsi="仿宋" w:cs="仿宋" w:hint="eastAsia"/>
          <w:kern w:val="0"/>
          <w:sz w:val="32"/>
          <w:szCs w:val="32"/>
          <w:lang w:val="zh-CN"/>
        </w:rPr>
        <w:t>全面贯彻党的十九大精神和习近平总书记系列重要讲话精神，围绕“民生为本、人才优先”工作主线，更加注重服务转型发展，更加注重全面深化改革，更加注重保障改善民生，更加注重维护社会稳定，统筹做好就业创业、社会保障、人才队伍建设、人事制度改革、收入分配、劳动关系等各项工作，为圆满完成“十三五”发展目标，建设滨海强区、健康之都提供人才智力支撑和公共服务保障。</w:t>
      </w:r>
    </w:p>
    <w:p w:rsidR="005B15CD" w:rsidRPr="005B15CD" w:rsidRDefault="005B15CD" w:rsidP="005B15CD">
      <w:pPr>
        <w:widowControl/>
        <w:spacing w:line="600" w:lineRule="exact"/>
        <w:ind w:left="200" w:firstLine="480"/>
        <w:jc w:val="left"/>
        <w:rPr>
          <w:rFonts w:ascii="仿宋_GB2312" w:eastAsia="仿宋_GB2312" w:hAnsi="仿宋" w:cs="仿宋"/>
          <w:kern w:val="0"/>
          <w:sz w:val="32"/>
          <w:szCs w:val="32"/>
          <w:lang w:val="zh-CN"/>
        </w:rPr>
      </w:pPr>
      <w:r w:rsidRPr="005B15CD">
        <w:rPr>
          <w:rFonts w:ascii="仿宋_GB2312" w:eastAsia="仿宋_GB2312" w:hAnsi="仿宋" w:cs="仿宋" w:hint="eastAsia"/>
          <w:kern w:val="0"/>
          <w:sz w:val="32"/>
          <w:szCs w:val="32"/>
          <w:lang w:val="zh-CN"/>
        </w:rPr>
        <w:t>职责分类绩效目标：</w:t>
      </w:r>
    </w:p>
    <w:p w:rsidR="005B15CD" w:rsidRPr="005B15CD" w:rsidRDefault="005B15CD" w:rsidP="005B15CD">
      <w:pPr>
        <w:widowControl/>
        <w:spacing w:line="600" w:lineRule="exact"/>
        <w:ind w:left="200" w:firstLine="480"/>
        <w:jc w:val="left"/>
        <w:rPr>
          <w:rFonts w:ascii="仿宋_GB2312" w:eastAsia="仿宋_GB2312" w:hAnsi="仿宋" w:cs="仿宋"/>
          <w:kern w:val="0"/>
          <w:sz w:val="32"/>
          <w:szCs w:val="32"/>
          <w:lang w:val="zh-CN"/>
        </w:rPr>
      </w:pPr>
      <w:r>
        <w:rPr>
          <w:rFonts w:ascii="仿宋_GB2312" w:eastAsia="仿宋_GB2312" w:hAnsi="仿宋" w:cs="仿宋" w:hint="eastAsia"/>
          <w:kern w:val="0"/>
          <w:sz w:val="32"/>
          <w:szCs w:val="32"/>
          <w:lang w:val="zh-CN"/>
        </w:rPr>
        <w:t>1、</w:t>
      </w:r>
      <w:r w:rsidRPr="005B15CD">
        <w:rPr>
          <w:rFonts w:ascii="仿宋_GB2312" w:eastAsia="仿宋_GB2312" w:hAnsi="仿宋" w:cs="仿宋" w:hint="eastAsia"/>
          <w:kern w:val="0"/>
          <w:sz w:val="32"/>
          <w:szCs w:val="32"/>
          <w:lang w:val="zh-CN"/>
        </w:rPr>
        <w:t>以科学规范为根本，进一步加强人事管理</w:t>
      </w:r>
      <w:r>
        <w:rPr>
          <w:rFonts w:ascii="仿宋_GB2312" w:eastAsia="仿宋_GB2312" w:hAnsi="仿宋" w:cs="仿宋" w:hint="eastAsia"/>
          <w:kern w:val="0"/>
          <w:sz w:val="32"/>
          <w:szCs w:val="32"/>
          <w:lang w:val="zh-CN"/>
        </w:rPr>
        <w:t>。补充新鲜血液，提升整体素质；</w:t>
      </w:r>
      <w:r w:rsidRPr="005B15CD">
        <w:rPr>
          <w:rFonts w:ascii="仿宋_GB2312" w:eastAsia="仿宋_GB2312" w:hAnsi="仿宋" w:cs="仿宋" w:hint="eastAsia"/>
          <w:kern w:val="0"/>
          <w:sz w:val="32"/>
          <w:szCs w:val="32"/>
          <w:lang w:val="zh-CN"/>
        </w:rPr>
        <w:t>强化监督考核，规范人事管理</w:t>
      </w:r>
      <w:r>
        <w:rPr>
          <w:rFonts w:ascii="仿宋_GB2312" w:eastAsia="仿宋_GB2312" w:hAnsi="仿宋" w:cs="仿宋" w:hint="eastAsia"/>
          <w:kern w:val="0"/>
          <w:sz w:val="32"/>
          <w:szCs w:val="32"/>
          <w:lang w:val="zh-CN"/>
        </w:rPr>
        <w:t>；</w:t>
      </w:r>
      <w:r w:rsidRPr="005B15CD">
        <w:rPr>
          <w:rFonts w:ascii="仿宋_GB2312" w:eastAsia="仿宋_GB2312" w:hAnsi="仿宋" w:cs="仿宋" w:hint="eastAsia"/>
          <w:kern w:val="0"/>
          <w:sz w:val="32"/>
          <w:szCs w:val="32"/>
          <w:lang w:val="zh-CN"/>
        </w:rPr>
        <w:t>落实政策规定，审批工资福利</w:t>
      </w:r>
      <w:r>
        <w:rPr>
          <w:rFonts w:ascii="仿宋_GB2312" w:eastAsia="仿宋_GB2312" w:hAnsi="仿宋" w:cs="仿宋" w:hint="eastAsia"/>
          <w:kern w:val="0"/>
          <w:sz w:val="32"/>
          <w:szCs w:val="32"/>
          <w:lang w:val="zh-CN"/>
        </w:rPr>
        <w:t>；</w:t>
      </w:r>
      <w:r w:rsidRPr="005B15CD">
        <w:rPr>
          <w:rFonts w:ascii="仿宋_GB2312" w:eastAsia="仿宋_GB2312" w:hAnsi="仿宋" w:cs="仿宋" w:hint="eastAsia"/>
          <w:kern w:val="0"/>
          <w:sz w:val="32"/>
          <w:szCs w:val="32"/>
          <w:lang w:val="zh-CN"/>
        </w:rPr>
        <w:t>提升管理能力，拓宽服务范围。</w:t>
      </w:r>
    </w:p>
    <w:p w:rsidR="005B15CD" w:rsidRDefault="005B15CD" w:rsidP="005B15CD">
      <w:pPr>
        <w:widowControl/>
        <w:spacing w:line="600" w:lineRule="exact"/>
        <w:ind w:left="200" w:firstLine="480"/>
        <w:jc w:val="left"/>
        <w:rPr>
          <w:rFonts w:ascii="仿宋_GB2312" w:eastAsia="仿宋_GB2312" w:hAnsi="仿宋" w:cs="仿宋"/>
          <w:kern w:val="0"/>
          <w:sz w:val="32"/>
          <w:szCs w:val="32"/>
          <w:lang w:val="zh-CN"/>
        </w:rPr>
      </w:pPr>
      <w:r>
        <w:rPr>
          <w:rFonts w:ascii="仿宋_GB2312" w:eastAsia="仿宋_GB2312" w:hAnsi="仿宋" w:cs="仿宋" w:hint="eastAsia"/>
          <w:kern w:val="0"/>
          <w:sz w:val="32"/>
          <w:szCs w:val="32"/>
          <w:lang w:val="zh-CN"/>
        </w:rPr>
        <w:t>2、</w:t>
      </w:r>
      <w:r w:rsidRPr="005B15CD">
        <w:rPr>
          <w:rFonts w:ascii="仿宋_GB2312" w:eastAsia="仿宋_GB2312" w:hAnsi="仿宋" w:cs="仿宋" w:hint="eastAsia"/>
          <w:kern w:val="0"/>
          <w:sz w:val="32"/>
          <w:szCs w:val="32"/>
          <w:lang w:val="zh-CN"/>
        </w:rPr>
        <w:t>以依法调整为手段，着力构建和谐稳定劳动关系</w:t>
      </w:r>
      <w:r>
        <w:rPr>
          <w:rFonts w:ascii="仿宋_GB2312" w:eastAsia="仿宋_GB2312" w:hAnsi="仿宋" w:cs="仿宋" w:hint="eastAsia"/>
          <w:kern w:val="0"/>
          <w:sz w:val="32"/>
          <w:szCs w:val="32"/>
          <w:lang w:val="zh-CN"/>
        </w:rPr>
        <w:t>。</w:t>
      </w:r>
    </w:p>
    <w:p w:rsidR="005B15CD" w:rsidRPr="005B15CD" w:rsidRDefault="005B15CD" w:rsidP="005B15CD">
      <w:pPr>
        <w:widowControl/>
        <w:spacing w:line="600" w:lineRule="exact"/>
        <w:ind w:left="200" w:firstLine="480"/>
        <w:jc w:val="left"/>
        <w:rPr>
          <w:rFonts w:ascii="仿宋_GB2312" w:eastAsia="仿宋_GB2312" w:hAnsi="仿宋" w:cs="仿宋"/>
          <w:kern w:val="0"/>
          <w:sz w:val="32"/>
          <w:szCs w:val="32"/>
          <w:lang w:val="zh-CN"/>
        </w:rPr>
      </w:pPr>
      <w:r>
        <w:rPr>
          <w:rFonts w:ascii="仿宋_GB2312" w:eastAsia="仿宋_GB2312" w:hAnsi="仿宋" w:cs="仿宋" w:hint="eastAsia"/>
          <w:kern w:val="0"/>
          <w:sz w:val="32"/>
          <w:szCs w:val="32"/>
          <w:lang w:val="zh-CN"/>
        </w:rPr>
        <w:t>3、</w:t>
      </w:r>
      <w:r w:rsidRPr="005B15CD">
        <w:rPr>
          <w:rFonts w:ascii="仿宋_GB2312" w:eastAsia="仿宋_GB2312" w:hAnsi="仿宋" w:cs="仿宋" w:hint="eastAsia"/>
          <w:kern w:val="0"/>
          <w:sz w:val="32"/>
          <w:szCs w:val="32"/>
          <w:lang w:val="zh-CN"/>
        </w:rPr>
        <w:t>以服务均等化为目标，大力推进基础能力建设</w:t>
      </w:r>
      <w:r>
        <w:rPr>
          <w:rFonts w:ascii="仿宋_GB2312" w:eastAsia="仿宋_GB2312" w:hAnsi="仿宋" w:cs="仿宋" w:hint="eastAsia"/>
          <w:kern w:val="0"/>
          <w:sz w:val="32"/>
          <w:szCs w:val="32"/>
          <w:lang w:val="zh-CN"/>
        </w:rPr>
        <w:t>。大力推进基层服务平台建设；大力推进信息化建设；</w:t>
      </w:r>
      <w:r w:rsidRPr="005B15CD">
        <w:rPr>
          <w:rFonts w:ascii="仿宋_GB2312" w:eastAsia="仿宋_GB2312" w:hAnsi="仿宋" w:cs="仿宋" w:hint="eastAsia"/>
          <w:kern w:val="0"/>
          <w:sz w:val="32"/>
          <w:szCs w:val="32"/>
          <w:lang w:val="zh-CN"/>
        </w:rPr>
        <w:t>大力推进基础数据建设</w:t>
      </w:r>
      <w:r>
        <w:rPr>
          <w:rFonts w:ascii="仿宋_GB2312" w:eastAsia="仿宋_GB2312" w:hAnsi="仿宋" w:cs="仿宋" w:hint="eastAsia"/>
          <w:kern w:val="0"/>
          <w:sz w:val="32"/>
          <w:szCs w:val="32"/>
          <w:lang w:val="zh-CN"/>
        </w:rPr>
        <w:t>；</w:t>
      </w:r>
      <w:r w:rsidRPr="005B15CD">
        <w:rPr>
          <w:rFonts w:ascii="仿宋_GB2312" w:eastAsia="仿宋_GB2312" w:hAnsi="仿宋" w:cs="仿宋" w:hint="eastAsia"/>
          <w:kern w:val="0"/>
          <w:sz w:val="32"/>
          <w:szCs w:val="32"/>
          <w:lang w:val="zh-CN"/>
        </w:rPr>
        <w:t>大力推进队伍素质建设。</w:t>
      </w:r>
    </w:p>
    <w:p w:rsidR="005B15CD" w:rsidRPr="005B15CD" w:rsidRDefault="005B15CD" w:rsidP="005B15CD">
      <w:pPr>
        <w:widowControl/>
        <w:spacing w:line="600" w:lineRule="exact"/>
        <w:ind w:firstLineChars="200" w:firstLine="640"/>
        <w:jc w:val="left"/>
        <w:rPr>
          <w:rFonts w:ascii="仿宋_GB2312" w:eastAsia="仿宋_GB2312" w:hAnsi="仿宋" w:cs="仿宋"/>
          <w:kern w:val="0"/>
          <w:sz w:val="32"/>
          <w:szCs w:val="32"/>
          <w:lang w:val="zh-CN"/>
        </w:rPr>
      </w:pPr>
      <w:r w:rsidRPr="005B15CD">
        <w:rPr>
          <w:rFonts w:ascii="仿宋_GB2312" w:eastAsia="仿宋_GB2312" w:hAnsi="仿宋" w:cs="仿宋" w:hint="eastAsia"/>
          <w:kern w:val="0"/>
          <w:sz w:val="32"/>
          <w:szCs w:val="32"/>
          <w:lang w:val="zh-CN"/>
        </w:rPr>
        <w:lastRenderedPageBreak/>
        <w:t>实现年度发展规划目标的保障措施</w:t>
      </w:r>
    </w:p>
    <w:p w:rsidR="005B15CD" w:rsidRPr="00F06B5F" w:rsidRDefault="005B15CD" w:rsidP="005B15CD">
      <w:pPr>
        <w:widowControl/>
        <w:spacing w:line="600" w:lineRule="exact"/>
        <w:ind w:left="200" w:firstLine="480"/>
        <w:jc w:val="left"/>
        <w:rPr>
          <w:rFonts w:ascii="仿宋_GB2312" w:eastAsia="仿宋_GB2312" w:hAnsi="仿宋" w:cs="仿宋"/>
          <w:kern w:val="0"/>
          <w:sz w:val="32"/>
          <w:szCs w:val="32"/>
          <w:lang w:val="zh-CN"/>
        </w:rPr>
      </w:pPr>
      <w:r w:rsidRPr="005B15CD">
        <w:rPr>
          <w:rFonts w:ascii="仿宋_GB2312" w:eastAsia="仿宋_GB2312" w:hAnsi="仿宋" w:cs="仿宋" w:hint="eastAsia"/>
          <w:kern w:val="0"/>
          <w:sz w:val="32"/>
          <w:szCs w:val="32"/>
          <w:lang w:val="zh-CN"/>
        </w:rPr>
        <w:t>（一）在人才队伍建设上下功夫，努力实现人才保证更加有力。（二）在人事制度改革上下功夫，努力实现人事制度更加完善。（三）在劳动维权上下功夫，努力实现劳动关系更加和谐。（四）加强基础和自身建设，全面提升服务水平和服务效能。</w:t>
      </w:r>
    </w:p>
    <w:p w:rsidR="00C37DE2" w:rsidRPr="00F06B5F" w:rsidRDefault="00F008CE" w:rsidP="00F06B5F">
      <w:pPr>
        <w:widowControl/>
        <w:spacing w:line="600" w:lineRule="exact"/>
        <w:ind w:firstLineChars="200" w:firstLine="640"/>
        <w:jc w:val="left"/>
        <w:rPr>
          <w:rFonts w:ascii="仿宋_GB2312" w:eastAsia="仿宋_GB2312" w:hAnsi="仿宋" w:cs="仿宋"/>
          <w:kern w:val="0"/>
          <w:sz w:val="32"/>
          <w:szCs w:val="32"/>
        </w:rPr>
      </w:pPr>
      <w:r w:rsidRPr="00F06B5F">
        <w:rPr>
          <w:rFonts w:ascii="仿宋_GB2312" w:eastAsia="仿宋_GB2312" w:hAnsi="仿宋" w:cs="仿宋" w:hint="eastAsia"/>
          <w:bCs/>
          <w:kern w:val="0"/>
          <w:sz w:val="32"/>
          <w:szCs w:val="32"/>
        </w:rPr>
        <w:t>部门职责及工作活动绩效目标:</w:t>
      </w:r>
    </w:p>
    <w:p w:rsidR="00C37DE2" w:rsidRPr="00F06B5F" w:rsidRDefault="00F008CE" w:rsidP="00F06B5F">
      <w:pPr>
        <w:spacing w:line="600" w:lineRule="exact"/>
        <w:jc w:val="center"/>
        <w:outlineLvl w:val="0"/>
        <w:rPr>
          <w:rFonts w:ascii="仿宋_GB2312" w:eastAsia="仿宋_GB2312"/>
          <w:sz w:val="32"/>
          <w:szCs w:val="32"/>
        </w:rPr>
      </w:pPr>
      <w:bookmarkStart w:id="0" w:name="_Toc476746261"/>
      <w:r w:rsidRPr="00F06B5F">
        <w:rPr>
          <w:rFonts w:ascii="仿宋_GB2312" w:eastAsia="仿宋_GB2312" w:hint="eastAsia"/>
          <w:sz w:val="32"/>
          <w:szCs w:val="32"/>
        </w:rPr>
        <w:t>部门职责-工作活动绩效目标</w:t>
      </w:r>
      <w:bookmarkEnd w:id="0"/>
    </w:p>
    <w:tbl>
      <w:tblPr>
        <w:tblW w:w="1393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2341"/>
        <w:gridCol w:w="1276"/>
        <w:gridCol w:w="2976"/>
        <w:gridCol w:w="2976"/>
        <w:gridCol w:w="1417"/>
        <w:gridCol w:w="737"/>
        <w:gridCol w:w="737"/>
        <w:gridCol w:w="737"/>
        <w:gridCol w:w="737"/>
      </w:tblGrid>
      <w:tr w:rsidR="00C37DE2" w:rsidRPr="00F06B5F">
        <w:trPr>
          <w:trHeight w:val="227"/>
          <w:tblHeader/>
          <w:jc w:val="center"/>
        </w:trPr>
        <w:tc>
          <w:tcPr>
            <w:tcW w:w="10986" w:type="dxa"/>
            <w:gridSpan w:val="5"/>
            <w:tcBorders>
              <w:top w:val="single" w:sz="6" w:space="0" w:color="FFFFFF"/>
              <w:left w:val="single" w:sz="6" w:space="0" w:color="FFFFFF"/>
              <w:right w:val="single" w:sz="6" w:space="0" w:color="FFFFFF"/>
            </w:tcBorders>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316人力资源事务</w:t>
            </w:r>
          </w:p>
        </w:tc>
        <w:tc>
          <w:tcPr>
            <w:tcW w:w="2948" w:type="dxa"/>
            <w:gridSpan w:val="4"/>
            <w:tcBorders>
              <w:top w:val="single" w:sz="6" w:space="0" w:color="FFFFFF"/>
              <w:left w:val="single" w:sz="6" w:space="0" w:color="FFFFFF"/>
              <w:right w:val="single" w:sz="6" w:space="0" w:color="FFFFFF"/>
            </w:tcBorders>
            <w:vAlign w:val="center"/>
          </w:tcPr>
          <w:p w:rsidR="00C37DE2" w:rsidRPr="00F06B5F" w:rsidRDefault="00F008CE" w:rsidP="00F06B5F">
            <w:pPr>
              <w:jc w:val="right"/>
              <w:rPr>
                <w:rFonts w:asciiTheme="minorEastAsia" w:eastAsiaTheme="minorEastAsia" w:hAnsiTheme="minorEastAsia" w:cs="宋体"/>
                <w:sz w:val="24"/>
              </w:rPr>
            </w:pPr>
            <w:r w:rsidRPr="00F06B5F">
              <w:rPr>
                <w:rFonts w:asciiTheme="minorEastAsia" w:eastAsiaTheme="minorEastAsia" w:hAnsiTheme="minorEastAsia" w:cs="宋体" w:hint="eastAsia"/>
                <w:sz w:val="24"/>
              </w:rPr>
              <w:t>单位：万元</w:t>
            </w:r>
          </w:p>
        </w:tc>
      </w:tr>
      <w:tr w:rsidR="00C37DE2" w:rsidRPr="00F06B5F">
        <w:trPr>
          <w:trHeight w:val="227"/>
          <w:tblHeader/>
          <w:jc w:val="center"/>
        </w:trPr>
        <w:tc>
          <w:tcPr>
            <w:tcW w:w="2341" w:type="dxa"/>
            <w:vMerge w:val="restart"/>
            <w:vAlign w:val="center"/>
          </w:tcPr>
          <w:p w:rsidR="00C37DE2" w:rsidRPr="00F06B5F" w:rsidRDefault="00F008CE" w:rsidP="00F06B5F">
            <w:pPr>
              <w:jc w:val="center"/>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职责活动</w:t>
            </w:r>
          </w:p>
        </w:tc>
        <w:tc>
          <w:tcPr>
            <w:tcW w:w="1276" w:type="dxa"/>
            <w:vMerge w:val="restart"/>
            <w:vAlign w:val="center"/>
          </w:tcPr>
          <w:p w:rsidR="00C37DE2" w:rsidRPr="00F06B5F" w:rsidRDefault="00F008CE" w:rsidP="00F06B5F">
            <w:pPr>
              <w:jc w:val="center"/>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年度预算数</w:t>
            </w:r>
          </w:p>
        </w:tc>
        <w:tc>
          <w:tcPr>
            <w:tcW w:w="2976" w:type="dxa"/>
            <w:vMerge w:val="restart"/>
            <w:vAlign w:val="center"/>
          </w:tcPr>
          <w:p w:rsidR="00C37DE2" w:rsidRPr="00F06B5F" w:rsidRDefault="00F008CE" w:rsidP="00F06B5F">
            <w:pPr>
              <w:jc w:val="center"/>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内容描述</w:t>
            </w:r>
          </w:p>
        </w:tc>
        <w:tc>
          <w:tcPr>
            <w:tcW w:w="2976" w:type="dxa"/>
            <w:vMerge w:val="restart"/>
            <w:vAlign w:val="center"/>
          </w:tcPr>
          <w:p w:rsidR="00C37DE2" w:rsidRPr="00F06B5F" w:rsidRDefault="00F008CE" w:rsidP="00F06B5F">
            <w:pPr>
              <w:jc w:val="center"/>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绩效目标</w:t>
            </w:r>
          </w:p>
        </w:tc>
        <w:tc>
          <w:tcPr>
            <w:tcW w:w="1417" w:type="dxa"/>
            <w:vMerge w:val="restart"/>
            <w:vAlign w:val="center"/>
          </w:tcPr>
          <w:p w:rsidR="00C37DE2" w:rsidRPr="00F06B5F" w:rsidRDefault="00F008CE" w:rsidP="00F06B5F">
            <w:pPr>
              <w:jc w:val="center"/>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绩效指标</w:t>
            </w:r>
          </w:p>
        </w:tc>
        <w:tc>
          <w:tcPr>
            <w:tcW w:w="2948" w:type="dxa"/>
            <w:gridSpan w:val="4"/>
            <w:vAlign w:val="center"/>
          </w:tcPr>
          <w:p w:rsidR="00C37DE2" w:rsidRPr="00F06B5F" w:rsidRDefault="00F008CE" w:rsidP="00F06B5F">
            <w:pPr>
              <w:jc w:val="center"/>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评价标准</w:t>
            </w:r>
          </w:p>
        </w:tc>
      </w:tr>
      <w:tr w:rsidR="00C37DE2" w:rsidRPr="00F06B5F">
        <w:trPr>
          <w:trHeight w:val="227"/>
          <w:tblHeader/>
          <w:jc w:val="center"/>
        </w:trPr>
        <w:tc>
          <w:tcPr>
            <w:tcW w:w="2341" w:type="dxa"/>
            <w:vMerge/>
            <w:vAlign w:val="center"/>
          </w:tcPr>
          <w:p w:rsidR="00C37DE2" w:rsidRPr="00F06B5F" w:rsidRDefault="00C37DE2" w:rsidP="00F06B5F">
            <w:pPr>
              <w:jc w:val="left"/>
              <w:outlineLvl w:val="0"/>
              <w:rPr>
                <w:rFonts w:asciiTheme="minorEastAsia" w:eastAsiaTheme="minorEastAsia" w:hAnsiTheme="minorEastAsia" w:cs="宋体"/>
                <w:sz w:val="24"/>
              </w:rPr>
            </w:pPr>
          </w:p>
        </w:tc>
        <w:tc>
          <w:tcPr>
            <w:tcW w:w="1276" w:type="dxa"/>
            <w:vMerge/>
            <w:vAlign w:val="center"/>
          </w:tcPr>
          <w:p w:rsidR="00C37DE2" w:rsidRPr="00F06B5F" w:rsidRDefault="00C37DE2" w:rsidP="00F06B5F">
            <w:pPr>
              <w:jc w:val="left"/>
              <w:outlineLvl w:val="0"/>
              <w:rPr>
                <w:rFonts w:asciiTheme="minorEastAsia" w:eastAsiaTheme="minorEastAsia" w:hAnsiTheme="minorEastAsia" w:cs="宋体"/>
                <w:sz w:val="24"/>
              </w:rPr>
            </w:pPr>
          </w:p>
        </w:tc>
        <w:tc>
          <w:tcPr>
            <w:tcW w:w="2976" w:type="dxa"/>
            <w:vMerge/>
            <w:vAlign w:val="center"/>
          </w:tcPr>
          <w:p w:rsidR="00C37DE2" w:rsidRPr="00F06B5F" w:rsidRDefault="00C37DE2" w:rsidP="00F06B5F">
            <w:pPr>
              <w:jc w:val="left"/>
              <w:outlineLvl w:val="0"/>
              <w:rPr>
                <w:rFonts w:asciiTheme="minorEastAsia" w:eastAsiaTheme="minorEastAsia" w:hAnsiTheme="minorEastAsia" w:cs="宋体"/>
                <w:sz w:val="24"/>
              </w:rPr>
            </w:pPr>
          </w:p>
        </w:tc>
        <w:tc>
          <w:tcPr>
            <w:tcW w:w="2976" w:type="dxa"/>
            <w:vMerge/>
            <w:vAlign w:val="center"/>
          </w:tcPr>
          <w:p w:rsidR="00C37DE2" w:rsidRPr="00F06B5F" w:rsidRDefault="00C37DE2" w:rsidP="00F06B5F">
            <w:pPr>
              <w:jc w:val="left"/>
              <w:outlineLvl w:val="0"/>
              <w:rPr>
                <w:rFonts w:asciiTheme="minorEastAsia" w:eastAsiaTheme="minorEastAsia" w:hAnsiTheme="minorEastAsia" w:cs="宋体"/>
                <w:sz w:val="24"/>
              </w:rPr>
            </w:pPr>
          </w:p>
        </w:tc>
        <w:tc>
          <w:tcPr>
            <w:tcW w:w="1417" w:type="dxa"/>
            <w:vMerge/>
            <w:vAlign w:val="center"/>
          </w:tcPr>
          <w:p w:rsidR="00C37DE2" w:rsidRPr="00F06B5F" w:rsidRDefault="00C37DE2" w:rsidP="00F06B5F">
            <w:pPr>
              <w:jc w:val="left"/>
              <w:outlineLvl w:val="0"/>
              <w:rPr>
                <w:rFonts w:asciiTheme="minorEastAsia" w:eastAsiaTheme="minorEastAsia" w:hAnsiTheme="minorEastAsia" w:cs="宋体"/>
                <w:sz w:val="24"/>
              </w:rPr>
            </w:pPr>
          </w:p>
        </w:tc>
        <w:tc>
          <w:tcPr>
            <w:tcW w:w="737" w:type="dxa"/>
            <w:vAlign w:val="center"/>
          </w:tcPr>
          <w:p w:rsidR="00C37DE2" w:rsidRPr="00F06B5F" w:rsidRDefault="00F008CE" w:rsidP="00F06B5F">
            <w:pPr>
              <w:jc w:val="center"/>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优</w:t>
            </w:r>
          </w:p>
        </w:tc>
        <w:tc>
          <w:tcPr>
            <w:tcW w:w="737" w:type="dxa"/>
            <w:vAlign w:val="center"/>
          </w:tcPr>
          <w:p w:rsidR="00C37DE2" w:rsidRPr="00F06B5F" w:rsidRDefault="00F008CE" w:rsidP="00F06B5F">
            <w:pPr>
              <w:jc w:val="center"/>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良</w:t>
            </w:r>
          </w:p>
        </w:tc>
        <w:tc>
          <w:tcPr>
            <w:tcW w:w="737" w:type="dxa"/>
            <w:vAlign w:val="center"/>
          </w:tcPr>
          <w:p w:rsidR="00C37DE2" w:rsidRPr="00F06B5F" w:rsidRDefault="00F008CE" w:rsidP="00F06B5F">
            <w:pPr>
              <w:jc w:val="center"/>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中</w:t>
            </w:r>
          </w:p>
        </w:tc>
        <w:tc>
          <w:tcPr>
            <w:tcW w:w="737" w:type="dxa"/>
            <w:vAlign w:val="center"/>
          </w:tcPr>
          <w:p w:rsidR="00C37DE2" w:rsidRPr="00F06B5F" w:rsidRDefault="00F008CE" w:rsidP="00F06B5F">
            <w:pPr>
              <w:jc w:val="center"/>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差</w:t>
            </w: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公务员培训</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3.00</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对政府系统行政机关公务员进行更新知识、提高工作能力的在职培训等相关培训</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加强公务员队伍建设，提升公务员队伍水平</w:t>
            </w:r>
          </w:p>
        </w:tc>
        <w:tc>
          <w:tcPr>
            <w:tcW w:w="1417" w:type="dxa"/>
            <w:vAlign w:val="center"/>
          </w:tcPr>
          <w:p w:rsidR="00C37DE2" w:rsidRPr="00F06B5F" w:rsidRDefault="00C37DE2" w:rsidP="00F06B5F">
            <w:pPr>
              <w:jc w:val="left"/>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 xml:space="preserve">　　公务员集中培训和个人自学</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3.00</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组织公务员进行统一培训、考核。根据实际情况积极协调单位进行公务员个人自学</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更新知识提高公务员自身素质，更好地履行工作职责提高工作能力</w:t>
            </w:r>
          </w:p>
        </w:tc>
        <w:tc>
          <w:tcPr>
            <w:tcW w:w="1417"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培训计划完成率</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100%</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90%及以上</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80%及以上</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80%以下</w:t>
            </w: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企业军转干部解困</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19.19</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进行全区企业军队转业干部解困政策的落实和协调稳定</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解决企业军转干部生活困难，维护企业军转干部的稳定</w:t>
            </w:r>
          </w:p>
        </w:tc>
        <w:tc>
          <w:tcPr>
            <w:tcW w:w="1417" w:type="dxa"/>
            <w:vAlign w:val="center"/>
          </w:tcPr>
          <w:p w:rsidR="00C37DE2" w:rsidRPr="00F06B5F" w:rsidRDefault="00C37DE2" w:rsidP="00F06B5F">
            <w:pPr>
              <w:jc w:val="left"/>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 xml:space="preserve">　　落实解困政策开展维稳工作</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19.19</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积极落实生活补助、体检费发放。认真做好政策解答、问题反馈等维护稳定工作。</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落实发放补助等相关解困政策，保持企业军转干部的稳定</w:t>
            </w:r>
          </w:p>
        </w:tc>
        <w:tc>
          <w:tcPr>
            <w:tcW w:w="1417"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生活补助发放完成率</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100%</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90%及以上</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80%及以上</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80%以下</w:t>
            </w: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人才档案管理</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5.60</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综合管理全区人才开发、人才交流和人事代理工作</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征集单位用工信息，做好人才招聘及人才引进，按省市</w:t>
            </w:r>
            <w:r w:rsidRPr="00F06B5F">
              <w:rPr>
                <w:rFonts w:asciiTheme="minorEastAsia" w:eastAsiaTheme="minorEastAsia" w:hAnsiTheme="minorEastAsia" w:cs="宋体" w:hint="eastAsia"/>
                <w:sz w:val="24"/>
              </w:rPr>
              <w:lastRenderedPageBreak/>
              <w:t>精神做好专家服务基层工作</w:t>
            </w:r>
          </w:p>
        </w:tc>
        <w:tc>
          <w:tcPr>
            <w:tcW w:w="1417" w:type="dxa"/>
            <w:vAlign w:val="center"/>
          </w:tcPr>
          <w:p w:rsidR="00C37DE2" w:rsidRPr="00F06B5F" w:rsidRDefault="00C37DE2" w:rsidP="00F06B5F">
            <w:pPr>
              <w:jc w:val="left"/>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lastRenderedPageBreak/>
              <w:t xml:space="preserve">　　人才招聘、档案管理</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5.60</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档案室及相关设施建设，日常办公、宣传、业务培训等工作</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做好流动人员档案管理，掌握企业用工需求，做好人才招聘、人才引进</w:t>
            </w:r>
          </w:p>
        </w:tc>
        <w:tc>
          <w:tcPr>
            <w:tcW w:w="1417"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正常运转率</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95%及以上</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90%及以上</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80%及以上</w:t>
            </w:r>
          </w:p>
        </w:tc>
        <w:tc>
          <w:tcPr>
            <w:tcW w:w="737" w:type="dxa"/>
            <w:shd w:val="clear" w:color="auto" w:fill="FFFFFF"/>
            <w:vAlign w:val="center"/>
          </w:tcPr>
          <w:p w:rsidR="00C37DE2" w:rsidRPr="00F06B5F" w:rsidRDefault="00F008CE" w:rsidP="00F06B5F">
            <w:pPr>
              <w:widowControl/>
              <w:jc w:val="left"/>
              <w:textAlignment w:val="center"/>
              <w:rPr>
                <w:rFonts w:asciiTheme="minorEastAsia" w:eastAsiaTheme="minorEastAsia" w:hAnsiTheme="minorEastAsia" w:cs="宋体"/>
                <w:sz w:val="24"/>
              </w:rPr>
            </w:pPr>
            <w:r w:rsidRPr="00F06B5F">
              <w:rPr>
                <w:rFonts w:asciiTheme="minorEastAsia" w:eastAsiaTheme="minorEastAsia" w:hAnsiTheme="minorEastAsia" w:cs="宋体" w:hint="eastAsia"/>
                <w:kern w:val="0"/>
                <w:sz w:val="24"/>
              </w:rPr>
              <w:t>80%以下</w:t>
            </w: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劳动关系管理</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7.00</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承担人力资源和社会保障法律法规、规章的监督检查工作；指导、监督全区开展劳动保障监察工作；依法督办重大劳动保障违法案件；协调有关单位组织开展劳动者维权综合治理；受理劳动争议案件和来信来访工作；承担劳动保障监察统计。</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加强劳动关系协调机制建设，提升社会和谐水平。</w:t>
            </w:r>
          </w:p>
        </w:tc>
        <w:tc>
          <w:tcPr>
            <w:tcW w:w="1417" w:type="dxa"/>
            <w:vAlign w:val="center"/>
          </w:tcPr>
          <w:p w:rsidR="00C37DE2" w:rsidRPr="00F06B5F" w:rsidRDefault="00C37DE2" w:rsidP="00F06B5F">
            <w:pPr>
              <w:jc w:val="left"/>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 xml:space="preserve">　　劳动关系政策制定和落实、劳动监察事务、劳动保障监察两网化管理</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7.00</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劳动保障法律法规宣传；组织实施劳动监察日常巡查和专项监察，依法查处重大案件；劳动保障监察业务培训、执法设备、服装购置及劳动保障监察两网化管理工作等。</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提高劳动合同签订率，建立和谐劳动关系。提高劳动监察结案率。</w:t>
            </w:r>
          </w:p>
        </w:tc>
        <w:tc>
          <w:tcPr>
            <w:tcW w:w="1417"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规模以上企业劳动合同签订率，劳动监察结案率</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95%及以上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90%及以上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80%及以上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80%以下</w:t>
            </w: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 xml:space="preserve">　　劳动人事争议仲裁院实体化建设</w:t>
            </w:r>
          </w:p>
        </w:tc>
        <w:tc>
          <w:tcPr>
            <w:tcW w:w="1276" w:type="dxa"/>
            <w:vAlign w:val="center"/>
          </w:tcPr>
          <w:p w:rsidR="00C37DE2" w:rsidRPr="00F06B5F" w:rsidRDefault="00C37DE2" w:rsidP="00F06B5F">
            <w:pPr>
              <w:jc w:val="left"/>
              <w:rPr>
                <w:rFonts w:asciiTheme="minorEastAsia" w:eastAsiaTheme="minorEastAsia" w:hAnsiTheme="minorEastAsia" w:cs="宋体"/>
                <w:sz w:val="24"/>
              </w:rPr>
            </w:pP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劳动人事争议仲裁调查取证、鉴定、勘验；兼职仲裁院办案报酬；仲裁文书、表册印制、送达；仲裁专业设备购置及维护；仲裁业务培训、服装购置等。</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提高调解仲裁办案质量。</w:t>
            </w:r>
          </w:p>
        </w:tc>
        <w:tc>
          <w:tcPr>
            <w:tcW w:w="1417"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仲裁案件结案率</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95%及以上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90%及以上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80%及以上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80%以下</w:t>
            </w: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lastRenderedPageBreak/>
              <w:t>劳务派遣工作人员费用</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19.54</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承担局属事业单位辅助性工作</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辅助完成相关业务工作</w:t>
            </w:r>
          </w:p>
        </w:tc>
        <w:tc>
          <w:tcPr>
            <w:tcW w:w="1417" w:type="dxa"/>
            <w:vAlign w:val="center"/>
          </w:tcPr>
          <w:p w:rsidR="00C37DE2" w:rsidRPr="00F06B5F" w:rsidRDefault="00C37DE2" w:rsidP="00F06B5F">
            <w:pPr>
              <w:jc w:val="left"/>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 xml:space="preserve">　　工资和社会保险费</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19.54</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劳务派遣人员正常工作</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提高工作效能</w:t>
            </w:r>
          </w:p>
        </w:tc>
        <w:tc>
          <w:tcPr>
            <w:tcW w:w="1417"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业务工作完成效率</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95%及以上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90%及以上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80%及以上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80%以下</w:t>
            </w: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办公用房维修</w:t>
            </w:r>
          </w:p>
        </w:tc>
        <w:tc>
          <w:tcPr>
            <w:tcW w:w="1276" w:type="dxa"/>
            <w:vAlign w:val="center"/>
          </w:tcPr>
          <w:p w:rsidR="00C37DE2" w:rsidRPr="00F06B5F" w:rsidRDefault="00C37DE2" w:rsidP="00F06B5F">
            <w:pPr>
              <w:jc w:val="left"/>
              <w:rPr>
                <w:rFonts w:asciiTheme="minorEastAsia" w:eastAsiaTheme="minorEastAsia" w:hAnsiTheme="minorEastAsia" w:cs="宋体"/>
                <w:sz w:val="24"/>
              </w:rPr>
            </w:pP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维修办公用房</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延长办公楼使用寿命，增强办公楼安全性，提供良好的办公环境</w:t>
            </w:r>
          </w:p>
        </w:tc>
        <w:tc>
          <w:tcPr>
            <w:tcW w:w="1417" w:type="dxa"/>
            <w:vAlign w:val="center"/>
          </w:tcPr>
          <w:p w:rsidR="00C37DE2" w:rsidRPr="00F06B5F" w:rsidRDefault="00C37DE2" w:rsidP="00F06B5F">
            <w:pPr>
              <w:jc w:val="left"/>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 xml:space="preserve">　　维修、材料设备购置</w:t>
            </w:r>
          </w:p>
        </w:tc>
        <w:tc>
          <w:tcPr>
            <w:tcW w:w="1276" w:type="dxa"/>
            <w:vAlign w:val="center"/>
          </w:tcPr>
          <w:p w:rsidR="00C37DE2" w:rsidRPr="00F06B5F" w:rsidRDefault="00C37DE2" w:rsidP="00F06B5F">
            <w:pPr>
              <w:jc w:val="left"/>
              <w:rPr>
                <w:rFonts w:asciiTheme="minorEastAsia" w:eastAsiaTheme="minorEastAsia" w:hAnsiTheme="minorEastAsia" w:cs="宋体"/>
                <w:sz w:val="24"/>
              </w:rPr>
            </w:pP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地面、水、电、暖、楼体、围栏等修理及相关材料设备购置</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提供良好办公环境</w:t>
            </w:r>
          </w:p>
        </w:tc>
        <w:tc>
          <w:tcPr>
            <w:tcW w:w="1417"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损坏、老化维修更换率</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95%及以上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90%及以上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80%及以上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80%以下</w:t>
            </w: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数据库、网络、社保卡服务点维护管理</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25.00</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维护管理数据库、网络、社保卡服务点，保障业务数据安全稳定，及业务专网平稳运行。</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保障业务数据的安全稳定和业务专网平稳运行，提升社保卡服务点服务能力。</w:t>
            </w:r>
          </w:p>
        </w:tc>
        <w:tc>
          <w:tcPr>
            <w:tcW w:w="1417" w:type="dxa"/>
            <w:vAlign w:val="center"/>
          </w:tcPr>
          <w:p w:rsidR="00C37DE2" w:rsidRPr="00F06B5F" w:rsidRDefault="00C37DE2" w:rsidP="00F06B5F">
            <w:pPr>
              <w:jc w:val="left"/>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c>
          <w:tcPr>
            <w:tcW w:w="737" w:type="dxa"/>
            <w:vAlign w:val="center"/>
          </w:tcPr>
          <w:p w:rsidR="00C37DE2" w:rsidRPr="00F06B5F" w:rsidRDefault="00C37DE2" w:rsidP="00F06B5F">
            <w:pPr>
              <w:jc w:val="center"/>
              <w:rPr>
                <w:rFonts w:asciiTheme="minorEastAsia" w:eastAsiaTheme="minorEastAsia" w:hAnsiTheme="minorEastAsia" w:cs="宋体"/>
                <w:sz w:val="24"/>
              </w:rPr>
            </w:pPr>
          </w:p>
        </w:tc>
      </w:tr>
      <w:tr w:rsidR="00C37DE2" w:rsidRPr="00F06B5F">
        <w:trPr>
          <w:trHeight w:val="227"/>
          <w:jc w:val="center"/>
        </w:trPr>
        <w:tc>
          <w:tcPr>
            <w:tcW w:w="2341" w:type="dxa"/>
            <w:vAlign w:val="center"/>
          </w:tcPr>
          <w:p w:rsidR="00C37DE2" w:rsidRPr="00F06B5F" w:rsidRDefault="00F008CE" w:rsidP="00F06B5F">
            <w:pPr>
              <w:jc w:val="left"/>
              <w:rPr>
                <w:rFonts w:asciiTheme="minorEastAsia" w:eastAsiaTheme="minorEastAsia" w:hAnsiTheme="minorEastAsia" w:cs="宋体"/>
                <w:b/>
                <w:sz w:val="24"/>
              </w:rPr>
            </w:pPr>
            <w:r w:rsidRPr="00F06B5F">
              <w:rPr>
                <w:rFonts w:asciiTheme="minorEastAsia" w:eastAsiaTheme="minorEastAsia" w:hAnsiTheme="minorEastAsia" w:cs="宋体" w:hint="eastAsia"/>
                <w:b/>
                <w:sz w:val="24"/>
              </w:rPr>
              <w:t xml:space="preserve">　　管理维护，网络设备购置</w:t>
            </w:r>
          </w:p>
        </w:tc>
        <w:tc>
          <w:tcPr>
            <w:tcW w:w="12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25.00</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数据库、网络、社保卡服务点维护管理，网络设备维修购置</w:t>
            </w:r>
          </w:p>
        </w:tc>
        <w:tc>
          <w:tcPr>
            <w:tcW w:w="2976"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保障数据库、网络安全，提升服务能力。</w:t>
            </w:r>
          </w:p>
        </w:tc>
        <w:tc>
          <w:tcPr>
            <w:tcW w:w="1417" w:type="dxa"/>
            <w:vAlign w:val="center"/>
          </w:tcPr>
          <w:p w:rsidR="00C37DE2" w:rsidRPr="00F06B5F" w:rsidRDefault="00F008CE" w:rsidP="00F06B5F">
            <w:pPr>
              <w:jc w:val="left"/>
              <w:rPr>
                <w:rFonts w:asciiTheme="minorEastAsia" w:eastAsiaTheme="minorEastAsia" w:hAnsiTheme="minorEastAsia" w:cs="宋体"/>
                <w:sz w:val="24"/>
              </w:rPr>
            </w:pPr>
            <w:r w:rsidRPr="00F06B5F">
              <w:rPr>
                <w:rFonts w:asciiTheme="minorEastAsia" w:eastAsiaTheme="minorEastAsia" w:hAnsiTheme="minorEastAsia" w:cs="宋体" w:hint="eastAsia"/>
                <w:sz w:val="24"/>
              </w:rPr>
              <w:t>数据、专网正常运转率，社保卡采集率、发卡、补卡完成率。</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95%及以上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90%及以上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80%及以上</w:t>
            </w:r>
          </w:p>
        </w:tc>
        <w:tc>
          <w:tcPr>
            <w:tcW w:w="737" w:type="dxa"/>
            <w:vAlign w:val="center"/>
          </w:tcPr>
          <w:p w:rsidR="00C37DE2" w:rsidRPr="00F06B5F" w:rsidRDefault="00F008CE" w:rsidP="00F06B5F">
            <w:pPr>
              <w:jc w:val="center"/>
              <w:rPr>
                <w:rFonts w:asciiTheme="minorEastAsia" w:eastAsiaTheme="minorEastAsia" w:hAnsiTheme="minorEastAsia" w:cs="宋体"/>
                <w:sz w:val="24"/>
              </w:rPr>
            </w:pPr>
            <w:r w:rsidRPr="00F06B5F">
              <w:rPr>
                <w:rFonts w:asciiTheme="minorEastAsia" w:eastAsiaTheme="minorEastAsia" w:hAnsiTheme="minorEastAsia" w:cs="宋体" w:hint="eastAsia"/>
                <w:sz w:val="24"/>
              </w:rPr>
              <w:t>80%以下</w:t>
            </w:r>
          </w:p>
        </w:tc>
      </w:tr>
    </w:tbl>
    <w:p w:rsidR="005B15CD" w:rsidRPr="003E227A" w:rsidRDefault="005B15CD" w:rsidP="005B15CD">
      <w:pPr>
        <w:rPr>
          <w:rFonts w:ascii="仿宋_GB2312" w:eastAsia="仿宋_GB2312" w:hAnsi="黑体" w:cs="宋体"/>
          <w:kern w:val="0"/>
          <w:sz w:val="32"/>
          <w:szCs w:val="32"/>
        </w:rPr>
      </w:pPr>
      <w:r w:rsidRPr="003E227A">
        <w:rPr>
          <w:rFonts w:ascii="仿宋_GB2312" w:eastAsia="仿宋_GB2312" w:hAnsi="黑体" w:cs="宋体" w:hint="eastAsia"/>
          <w:kern w:val="0"/>
          <w:sz w:val="32"/>
          <w:szCs w:val="32"/>
        </w:rPr>
        <w:t>备注：表中的年度预算数为项目支出，部门工作活动虽未安排项目支出，但由基本支出保障，由于基本支出无法拆分到相应的工作活动，因此部分工作活动没有列示年度预算数。</w:t>
      </w:r>
    </w:p>
    <w:p w:rsidR="005B15CD" w:rsidRPr="00F06B5F" w:rsidRDefault="005B15CD" w:rsidP="00F06B5F">
      <w:pPr>
        <w:spacing w:line="600" w:lineRule="exact"/>
        <w:jc w:val="left"/>
        <w:outlineLvl w:val="0"/>
        <w:rPr>
          <w:rFonts w:ascii="仿宋_GB2312" w:eastAsia="仿宋_GB2312" w:hAnsi="宋体" w:cs="宋体"/>
          <w:sz w:val="32"/>
          <w:szCs w:val="32"/>
        </w:rPr>
        <w:sectPr w:rsidR="005B15CD" w:rsidRPr="00F06B5F">
          <w:headerReference w:type="default" r:id="rId8"/>
          <w:pgSz w:w="16839" w:h="11907" w:orient="landscape"/>
          <w:pgMar w:top="1020" w:right="1361" w:bottom="1020" w:left="1361" w:header="851" w:footer="992" w:gutter="0"/>
          <w:cols w:space="425"/>
          <w:docGrid w:type="lines" w:linePitch="312"/>
        </w:sectPr>
      </w:pPr>
    </w:p>
    <w:p w:rsidR="00C37DE2" w:rsidRPr="003D6CB1" w:rsidRDefault="003D6CB1" w:rsidP="00F06B5F">
      <w:pPr>
        <w:pStyle w:val="a5"/>
        <w:widowControl/>
        <w:spacing w:beforeAutospacing="0" w:afterAutospacing="0" w:line="600" w:lineRule="exact"/>
        <w:ind w:firstLineChars="196" w:firstLine="630"/>
        <w:rPr>
          <w:rFonts w:ascii="黑体" w:eastAsia="黑体" w:hAnsi="黑体" w:cs="仿宋"/>
          <w:b/>
          <w:sz w:val="32"/>
          <w:szCs w:val="32"/>
        </w:rPr>
      </w:pPr>
      <w:r w:rsidRPr="003D6CB1">
        <w:rPr>
          <w:rFonts w:ascii="黑体" w:eastAsia="黑体" w:hAnsi="黑体" w:cs="仿宋" w:hint="eastAsia"/>
          <w:b/>
          <w:sz w:val="32"/>
          <w:szCs w:val="32"/>
        </w:rPr>
        <w:lastRenderedPageBreak/>
        <w:t>六</w:t>
      </w:r>
      <w:r w:rsidR="00F008CE" w:rsidRPr="003D6CB1">
        <w:rPr>
          <w:rFonts w:ascii="黑体" w:eastAsia="黑体" w:hAnsi="黑体" w:cs="仿宋" w:hint="eastAsia"/>
          <w:b/>
          <w:sz w:val="32"/>
          <w:szCs w:val="32"/>
        </w:rPr>
        <w:t>、</w:t>
      </w:r>
      <w:r w:rsidRPr="003D6CB1">
        <w:rPr>
          <w:rFonts w:ascii="黑体" w:eastAsia="黑体" w:hAnsi="黑体" w:cs="仿宋" w:hint="eastAsia"/>
          <w:b/>
          <w:sz w:val="32"/>
          <w:szCs w:val="32"/>
        </w:rPr>
        <w:t>政府采购预算安排</w:t>
      </w:r>
    </w:p>
    <w:p w:rsidR="00C37DE2" w:rsidRDefault="00F008CE" w:rsidP="00F06B5F">
      <w:pPr>
        <w:pStyle w:val="a5"/>
        <w:widowControl/>
        <w:spacing w:beforeAutospacing="0" w:afterAutospacing="0" w:line="600" w:lineRule="exact"/>
        <w:ind w:firstLineChars="200" w:firstLine="640"/>
        <w:rPr>
          <w:rFonts w:ascii="仿宋_GB2312" w:eastAsia="仿宋_GB2312" w:hAnsi="仿宋" w:cs="仿宋"/>
          <w:sz w:val="32"/>
          <w:szCs w:val="32"/>
        </w:rPr>
      </w:pPr>
      <w:r w:rsidRPr="00F06B5F">
        <w:rPr>
          <w:rFonts w:ascii="仿宋_GB2312" w:eastAsia="仿宋_GB2312" w:hAnsi="仿宋" w:cs="仿宋" w:hint="eastAsia"/>
          <w:sz w:val="32"/>
          <w:szCs w:val="32"/>
        </w:rPr>
        <w:t>本部门预算没有此项公开内容。</w:t>
      </w:r>
      <w:r w:rsidR="00A333E3">
        <w:rPr>
          <w:rFonts w:ascii="仿宋_GB2312" w:eastAsia="仿宋_GB2312" w:hAnsi="仿宋" w:cs="仿宋" w:hint="eastAsia"/>
          <w:sz w:val="32"/>
          <w:szCs w:val="32"/>
        </w:rPr>
        <w:t>以空表列示说明。</w:t>
      </w:r>
    </w:p>
    <w:p w:rsidR="005C58BD" w:rsidRDefault="005C58BD" w:rsidP="005C58BD">
      <w:pPr>
        <w:jc w:val="center"/>
        <w:outlineLvl w:val="0"/>
        <w:rPr>
          <w:rFonts w:ascii="方正小标宋_GBK" w:eastAsia="方正小标宋_GBK"/>
          <w:sz w:val="32"/>
        </w:rPr>
      </w:pPr>
      <w:r>
        <w:rPr>
          <w:rFonts w:ascii="方正小标宋_GBK" w:eastAsia="方正小标宋_GBK" w:hint="eastAsia"/>
          <w:sz w:val="32"/>
        </w:rPr>
        <w:t>部门政府采购预算</w:t>
      </w:r>
    </w:p>
    <w:tbl>
      <w:tblPr>
        <w:tblW w:w="4851"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tblPr>
      <w:tblGrid>
        <w:gridCol w:w="2309"/>
        <w:gridCol w:w="1037"/>
        <w:gridCol w:w="919"/>
        <w:gridCol w:w="930"/>
        <w:gridCol w:w="718"/>
        <w:gridCol w:w="718"/>
        <w:gridCol w:w="800"/>
        <w:gridCol w:w="908"/>
        <w:gridCol w:w="908"/>
        <w:gridCol w:w="908"/>
        <w:gridCol w:w="908"/>
        <w:gridCol w:w="910"/>
        <w:gridCol w:w="910"/>
        <w:gridCol w:w="869"/>
      </w:tblGrid>
      <w:tr w:rsidR="005C58BD" w:rsidTr="005C58BD">
        <w:trPr>
          <w:tblHeader/>
          <w:jc w:val="center"/>
        </w:trPr>
        <w:tc>
          <w:tcPr>
            <w:tcW w:w="2702" w:type="pct"/>
            <w:gridSpan w:val="7"/>
            <w:tcBorders>
              <w:top w:val="single" w:sz="6" w:space="0" w:color="FFFFFF"/>
              <w:left w:val="single" w:sz="6" w:space="0" w:color="FFFFFF"/>
              <w:bottom w:val="single" w:sz="6" w:space="0" w:color="000000"/>
              <w:right w:val="single" w:sz="6" w:space="0" w:color="FFFFFF"/>
            </w:tcBorders>
            <w:vAlign w:val="center"/>
            <w:hideMark/>
          </w:tcPr>
          <w:p w:rsidR="005C58BD" w:rsidRDefault="005C58BD">
            <w:pPr>
              <w:spacing w:line="300" w:lineRule="exact"/>
              <w:rPr>
                <w:rFonts w:ascii="方正小标宋_GBK"/>
              </w:rPr>
            </w:pPr>
            <w:r w:rsidRPr="005C58BD">
              <w:rPr>
                <w:rFonts w:ascii="方正小标宋_GBK" w:hint="eastAsia"/>
              </w:rPr>
              <w:t>316</w:t>
            </w:r>
            <w:r w:rsidRPr="005C58BD">
              <w:rPr>
                <w:rFonts w:ascii="方正小标宋_GBK" w:hint="eastAsia"/>
              </w:rPr>
              <w:t>人社</w:t>
            </w:r>
          </w:p>
        </w:tc>
        <w:tc>
          <w:tcPr>
            <w:tcW w:w="2298" w:type="pct"/>
            <w:gridSpan w:val="7"/>
            <w:tcBorders>
              <w:top w:val="single" w:sz="6" w:space="0" w:color="FFFFFF"/>
              <w:left w:val="single" w:sz="6" w:space="0" w:color="FFFFFF"/>
              <w:bottom w:val="single" w:sz="6" w:space="0" w:color="000000"/>
              <w:right w:val="single" w:sz="6" w:space="0" w:color="FFFFFF"/>
            </w:tcBorders>
            <w:vAlign w:val="center"/>
            <w:hideMark/>
          </w:tcPr>
          <w:p w:rsidR="005C58BD" w:rsidRDefault="005C58BD">
            <w:pPr>
              <w:spacing w:line="300" w:lineRule="exact"/>
              <w:jc w:val="right"/>
              <w:rPr>
                <w:rFonts w:ascii="方正书宋_GBK" w:eastAsia="方正书宋_GBK"/>
              </w:rPr>
            </w:pPr>
            <w:r>
              <w:rPr>
                <w:rFonts w:ascii="方正书宋_GBK" w:eastAsia="方正书宋_GBK" w:hint="eastAsia"/>
              </w:rPr>
              <w:t>单位：万元</w:t>
            </w:r>
          </w:p>
        </w:tc>
      </w:tr>
      <w:tr w:rsidR="005C58BD" w:rsidTr="005C58BD">
        <w:trPr>
          <w:tblHeader/>
          <w:jc w:val="center"/>
        </w:trPr>
        <w:tc>
          <w:tcPr>
            <w:tcW w:w="1217" w:type="pct"/>
            <w:gridSpan w:val="2"/>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政府采购项目来源</w:t>
            </w:r>
          </w:p>
        </w:tc>
        <w:tc>
          <w:tcPr>
            <w:tcW w:w="334" w:type="pct"/>
            <w:vMerge w:val="restar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采购物品名称</w:t>
            </w:r>
          </w:p>
        </w:tc>
        <w:tc>
          <w:tcPr>
            <w:tcW w:w="338" w:type="pct"/>
            <w:vMerge w:val="restar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政府采购目录序号</w:t>
            </w:r>
          </w:p>
        </w:tc>
        <w:tc>
          <w:tcPr>
            <w:tcW w:w="261" w:type="pct"/>
            <w:vMerge w:val="restar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数量  单位</w:t>
            </w:r>
          </w:p>
        </w:tc>
        <w:tc>
          <w:tcPr>
            <w:tcW w:w="261" w:type="pct"/>
            <w:vMerge w:val="restar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数量</w:t>
            </w:r>
          </w:p>
        </w:tc>
        <w:tc>
          <w:tcPr>
            <w:tcW w:w="291" w:type="pct"/>
            <w:vMerge w:val="restar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单价</w:t>
            </w:r>
          </w:p>
        </w:tc>
        <w:tc>
          <w:tcPr>
            <w:tcW w:w="2298" w:type="pct"/>
            <w:gridSpan w:val="7"/>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政府采购金额</w:t>
            </w:r>
          </w:p>
        </w:tc>
      </w:tr>
      <w:tr w:rsidR="005C58BD" w:rsidTr="005C58BD">
        <w:trPr>
          <w:tblHeader/>
          <w:jc w:val="center"/>
        </w:trPr>
        <w:tc>
          <w:tcPr>
            <w:tcW w:w="840" w:type="pct"/>
            <w:vMerge w:val="restar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项目名称</w:t>
            </w:r>
          </w:p>
        </w:tc>
        <w:tc>
          <w:tcPr>
            <w:tcW w:w="377" w:type="pct"/>
            <w:vMerge w:val="restar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预算资金</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330" w:type="pct"/>
            <w:vMerge w:val="restar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总计</w:t>
            </w:r>
          </w:p>
        </w:tc>
        <w:tc>
          <w:tcPr>
            <w:tcW w:w="1652" w:type="pct"/>
            <w:gridSpan w:val="5"/>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当年部门预算安排资金</w:t>
            </w:r>
          </w:p>
        </w:tc>
        <w:tc>
          <w:tcPr>
            <w:tcW w:w="316" w:type="pct"/>
            <w:vMerge w:val="restar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其他渠道资金</w:t>
            </w:r>
          </w:p>
        </w:tc>
      </w:tr>
      <w:tr w:rsidR="005C58BD" w:rsidTr="005C58BD">
        <w:trPr>
          <w:tblHeader/>
          <w:jc w:val="center"/>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合计</w:t>
            </w: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一般公共预算拨款</w:t>
            </w: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基金预算拨款</w:t>
            </w:r>
          </w:p>
        </w:tc>
        <w:tc>
          <w:tcPr>
            <w:tcW w:w="331"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财政专户核拨</w:t>
            </w:r>
          </w:p>
        </w:tc>
        <w:tc>
          <w:tcPr>
            <w:tcW w:w="331"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其他来源收入</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方正书宋_GBK" w:eastAsia="方正书宋_GBK"/>
                <w:b/>
              </w:rPr>
            </w:pPr>
          </w:p>
        </w:tc>
      </w:tr>
      <w:tr w:rsidR="005C58BD" w:rsidTr="005C58BD">
        <w:trPr>
          <w:jc w:val="center"/>
        </w:trPr>
        <w:tc>
          <w:tcPr>
            <w:tcW w:w="84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spacing w:line="300" w:lineRule="exact"/>
              <w:jc w:val="center"/>
              <w:rPr>
                <w:rFonts w:ascii="方正书宋_GBK" w:eastAsia="方正书宋_GBK"/>
                <w:b/>
              </w:rPr>
            </w:pPr>
            <w:r>
              <w:rPr>
                <w:rFonts w:ascii="方正书宋_GBK" w:eastAsia="方正书宋_GBK" w:hint="eastAsia"/>
                <w:b/>
              </w:rPr>
              <w:t>合　计</w:t>
            </w:r>
          </w:p>
        </w:tc>
        <w:tc>
          <w:tcPr>
            <w:tcW w:w="377"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4"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26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26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29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16"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r>
      <w:tr w:rsidR="005C58BD" w:rsidTr="005C58BD">
        <w:trPr>
          <w:jc w:val="center"/>
        </w:trPr>
        <w:tc>
          <w:tcPr>
            <w:tcW w:w="84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77"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4"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26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26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29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16"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r>
      <w:tr w:rsidR="005C58BD" w:rsidTr="005C58BD">
        <w:trPr>
          <w:jc w:val="center"/>
        </w:trPr>
        <w:tc>
          <w:tcPr>
            <w:tcW w:w="84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77"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4"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26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26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29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16"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r>
      <w:tr w:rsidR="005C58BD" w:rsidTr="005C58BD">
        <w:trPr>
          <w:jc w:val="center"/>
        </w:trPr>
        <w:tc>
          <w:tcPr>
            <w:tcW w:w="84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77"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4"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26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26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29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16"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r>
      <w:tr w:rsidR="005C58BD" w:rsidTr="005C58BD">
        <w:trPr>
          <w:jc w:val="center"/>
        </w:trPr>
        <w:tc>
          <w:tcPr>
            <w:tcW w:w="84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77"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4"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338"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26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rPr>
                <w:rFonts w:ascii="方正书宋_GBK" w:eastAsia="方正书宋_GBK"/>
                <w:b/>
              </w:rPr>
            </w:pPr>
          </w:p>
        </w:tc>
        <w:tc>
          <w:tcPr>
            <w:tcW w:w="26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29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hideMark/>
          </w:tcPr>
          <w:p w:rsidR="005C58BD" w:rsidRDefault="005C58BD">
            <w:pPr>
              <w:widowControl/>
              <w:jc w:val="left"/>
              <w:rPr>
                <w:rFonts w:asciiTheme="minorHAnsi" w:eastAsiaTheme="minorEastAsia" w:hAnsiTheme="minorHAnsi" w:cstheme="minorBidi"/>
                <w:szCs w:val="22"/>
              </w:rPr>
            </w:pPr>
          </w:p>
        </w:tc>
        <w:tc>
          <w:tcPr>
            <w:tcW w:w="330"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31"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c>
          <w:tcPr>
            <w:tcW w:w="316" w:type="pct"/>
            <w:tcBorders>
              <w:top w:val="single" w:sz="6" w:space="0" w:color="000000"/>
              <w:left w:val="single" w:sz="6" w:space="0" w:color="000000"/>
              <w:bottom w:val="single" w:sz="6" w:space="0" w:color="000000"/>
              <w:right w:val="single" w:sz="6" w:space="0" w:color="000000"/>
            </w:tcBorders>
            <w:vAlign w:val="center"/>
          </w:tcPr>
          <w:p w:rsidR="005C58BD" w:rsidRDefault="005C58BD">
            <w:pPr>
              <w:spacing w:line="300" w:lineRule="exact"/>
              <w:jc w:val="right"/>
              <w:rPr>
                <w:rFonts w:ascii="方正书宋_GBK" w:eastAsia="方正书宋_GBK"/>
                <w:b/>
              </w:rPr>
            </w:pPr>
          </w:p>
        </w:tc>
      </w:tr>
    </w:tbl>
    <w:p w:rsidR="005C58BD" w:rsidRPr="00F06B5F" w:rsidRDefault="005C58BD" w:rsidP="00F06B5F">
      <w:pPr>
        <w:pStyle w:val="a5"/>
        <w:widowControl/>
        <w:spacing w:beforeAutospacing="0" w:afterAutospacing="0" w:line="600" w:lineRule="exact"/>
        <w:ind w:firstLineChars="200" w:firstLine="640"/>
        <w:rPr>
          <w:rFonts w:ascii="仿宋_GB2312" w:eastAsia="仿宋_GB2312" w:hAnsi="仿宋" w:cs="仿宋"/>
          <w:sz w:val="32"/>
          <w:szCs w:val="32"/>
        </w:rPr>
      </w:pPr>
    </w:p>
    <w:p w:rsidR="00C37DE2" w:rsidRPr="003D6CB1" w:rsidRDefault="003D6CB1" w:rsidP="00F06B5F">
      <w:pPr>
        <w:pStyle w:val="a5"/>
        <w:widowControl/>
        <w:spacing w:beforeAutospacing="0" w:afterAutospacing="0" w:line="600" w:lineRule="exact"/>
        <w:ind w:firstLineChars="196" w:firstLine="630"/>
        <w:rPr>
          <w:rFonts w:ascii="黑体" w:eastAsia="黑体" w:hAnsi="黑体" w:cs="仿宋"/>
          <w:b/>
          <w:sz w:val="32"/>
          <w:szCs w:val="32"/>
        </w:rPr>
      </w:pPr>
      <w:r w:rsidRPr="003D6CB1">
        <w:rPr>
          <w:rFonts w:ascii="黑体" w:eastAsia="黑体" w:hAnsi="黑体" w:cs="仿宋" w:hint="eastAsia"/>
          <w:b/>
          <w:sz w:val="32"/>
          <w:szCs w:val="32"/>
        </w:rPr>
        <w:t>七、国有资产信息</w:t>
      </w:r>
    </w:p>
    <w:p w:rsidR="00C37DE2" w:rsidRPr="00F06B5F" w:rsidRDefault="00F008CE" w:rsidP="00F06B5F">
      <w:pPr>
        <w:pStyle w:val="a5"/>
        <w:widowControl/>
        <w:spacing w:beforeAutospacing="0" w:afterAutospacing="0" w:line="600" w:lineRule="exact"/>
        <w:ind w:firstLineChars="200" w:firstLine="640"/>
        <w:rPr>
          <w:rFonts w:ascii="仿宋_GB2312" w:eastAsia="仿宋_GB2312" w:hAnsi="仿宋" w:cs="仿宋"/>
          <w:sz w:val="32"/>
          <w:szCs w:val="32"/>
        </w:rPr>
      </w:pPr>
      <w:r w:rsidRPr="00F06B5F">
        <w:rPr>
          <w:rFonts w:ascii="仿宋_GB2312" w:eastAsia="仿宋_GB2312" w:hAnsi="仿宋" w:cs="仿宋" w:hint="eastAsia"/>
          <w:sz w:val="32"/>
          <w:szCs w:val="32"/>
        </w:rPr>
        <w:t>截至2017年12月31日，本部门固定资产金额为1092.22万元。共有车辆1辆，其中，一般公务用车1辆。2018年未安排国有资产购置预算。</w:t>
      </w:r>
    </w:p>
    <w:p w:rsidR="00C37DE2" w:rsidRPr="00F06B5F" w:rsidRDefault="00F008CE" w:rsidP="00F06B5F">
      <w:pPr>
        <w:spacing w:line="600" w:lineRule="exact"/>
        <w:jc w:val="center"/>
        <w:rPr>
          <w:rFonts w:ascii="仿宋_GB2312" w:eastAsia="仿宋_GB2312" w:hAnsi="仿宋" w:cs="仿宋"/>
          <w:sz w:val="32"/>
          <w:szCs w:val="32"/>
        </w:rPr>
      </w:pPr>
      <w:r w:rsidRPr="00F06B5F">
        <w:rPr>
          <w:rFonts w:ascii="仿宋_GB2312" w:eastAsia="仿宋_GB2312" w:hAnsi="仿宋" w:cs="仿宋" w:hint="eastAsia"/>
          <w:bCs/>
          <w:color w:val="000000"/>
          <w:sz w:val="32"/>
          <w:szCs w:val="32"/>
        </w:rPr>
        <w:lastRenderedPageBreak/>
        <w:t>部门固定资产占用情况表</w:t>
      </w:r>
    </w:p>
    <w:tbl>
      <w:tblPr>
        <w:tblW w:w="12037" w:type="dxa"/>
        <w:tblInd w:w="964" w:type="dxa"/>
        <w:tblLayout w:type="fixed"/>
        <w:tblLook w:val="04A0"/>
      </w:tblPr>
      <w:tblGrid>
        <w:gridCol w:w="4012"/>
        <w:gridCol w:w="2006"/>
        <w:gridCol w:w="2006"/>
        <w:gridCol w:w="4013"/>
      </w:tblGrid>
      <w:tr w:rsidR="00C37DE2" w:rsidRPr="00F06B5F" w:rsidTr="00F06B5F">
        <w:trPr>
          <w:trHeight w:val="110"/>
        </w:trPr>
        <w:tc>
          <w:tcPr>
            <w:tcW w:w="6018" w:type="dxa"/>
            <w:gridSpan w:val="2"/>
            <w:tcBorders>
              <w:top w:val="nil"/>
              <w:left w:val="nil"/>
              <w:bottom w:val="single" w:sz="4" w:space="0" w:color="auto"/>
              <w:right w:val="nil"/>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编制部门：</w:t>
            </w:r>
            <w:r w:rsidRPr="00F06B5F">
              <w:rPr>
                <w:rFonts w:asciiTheme="minorEastAsia" w:eastAsiaTheme="minorEastAsia" w:hAnsiTheme="minorEastAsia" w:cs="宋体" w:hint="eastAsia"/>
                <w:bCs/>
                <w:kern w:val="0"/>
                <w:sz w:val="24"/>
              </w:rPr>
              <w:t>北戴河区人力资源和社会保障局</w:t>
            </w:r>
          </w:p>
        </w:tc>
        <w:tc>
          <w:tcPr>
            <w:tcW w:w="6019" w:type="dxa"/>
            <w:gridSpan w:val="2"/>
            <w:tcBorders>
              <w:top w:val="nil"/>
              <w:left w:val="nil"/>
              <w:bottom w:val="single" w:sz="4" w:space="0" w:color="auto"/>
              <w:right w:val="nil"/>
            </w:tcBorders>
          </w:tcPr>
          <w:p w:rsidR="00C37DE2" w:rsidRPr="00F06B5F" w:rsidRDefault="00F008CE" w:rsidP="00F06B5F">
            <w:pPr>
              <w:tabs>
                <w:tab w:val="left" w:pos="4700"/>
              </w:tabs>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截止时间：2017年12月31日 </w:t>
            </w:r>
            <w:r w:rsidRPr="00F06B5F">
              <w:rPr>
                <w:rFonts w:asciiTheme="minorEastAsia" w:eastAsiaTheme="minorEastAsia" w:hAnsiTheme="minorEastAsia" w:cs="宋体" w:hint="eastAsia"/>
                <w:color w:val="000000"/>
                <w:sz w:val="24"/>
              </w:rPr>
              <w:tab/>
            </w:r>
          </w:p>
        </w:tc>
      </w:tr>
      <w:tr w:rsidR="00C37DE2" w:rsidRPr="00F06B5F" w:rsidTr="00F06B5F">
        <w:trPr>
          <w:trHeight w:val="110"/>
        </w:trPr>
        <w:tc>
          <w:tcPr>
            <w:tcW w:w="4012"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项 目 </w:t>
            </w:r>
          </w:p>
        </w:tc>
        <w:tc>
          <w:tcPr>
            <w:tcW w:w="4012" w:type="dxa"/>
            <w:gridSpan w:val="2"/>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数量 </w:t>
            </w:r>
          </w:p>
        </w:tc>
        <w:tc>
          <w:tcPr>
            <w:tcW w:w="4013"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价值（金额单位：万元） </w:t>
            </w:r>
          </w:p>
        </w:tc>
      </w:tr>
      <w:tr w:rsidR="00C37DE2" w:rsidRPr="00F06B5F" w:rsidTr="00F06B5F">
        <w:trPr>
          <w:trHeight w:val="110"/>
        </w:trPr>
        <w:tc>
          <w:tcPr>
            <w:tcW w:w="4012"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资产总额 </w:t>
            </w:r>
          </w:p>
        </w:tc>
        <w:tc>
          <w:tcPr>
            <w:tcW w:w="4012" w:type="dxa"/>
            <w:gridSpan w:val="2"/>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 </w:t>
            </w:r>
          </w:p>
        </w:tc>
        <w:tc>
          <w:tcPr>
            <w:tcW w:w="4013"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sz w:val="24"/>
              </w:rPr>
              <w:t>1092.22</w:t>
            </w:r>
          </w:p>
        </w:tc>
      </w:tr>
      <w:tr w:rsidR="00C37DE2" w:rsidRPr="00F06B5F" w:rsidTr="00F06B5F">
        <w:trPr>
          <w:trHeight w:val="110"/>
        </w:trPr>
        <w:tc>
          <w:tcPr>
            <w:tcW w:w="4012"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1、房屋（平方米） </w:t>
            </w:r>
          </w:p>
        </w:tc>
        <w:tc>
          <w:tcPr>
            <w:tcW w:w="4012" w:type="dxa"/>
            <w:gridSpan w:val="2"/>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3509.11</w:t>
            </w:r>
          </w:p>
        </w:tc>
        <w:tc>
          <w:tcPr>
            <w:tcW w:w="4013"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717.86</w:t>
            </w:r>
          </w:p>
        </w:tc>
      </w:tr>
      <w:tr w:rsidR="00C37DE2" w:rsidRPr="00F06B5F" w:rsidTr="00F06B5F">
        <w:trPr>
          <w:trHeight w:val="110"/>
        </w:trPr>
        <w:tc>
          <w:tcPr>
            <w:tcW w:w="4012"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其中：办公用房（平方米） </w:t>
            </w:r>
          </w:p>
        </w:tc>
        <w:tc>
          <w:tcPr>
            <w:tcW w:w="4012" w:type="dxa"/>
            <w:gridSpan w:val="2"/>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3509.11</w:t>
            </w:r>
          </w:p>
        </w:tc>
        <w:tc>
          <w:tcPr>
            <w:tcW w:w="4013"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717.86</w:t>
            </w:r>
          </w:p>
        </w:tc>
      </w:tr>
      <w:tr w:rsidR="00C37DE2" w:rsidRPr="00F06B5F" w:rsidTr="00F06B5F">
        <w:trPr>
          <w:trHeight w:val="110"/>
        </w:trPr>
        <w:tc>
          <w:tcPr>
            <w:tcW w:w="4012"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2、车辆（台、辆） </w:t>
            </w:r>
          </w:p>
        </w:tc>
        <w:tc>
          <w:tcPr>
            <w:tcW w:w="4012" w:type="dxa"/>
            <w:gridSpan w:val="2"/>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1</w:t>
            </w:r>
          </w:p>
        </w:tc>
        <w:tc>
          <w:tcPr>
            <w:tcW w:w="4013"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18.65</w:t>
            </w:r>
          </w:p>
        </w:tc>
      </w:tr>
      <w:tr w:rsidR="00C37DE2" w:rsidRPr="00F06B5F" w:rsidTr="00F06B5F">
        <w:trPr>
          <w:trHeight w:val="110"/>
        </w:trPr>
        <w:tc>
          <w:tcPr>
            <w:tcW w:w="4012"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3、单价在20万元以上的设备 </w:t>
            </w:r>
          </w:p>
        </w:tc>
        <w:tc>
          <w:tcPr>
            <w:tcW w:w="4012" w:type="dxa"/>
            <w:gridSpan w:val="2"/>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 </w:t>
            </w:r>
          </w:p>
        </w:tc>
        <w:tc>
          <w:tcPr>
            <w:tcW w:w="4013"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 </w:t>
            </w:r>
          </w:p>
        </w:tc>
      </w:tr>
      <w:tr w:rsidR="00C37DE2" w:rsidRPr="00F06B5F" w:rsidTr="00F06B5F">
        <w:trPr>
          <w:trHeight w:val="110"/>
        </w:trPr>
        <w:tc>
          <w:tcPr>
            <w:tcW w:w="4012"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 xml:space="preserve">4、其他固定资产 </w:t>
            </w:r>
          </w:p>
        </w:tc>
        <w:tc>
          <w:tcPr>
            <w:tcW w:w="4012" w:type="dxa"/>
            <w:gridSpan w:val="2"/>
            <w:tcBorders>
              <w:top w:val="single" w:sz="4" w:space="0" w:color="auto"/>
              <w:left w:val="single" w:sz="4" w:space="0" w:color="auto"/>
              <w:bottom w:val="single" w:sz="4" w:space="0" w:color="auto"/>
              <w:right w:val="single" w:sz="4" w:space="0" w:color="auto"/>
            </w:tcBorders>
          </w:tcPr>
          <w:p w:rsidR="00C37DE2" w:rsidRPr="00F06B5F" w:rsidRDefault="00A333E3" w:rsidP="00F06B5F">
            <w:pPr>
              <w:jc w:val="left"/>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752</w:t>
            </w:r>
          </w:p>
        </w:tc>
        <w:tc>
          <w:tcPr>
            <w:tcW w:w="4013" w:type="dxa"/>
            <w:tcBorders>
              <w:top w:val="single" w:sz="4" w:space="0" w:color="auto"/>
              <w:left w:val="single" w:sz="4" w:space="0" w:color="auto"/>
              <w:bottom w:val="single" w:sz="4" w:space="0" w:color="auto"/>
              <w:right w:val="single" w:sz="4" w:space="0" w:color="auto"/>
            </w:tcBorders>
          </w:tcPr>
          <w:p w:rsidR="00C37DE2" w:rsidRPr="00F06B5F" w:rsidRDefault="00F008CE" w:rsidP="00F06B5F">
            <w:pPr>
              <w:jc w:val="left"/>
              <w:rPr>
                <w:rFonts w:asciiTheme="minorEastAsia" w:eastAsiaTheme="minorEastAsia" w:hAnsiTheme="minorEastAsia" w:cs="宋体"/>
                <w:color w:val="000000"/>
                <w:sz w:val="24"/>
              </w:rPr>
            </w:pPr>
            <w:r w:rsidRPr="00F06B5F">
              <w:rPr>
                <w:rFonts w:asciiTheme="minorEastAsia" w:eastAsiaTheme="minorEastAsia" w:hAnsiTheme="minorEastAsia" w:cs="宋体" w:hint="eastAsia"/>
                <w:color w:val="000000"/>
                <w:sz w:val="24"/>
              </w:rPr>
              <w:t>355.71</w:t>
            </w:r>
          </w:p>
        </w:tc>
      </w:tr>
    </w:tbl>
    <w:p w:rsidR="00C37DE2" w:rsidRPr="003D6CB1" w:rsidRDefault="00F008CE" w:rsidP="003D6CB1">
      <w:pPr>
        <w:pStyle w:val="a5"/>
        <w:widowControl/>
        <w:spacing w:beforeAutospacing="0" w:afterAutospacing="0" w:line="600" w:lineRule="exact"/>
        <w:ind w:firstLineChars="196" w:firstLine="630"/>
        <w:rPr>
          <w:rFonts w:ascii="黑体" w:eastAsia="黑体" w:hAnsi="黑体" w:cs="仿宋"/>
          <w:b/>
          <w:sz w:val="32"/>
          <w:szCs w:val="32"/>
        </w:rPr>
      </w:pPr>
      <w:r w:rsidRPr="003D6CB1">
        <w:rPr>
          <w:rFonts w:ascii="黑体" w:eastAsia="黑体" w:hAnsi="黑体" w:cs="仿宋" w:hint="eastAsia"/>
          <w:b/>
          <w:sz w:val="32"/>
          <w:szCs w:val="32"/>
        </w:rPr>
        <w:t>八、名词解释</w:t>
      </w:r>
    </w:p>
    <w:p w:rsidR="005B15CD" w:rsidRPr="003E227A" w:rsidRDefault="005B15CD" w:rsidP="005B15CD">
      <w:pPr>
        <w:widowControl/>
        <w:spacing w:line="600" w:lineRule="exact"/>
        <w:ind w:left="300" w:firstLine="480"/>
        <w:jc w:val="left"/>
        <w:rPr>
          <w:rFonts w:ascii="仿宋_GB2312" w:eastAsia="仿宋_GB2312" w:hAnsi="仿宋" w:cs="仿宋"/>
          <w:kern w:val="0"/>
          <w:sz w:val="32"/>
          <w:szCs w:val="32"/>
        </w:rPr>
      </w:pPr>
      <w:r w:rsidRPr="003E227A">
        <w:rPr>
          <w:rFonts w:ascii="仿宋_GB2312" w:eastAsia="仿宋_GB2312" w:hAnsi="仿宋" w:cs="仿宋" w:hint="eastAsia"/>
          <w:kern w:val="0"/>
          <w:sz w:val="32"/>
          <w:szCs w:val="32"/>
        </w:rPr>
        <w:t>1、一般公共预算拨款收入：指省级财政当年拨付的资金。</w:t>
      </w:r>
    </w:p>
    <w:p w:rsidR="005B15CD" w:rsidRPr="003E227A" w:rsidRDefault="005B15CD" w:rsidP="005B15CD">
      <w:pPr>
        <w:widowControl/>
        <w:spacing w:line="600" w:lineRule="exact"/>
        <w:ind w:left="300" w:firstLine="480"/>
        <w:jc w:val="left"/>
        <w:rPr>
          <w:rFonts w:ascii="仿宋_GB2312" w:eastAsia="仿宋_GB2312" w:hAnsi="仿宋" w:cs="仿宋"/>
          <w:kern w:val="0"/>
          <w:sz w:val="32"/>
          <w:szCs w:val="32"/>
        </w:rPr>
      </w:pPr>
      <w:r w:rsidRPr="003E227A">
        <w:rPr>
          <w:rFonts w:ascii="仿宋_GB2312" w:eastAsia="仿宋_GB2312" w:hAnsi="仿宋" w:cs="仿宋" w:hint="eastAsia"/>
          <w:kern w:val="0"/>
          <w:sz w:val="32"/>
          <w:szCs w:val="32"/>
        </w:rPr>
        <w:t>2、事业收入：指事业单位开展专业业务活动及辅助活动所取得的收入。</w:t>
      </w:r>
    </w:p>
    <w:p w:rsidR="005B15CD" w:rsidRPr="003E227A" w:rsidRDefault="005B15CD" w:rsidP="005B15CD">
      <w:pPr>
        <w:widowControl/>
        <w:spacing w:line="600" w:lineRule="exact"/>
        <w:ind w:left="300" w:firstLine="480"/>
        <w:jc w:val="left"/>
        <w:rPr>
          <w:rFonts w:ascii="仿宋_GB2312" w:eastAsia="仿宋_GB2312" w:hAnsi="仿宋" w:cs="仿宋"/>
          <w:kern w:val="0"/>
          <w:sz w:val="32"/>
          <w:szCs w:val="32"/>
        </w:rPr>
      </w:pPr>
      <w:r w:rsidRPr="003E227A">
        <w:rPr>
          <w:rFonts w:ascii="仿宋_GB2312" w:eastAsia="仿宋_GB2312" w:hAnsi="仿宋" w:cs="仿宋" w:hint="eastAsia"/>
          <w:kern w:val="0"/>
          <w:sz w:val="32"/>
          <w:szCs w:val="32"/>
        </w:rPr>
        <w:t>3、其他收入：指除“一般公共预算拨款收入”、“事业收入”等以外的收入。主要是按规定动用的租房收入、存款利息收入等。</w:t>
      </w:r>
    </w:p>
    <w:p w:rsidR="005B15CD" w:rsidRPr="003E227A" w:rsidRDefault="005B15CD" w:rsidP="005B15CD">
      <w:pPr>
        <w:widowControl/>
        <w:spacing w:line="600" w:lineRule="exact"/>
        <w:ind w:left="300" w:firstLine="480"/>
        <w:jc w:val="left"/>
        <w:rPr>
          <w:rFonts w:ascii="仿宋_GB2312" w:eastAsia="仿宋_GB2312" w:hAnsi="仿宋" w:cs="仿宋"/>
          <w:kern w:val="0"/>
          <w:sz w:val="32"/>
          <w:szCs w:val="32"/>
        </w:rPr>
      </w:pPr>
      <w:r w:rsidRPr="003E227A">
        <w:rPr>
          <w:rFonts w:ascii="仿宋_GB2312" w:eastAsia="仿宋_GB2312" w:hAnsi="仿宋" w:cs="仿宋" w:hint="eastAsia"/>
          <w:kern w:val="0"/>
          <w:sz w:val="32"/>
          <w:szCs w:val="32"/>
        </w:rPr>
        <w:t>4、基本支出：指为保障机构正常运转、完成日常工作任务而发生的人员支出和公用支出。</w:t>
      </w:r>
    </w:p>
    <w:p w:rsidR="005B15CD" w:rsidRPr="003E227A" w:rsidRDefault="005B15CD" w:rsidP="005B15CD">
      <w:pPr>
        <w:widowControl/>
        <w:spacing w:line="600" w:lineRule="exact"/>
        <w:ind w:left="300" w:firstLine="480"/>
        <w:jc w:val="left"/>
        <w:rPr>
          <w:rFonts w:ascii="仿宋_GB2312" w:eastAsia="仿宋_GB2312" w:hAnsi="仿宋" w:cs="仿宋"/>
          <w:kern w:val="0"/>
          <w:sz w:val="32"/>
          <w:szCs w:val="32"/>
        </w:rPr>
      </w:pPr>
      <w:r w:rsidRPr="003E227A">
        <w:rPr>
          <w:rFonts w:ascii="仿宋_GB2312" w:eastAsia="仿宋_GB2312" w:hAnsi="仿宋" w:cs="仿宋" w:hint="eastAsia"/>
          <w:kern w:val="0"/>
          <w:sz w:val="32"/>
          <w:szCs w:val="32"/>
        </w:rPr>
        <w:t>5、项目支出：指在基本支出之外为完成特定行政任务和事业发展目标所发生的支出。</w:t>
      </w:r>
    </w:p>
    <w:p w:rsidR="005B15CD" w:rsidRPr="003E227A" w:rsidRDefault="005B15CD" w:rsidP="005B15CD">
      <w:pPr>
        <w:widowControl/>
        <w:spacing w:line="600" w:lineRule="exact"/>
        <w:ind w:left="300" w:firstLine="480"/>
        <w:jc w:val="left"/>
        <w:rPr>
          <w:rFonts w:ascii="仿宋_GB2312" w:eastAsia="仿宋_GB2312" w:hAnsi="仿宋" w:cs="仿宋"/>
          <w:kern w:val="0"/>
          <w:sz w:val="32"/>
          <w:szCs w:val="32"/>
        </w:rPr>
      </w:pPr>
      <w:r w:rsidRPr="003E227A">
        <w:rPr>
          <w:rFonts w:ascii="仿宋_GB2312" w:eastAsia="仿宋_GB2312" w:hAnsi="仿宋" w:cs="仿宋" w:hint="eastAsia"/>
          <w:kern w:val="0"/>
          <w:sz w:val="32"/>
          <w:szCs w:val="32"/>
        </w:rPr>
        <w:t>6、上缴上级支出：指下级单位上缴上级的支出。</w:t>
      </w:r>
    </w:p>
    <w:p w:rsidR="005B15CD" w:rsidRPr="003E227A" w:rsidRDefault="005B15CD" w:rsidP="005B15CD">
      <w:pPr>
        <w:widowControl/>
        <w:spacing w:line="600" w:lineRule="exact"/>
        <w:ind w:left="300" w:firstLine="480"/>
        <w:jc w:val="left"/>
        <w:rPr>
          <w:rFonts w:ascii="仿宋_GB2312" w:eastAsia="仿宋_GB2312" w:hAnsi="仿宋" w:cs="仿宋"/>
          <w:kern w:val="0"/>
          <w:sz w:val="32"/>
          <w:szCs w:val="32"/>
        </w:rPr>
      </w:pPr>
      <w:r w:rsidRPr="003E227A">
        <w:rPr>
          <w:rFonts w:ascii="仿宋_GB2312" w:eastAsia="仿宋_GB2312" w:hAnsi="仿宋" w:cs="仿宋" w:hint="eastAsia"/>
          <w:kern w:val="0"/>
          <w:sz w:val="32"/>
          <w:szCs w:val="32"/>
        </w:rPr>
        <w:lastRenderedPageBreak/>
        <w:t>7、“三公”经费：纳入省级财政预算管理的“三公”经费，是指省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rsidR="005B15CD" w:rsidRPr="003E227A" w:rsidRDefault="005B15CD" w:rsidP="005B15CD">
      <w:pPr>
        <w:widowControl/>
        <w:spacing w:line="600" w:lineRule="exact"/>
        <w:ind w:left="300" w:firstLine="480"/>
        <w:jc w:val="left"/>
        <w:rPr>
          <w:rFonts w:ascii="仿宋_GB2312" w:eastAsia="仿宋_GB2312" w:hAnsi="仿宋" w:cs="仿宋"/>
          <w:kern w:val="0"/>
          <w:sz w:val="32"/>
          <w:szCs w:val="32"/>
        </w:rPr>
      </w:pPr>
      <w:r w:rsidRPr="003E227A">
        <w:rPr>
          <w:rFonts w:ascii="仿宋_GB2312" w:eastAsia="仿宋_GB2312" w:hAnsi="仿宋" w:cs="仿宋" w:hint="eastAsia"/>
          <w:kern w:val="0"/>
          <w:sz w:val="32"/>
          <w:szCs w:val="32"/>
        </w:rPr>
        <w:t>8、机关运行费：是指各部门的公用经费，包括办公及印刷费、邮电费、差旅费、会议费、福利费、日常维修费、专用材料及一般设备购置费、办公用房水电费、办公用房取暖费、办公用房物业管理费、公务用车运行维护费以及其他费用。</w:t>
      </w:r>
    </w:p>
    <w:p w:rsidR="005B15CD" w:rsidRPr="003E227A" w:rsidRDefault="005B15CD" w:rsidP="005B15CD">
      <w:pPr>
        <w:widowControl/>
        <w:spacing w:line="600" w:lineRule="exact"/>
        <w:ind w:left="300" w:firstLine="480"/>
        <w:jc w:val="left"/>
        <w:rPr>
          <w:rFonts w:ascii="仿宋_GB2312" w:eastAsia="仿宋_GB2312" w:hAnsi="仿宋" w:cs="仿宋"/>
          <w:kern w:val="0"/>
          <w:sz w:val="32"/>
          <w:szCs w:val="32"/>
        </w:rPr>
      </w:pPr>
      <w:r w:rsidRPr="003E227A">
        <w:rPr>
          <w:rFonts w:ascii="仿宋_GB2312" w:eastAsia="仿宋_GB2312" w:hAnsi="仿宋" w:cs="仿宋" w:hint="eastAsia"/>
          <w:kern w:val="0"/>
          <w:sz w:val="32"/>
          <w:szCs w:val="32"/>
        </w:rPr>
        <w:t>9、上年结转：指以前年度尚未完成、结转到本年仍按原规定用途继续使用的资金。</w:t>
      </w:r>
    </w:p>
    <w:p w:rsidR="005B15CD" w:rsidRPr="003E227A" w:rsidRDefault="005B15CD" w:rsidP="005B15CD">
      <w:pPr>
        <w:ind w:firstLineChars="200" w:firstLine="640"/>
      </w:pPr>
      <w:r w:rsidRPr="003E227A">
        <w:rPr>
          <w:rFonts w:ascii="仿宋_GB2312" w:eastAsia="仿宋_GB2312" w:hAnsi="仿宋" w:cs="仿宋" w:hint="eastAsia"/>
          <w:kern w:val="0"/>
          <w:sz w:val="32"/>
          <w:szCs w:val="32"/>
        </w:rPr>
        <w:t>10、事业单位经营支出：指事业单位在专业业务活动及其辅助活动之外开展非独立核算经营活动发生的支出。</w:t>
      </w:r>
    </w:p>
    <w:p w:rsidR="00C37DE2" w:rsidRPr="003D6CB1" w:rsidRDefault="00F008CE" w:rsidP="00FC0659">
      <w:pPr>
        <w:pStyle w:val="a5"/>
        <w:widowControl/>
        <w:spacing w:beforeAutospacing="0" w:afterAutospacing="0" w:line="600" w:lineRule="exact"/>
        <w:ind w:firstLineChars="196" w:firstLine="630"/>
        <w:rPr>
          <w:rFonts w:ascii="黑体" w:eastAsia="黑体" w:hAnsi="黑体" w:cs="仿宋"/>
          <w:b/>
          <w:sz w:val="32"/>
          <w:szCs w:val="32"/>
        </w:rPr>
      </w:pPr>
      <w:r w:rsidRPr="003D6CB1">
        <w:rPr>
          <w:rFonts w:ascii="黑体" w:eastAsia="黑体" w:hAnsi="黑体" w:cs="仿宋" w:hint="eastAsia"/>
          <w:b/>
          <w:sz w:val="32"/>
          <w:szCs w:val="32"/>
        </w:rPr>
        <w:t>九、其他需说明的事项</w:t>
      </w:r>
    </w:p>
    <w:p w:rsidR="00C37DE2" w:rsidRPr="003D6CB1" w:rsidRDefault="00F008CE" w:rsidP="003D6CB1">
      <w:pPr>
        <w:widowControl/>
        <w:spacing w:line="600" w:lineRule="exact"/>
        <w:jc w:val="left"/>
        <w:rPr>
          <w:rFonts w:ascii="仿宋_GB2312" w:eastAsia="仿宋_GB2312" w:hAnsi="仿宋" w:cs="仿宋"/>
          <w:kern w:val="0"/>
          <w:sz w:val="32"/>
          <w:szCs w:val="32"/>
        </w:rPr>
      </w:pPr>
      <w:r w:rsidRPr="00F06B5F">
        <w:rPr>
          <w:rFonts w:ascii="仿宋_GB2312" w:eastAsia="仿宋_GB2312" w:hAnsi="仿宋" w:cs="仿宋" w:hint="eastAsia"/>
          <w:kern w:val="0"/>
          <w:sz w:val="32"/>
          <w:szCs w:val="32"/>
        </w:rPr>
        <w:t>无其他需说明的事项。</w:t>
      </w:r>
    </w:p>
    <w:sectPr w:rsidR="00C37DE2" w:rsidRPr="003D6CB1" w:rsidSect="00C37DE2">
      <w:pgSz w:w="16838" w:h="11906" w:orient="landscape"/>
      <w:pgMar w:top="1797" w:right="1440" w:bottom="1797"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63CF3" w:rsidRDefault="00063CF3" w:rsidP="00C37DE2">
      <w:r>
        <w:separator/>
      </w:r>
    </w:p>
  </w:endnote>
  <w:endnote w:type="continuationSeparator" w:id="1">
    <w:p w:rsidR="00063CF3" w:rsidRDefault="00063CF3" w:rsidP="00C37DE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宋体"/>
    <w:charset w:val="86"/>
    <w:family w:val="roman"/>
    <w:pitch w:val="default"/>
    <w:sig w:usb0="00000000" w:usb1="00000000" w:usb2="00000000" w:usb3="00000000" w:csb0="00040001" w:csb1="00000000"/>
  </w:font>
  <w:font w:name="方正书宋_GBK">
    <w:altName w:val="宋体"/>
    <w:charset w:val="86"/>
    <w:family w:val="roman"/>
    <w:pitch w:val="default"/>
    <w:sig w:usb0="00000000" w:usb1="00000000" w:usb2="00000000"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63CF3" w:rsidRDefault="00063CF3" w:rsidP="00C37DE2">
      <w:r>
        <w:separator/>
      </w:r>
    </w:p>
  </w:footnote>
  <w:footnote w:type="continuationSeparator" w:id="1">
    <w:p w:rsidR="00063CF3" w:rsidRDefault="00063CF3" w:rsidP="00C37DE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DE2" w:rsidRDefault="00C37DE2">
    <w:pPr>
      <w:pStyle w:val="a4"/>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0A984C"/>
    <w:multiLevelType w:val="singleLevel"/>
    <w:tmpl w:val="5A0A984C"/>
    <w:lvl w:ilvl="0">
      <w:start w:val="1"/>
      <w:numFmt w:val="decimal"/>
      <w:suff w:val="nothing"/>
      <w:lvlText w:val="（%1）"/>
      <w:lvlJc w:val="left"/>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B3BAF"/>
    <w:rsid w:val="00044AB8"/>
    <w:rsid w:val="0005350F"/>
    <w:rsid w:val="00063CF3"/>
    <w:rsid w:val="000B0AF9"/>
    <w:rsid w:val="001626CD"/>
    <w:rsid w:val="00164A98"/>
    <w:rsid w:val="002057F1"/>
    <w:rsid w:val="002340ED"/>
    <w:rsid w:val="002B3BAF"/>
    <w:rsid w:val="00355F04"/>
    <w:rsid w:val="00396D79"/>
    <w:rsid w:val="003D6CB1"/>
    <w:rsid w:val="00437BE3"/>
    <w:rsid w:val="005718DF"/>
    <w:rsid w:val="005B15CD"/>
    <w:rsid w:val="005C58BD"/>
    <w:rsid w:val="006560ED"/>
    <w:rsid w:val="00770254"/>
    <w:rsid w:val="008230DD"/>
    <w:rsid w:val="00831528"/>
    <w:rsid w:val="008C5467"/>
    <w:rsid w:val="008D3EE9"/>
    <w:rsid w:val="008D6B94"/>
    <w:rsid w:val="008F5904"/>
    <w:rsid w:val="00911A41"/>
    <w:rsid w:val="00935B7F"/>
    <w:rsid w:val="00A333E3"/>
    <w:rsid w:val="00A54B17"/>
    <w:rsid w:val="00A642A5"/>
    <w:rsid w:val="00A7261C"/>
    <w:rsid w:val="00C37DE2"/>
    <w:rsid w:val="00C935E2"/>
    <w:rsid w:val="00CB2BA0"/>
    <w:rsid w:val="00CF2BF8"/>
    <w:rsid w:val="00D752A6"/>
    <w:rsid w:val="00F008CE"/>
    <w:rsid w:val="00F06B5F"/>
    <w:rsid w:val="00F46F06"/>
    <w:rsid w:val="00FC0659"/>
    <w:rsid w:val="00FD25BF"/>
    <w:rsid w:val="05947F42"/>
    <w:rsid w:val="079A761B"/>
    <w:rsid w:val="08C72958"/>
    <w:rsid w:val="09EF76F2"/>
    <w:rsid w:val="0A473BF6"/>
    <w:rsid w:val="0FAD4E32"/>
    <w:rsid w:val="104E3F1E"/>
    <w:rsid w:val="136846CE"/>
    <w:rsid w:val="15943683"/>
    <w:rsid w:val="17151B8C"/>
    <w:rsid w:val="193C059B"/>
    <w:rsid w:val="24E16D62"/>
    <w:rsid w:val="2AF63789"/>
    <w:rsid w:val="2EF810E0"/>
    <w:rsid w:val="2FEF3885"/>
    <w:rsid w:val="321F47FD"/>
    <w:rsid w:val="38ED5F21"/>
    <w:rsid w:val="3E2C4B09"/>
    <w:rsid w:val="408462C8"/>
    <w:rsid w:val="450A354A"/>
    <w:rsid w:val="4C00043B"/>
    <w:rsid w:val="4CC45DEE"/>
    <w:rsid w:val="4FC24954"/>
    <w:rsid w:val="504743E8"/>
    <w:rsid w:val="5AB6257E"/>
    <w:rsid w:val="5B756DDF"/>
    <w:rsid w:val="5BA815A4"/>
    <w:rsid w:val="5D0E3E7C"/>
    <w:rsid w:val="610E0894"/>
    <w:rsid w:val="656A2CCA"/>
    <w:rsid w:val="68303D34"/>
    <w:rsid w:val="69707EFD"/>
    <w:rsid w:val="6DF85D42"/>
    <w:rsid w:val="71D31BB3"/>
    <w:rsid w:val="71E33D8C"/>
    <w:rsid w:val="736B7DAB"/>
    <w:rsid w:val="76720EB0"/>
    <w:rsid w:val="7E5A51C2"/>
  </w:rsids>
  <m:mathPr>
    <m:mathFont m:val="Cambria Math"/>
    <m:brkBin m:val="before"/>
    <m:brkBinSub m:val="--"/>
    <m:smallFrac/>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locked="1" w:uiPriority="0" w:qFormat="1"/>
    <w:lsdException w:name="heading 3"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semiHidden="0" w:unhideWhenUsed="0" w:qFormat="1"/>
    <w:lsdException w:name="footer" w:semiHidden="0" w:unhideWhenUsed="0" w:qFormat="1"/>
    <w:lsdException w:name="caption" w:locked="1" w:uiPriority="0" w:qFormat="1"/>
    <w:lsdException w:name="Title" w:locked="1" w:semiHidden="0" w:uiPriority="0" w:unhideWhenUsed="0" w:qFormat="1"/>
    <w:lsdException w:name="Default Paragraph Font" w:uiPriority="1" w:qFormat="1"/>
    <w:lsdException w:name="Subtitle" w:locked="1" w:semiHidden="0" w:uiPriority="0" w:unhideWhenUsed="0" w:qFormat="1"/>
    <w:lsdException w:name="Hyperlink" w:semiHidden="0" w:unhideWhenUsed="0" w:qFormat="1"/>
    <w:lsdException w:name="Strong" w:semiHidden="0" w:unhideWhenUsed="0" w:qFormat="1"/>
    <w:lsdException w:name="Emphasis" w:locked="1" w:semiHidden="0" w:uiPriority="0" w:unhideWhenUsed="0" w:qFormat="1"/>
    <w:lsdException w:name="Normal (Web)" w:semiHidden="0" w:unhideWhenUsed="0" w:qFormat="1"/>
    <w:lsdException w:name="Normal Table" w:qFormat="1"/>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7DE2"/>
    <w:pPr>
      <w:widowControl w:val="0"/>
      <w:jc w:val="both"/>
    </w:pPr>
    <w:rPr>
      <w:rFonts w:ascii="Calibri" w:hAnsi="Calibri"/>
      <w:kern w:val="2"/>
      <w:sz w:val="21"/>
      <w:szCs w:val="24"/>
    </w:rPr>
  </w:style>
  <w:style w:type="paragraph" w:styleId="1">
    <w:name w:val="heading 1"/>
    <w:basedOn w:val="a"/>
    <w:next w:val="a"/>
    <w:link w:val="1Char"/>
    <w:uiPriority w:val="99"/>
    <w:qFormat/>
    <w:rsid w:val="00C37DE2"/>
    <w:pPr>
      <w:spacing w:beforeAutospacing="1" w:afterAutospacing="1"/>
      <w:jc w:val="left"/>
      <w:outlineLvl w:val="0"/>
    </w:pPr>
    <w:rPr>
      <w:rFonts w:ascii="宋体" w:hAnsi="宋体"/>
      <w:b/>
      <w:kern w:val="44"/>
      <w:sz w:val="48"/>
      <w:szCs w:val="48"/>
    </w:rPr>
  </w:style>
  <w:style w:type="paragraph" w:styleId="3">
    <w:name w:val="heading 3"/>
    <w:basedOn w:val="a"/>
    <w:next w:val="a"/>
    <w:link w:val="3Char"/>
    <w:uiPriority w:val="99"/>
    <w:qFormat/>
    <w:rsid w:val="00C37DE2"/>
    <w:pPr>
      <w:spacing w:beforeAutospacing="1" w:afterAutospacing="1"/>
      <w:jc w:val="left"/>
      <w:outlineLvl w:val="2"/>
    </w:pPr>
    <w:rPr>
      <w:rFonts w:ascii="宋体" w:hAnsi="宋体"/>
      <w:b/>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rsid w:val="00C37DE2"/>
    <w:pPr>
      <w:tabs>
        <w:tab w:val="center" w:pos="4153"/>
        <w:tab w:val="right" w:pos="8306"/>
      </w:tabs>
      <w:snapToGrid w:val="0"/>
      <w:jc w:val="left"/>
    </w:pPr>
    <w:rPr>
      <w:sz w:val="18"/>
      <w:szCs w:val="18"/>
    </w:rPr>
  </w:style>
  <w:style w:type="paragraph" w:styleId="a4">
    <w:name w:val="header"/>
    <w:basedOn w:val="a"/>
    <w:link w:val="Char0"/>
    <w:uiPriority w:val="99"/>
    <w:qFormat/>
    <w:rsid w:val="00C37DE2"/>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qFormat/>
    <w:rsid w:val="00C37DE2"/>
    <w:pPr>
      <w:spacing w:beforeAutospacing="1" w:afterAutospacing="1"/>
      <w:jc w:val="left"/>
    </w:pPr>
    <w:rPr>
      <w:kern w:val="0"/>
      <w:sz w:val="24"/>
    </w:rPr>
  </w:style>
  <w:style w:type="character" w:styleId="a6">
    <w:name w:val="Strong"/>
    <w:basedOn w:val="a0"/>
    <w:uiPriority w:val="99"/>
    <w:qFormat/>
    <w:rsid w:val="00C37DE2"/>
    <w:rPr>
      <w:rFonts w:cs="Times New Roman"/>
      <w:b/>
    </w:rPr>
  </w:style>
  <w:style w:type="character" w:styleId="a7">
    <w:name w:val="Hyperlink"/>
    <w:basedOn w:val="a0"/>
    <w:uiPriority w:val="99"/>
    <w:qFormat/>
    <w:rsid w:val="00C37DE2"/>
    <w:rPr>
      <w:rFonts w:cs="Times New Roman"/>
      <w:color w:val="0000FF"/>
      <w:u w:val="single"/>
    </w:rPr>
  </w:style>
  <w:style w:type="character" w:customStyle="1" w:styleId="1Char">
    <w:name w:val="标题 1 Char"/>
    <w:basedOn w:val="a0"/>
    <w:link w:val="1"/>
    <w:uiPriority w:val="99"/>
    <w:locked/>
    <w:rsid w:val="00C37DE2"/>
    <w:rPr>
      <w:rFonts w:ascii="Calibri" w:hAnsi="Calibri" w:cs="Times New Roman"/>
      <w:b/>
      <w:bCs/>
      <w:kern w:val="44"/>
      <w:sz w:val="44"/>
      <w:szCs w:val="44"/>
    </w:rPr>
  </w:style>
  <w:style w:type="character" w:customStyle="1" w:styleId="3Char">
    <w:name w:val="标题 3 Char"/>
    <w:basedOn w:val="a0"/>
    <w:link w:val="3"/>
    <w:uiPriority w:val="99"/>
    <w:semiHidden/>
    <w:qFormat/>
    <w:locked/>
    <w:rsid w:val="00C37DE2"/>
    <w:rPr>
      <w:rFonts w:ascii="Calibri" w:hAnsi="Calibri" w:cs="Times New Roman"/>
      <w:b/>
      <w:bCs/>
      <w:sz w:val="32"/>
      <w:szCs w:val="32"/>
    </w:rPr>
  </w:style>
  <w:style w:type="character" w:customStyle="1" w:styleId="Char">
    <w:name w:val="页脚 Char"/>
    <w:basedOn w:val="a0"/>
    <w:link w:val="a3"/>
    <w:uiPriority w:val="99"/>
    <w:semiHidden/>
    <w:locked/>
    <w:rsid w:val="00C37DE2"/>
    <w:rPr>
      <w:rFonts w:ascii="Calibri" w:hAnsi="Calibri" w:cs="Times New Roman"/>
      <w:sz w:val="18"/>
      <w:szCs w:val="18"/>
    </w:rPr>
  </w:style>
  <w:style w:type="character" w:customStyle="1" w:styleId="Char0">
    <w:name w:val="页眉 Char"/>
    <w:basedOn w:val="a0"/>
    <w:link w:val="a4"/>
    <w:uiPriority w:val="99"/>
    <w:semiHidden/>
    <w:qFormat/>
    <w:locked/>
    <w:rsid w:val="00C37DE2"/>
    <w:rPr>
      <w:rFonts w:ascii="Calibri" w:hAnsi="Calibri" w:cs="Times New Roman"/>
      <w:sz w:val="18"/>
      <w:szCs w:val="18"/>
    </w:rPr>
  </w:style>
</w:styles>
</file>

<file path=word/webSettings.xml><?xml version="1.0" encoding="utf-8"?>
<w:webSettings xmlns:r="http://schemas.openxmlformats.org/officeDocument/2006/relationships" xmlns:w="http://schemas.openxmlformats.org/wordprocessingml/2006/main">
  <w:divs>
    <w:div w:id="1200242994">
      <w:bodyDiv w:val="1"/>
      <w:marLeft w:val="0"/>
      <w:marRight w:val="0"/>
      <w:marTop w:val="0"/>
      <w:marBottom w:val="0"/>
      <w:divBdr>
        <w:top w:val="none" w:sz="0" w:space="0" w:color="auto"/>
        <w:left w:val="none" w:sz="0" w:space="0" w:color="auto"/>
        <w:bottom w:val="none" w:sz="0" w:space="0" w:color="auto"/>
        <w:right w:val="none" w:sz="0" w:space="0" w:color="auto"/>
      </w:divBdr>
    </w:div>
    <w:div w:id="20414648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12</Pages>
  <Words>855</Words>
  <Characters>4876</Characters>
  <Application>Microsoft Office Word</Application>
  <DocSecurity>0</DocSecurity>
  <Lines>40</Lines>
  <Paragraphs>11</Paragraphs>
  <ScaleCrop>false</ScaleCrop>
  <Company/>
  <LinksUpToDate>false</LinksUpToDate>
  <CharactersWithSpaces>5720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wxy</dc:creator>
  <cp:lastModifiedBy>预算编审中心</cp:lastModifiedBy>
  <cp:revision>13</cp:revision>
  <dcterms:created xsi:type="dcterms:W3CDTF">2014-10-29T12:08:00Z</dcterms:created>
  <dcterms:modified xsi:type="dcterms:W3CDTF">2019-01-28T06:51:00Z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