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8D" w:rsidRDefault="00B840D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0B3E8D" w:rsidRDefault="000B3E8D">
      <w:pPr>
        <w:jc w:val="left"/>
        <w:rPr>
          <w:rFonts w:ascii="黑体" w:eastAsia="黑体" w:hAnsi="黑体"/>
          <w:color w:val="000000"/>
          <w:sz w:val="32"/>
        </w:rPr>
      </w:pPr>
    </w:p>
    <w:p w:rsidR="000B3E8D" w:rsidRDefault="00B840D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>
        <w:rPr>
          <w:rFonts w:ascii="黑体" w:eastAsia="黑体" w:hAnsi="黑体" w:cs="楷体" w:hint="eastAsia"/>
          <w:color w:val="000000"/>
          <w:sz w:val="32"/>
        </w:rPr>
        <w:t>第一部分</w:t>
      </w:r>
      <w:r>
        <w:rPr>
          <w:rFonts w:ascii="黑体" w:eastAsia="黑体" w:hAnsi="黑体" w:cs="楷体" w:hint="eastAsia"/>
          <w:color w:val="000000"/>
          <w:sz w:val="32"/>
        </w:rPr>
        <w:t xml:space="preserve"> </w:t>
      </w:r>
      <w:r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0B3E8D" w:rsidRDefault="00B840D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0B3E8D" w:rsidRDefault="00B840D7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接待来访，处理信（电邮）件；积极引导信访人履行复查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复核程序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大力化解信访积案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加强值班劝返和现场处置工作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把非访量降下来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确保不发生大规模进京集体访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确保不发生个人极端恶性事件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提出对策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加强信息化建设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将信访事项及时录入信访信息系统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检查指导全区信访工作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各项规章制度健全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档案保管完好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一委三中心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特别就群众工作中心日常工作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综合协调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分类处理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负责群众来访事项的全程处理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一厅式接访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一次性调查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一揽子解决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提供法律咨询服务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做好思想疏导和教育工作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0B3E8D" w:rsidRDefault="00B840D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  <w:bookmarkStart w:id="0" w:name="_GoBack"/>
      <w:bookmarkEnd w:id="0"/>
    </w:p>
    <w:p w:rsidR="000B3E8D" w:rsidRDefault="00B840D7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受理群众来信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来访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网邮情况及办理情况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加强值班劝返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确保重大活动顺利进行情况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复查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听证情况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督查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督办情况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协调甄别案件情况及时高效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非访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越级集体访下降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解决疑难问题情况能力增强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调研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人民建议征集情况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信息化建设良好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网络畅通</w:t>
      </w:r>
      <w:r>
        <w:rPr>
          <w:rFonts w:ascii="仿宋_GB2312" w:eastAsia="仿宋_GB2312" w:hAnsi="仿宋_GB2312" w:cs="仿宋_GB2312" w:hint="eastAsia"/>
          <w:sz w:val="32"/>
          <w:szCs w:val="32"/>
        </w:rPr>
        <w:t>."</w:t>
      </w:r>
      <w:r>
        <w:rPr>
          <w:rFonts w:ascii="仿宋_GB2312" w:eastAsia="仿宋_GB2312" w:hAnsi="仿宋_GB2312" w:cs="仿宋_GB2312" w:hint="eastAsia"/>
          <w:sz w:val="32"/>
          <w:szCs w:val="32"/>
        </w:rPr>
        <w:t>一委三中心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日常工作运转高效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接待群众积极有序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处理得当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群众满</w:t>
      </w:r>
      <w:r>
        <w:rPr>
          <w:rFonts w:ascii="仿宋_GB2312" w:eastAsia="仿宋_GB2312" w:hAnsi="仿宋_GB2312" w:cs="仿宋_GB2312" w:hint="eastAsia"/>
          <w:sz w:val="32"/>
          <w:szCs w:val="32"/>
        </w:rPr>
        <w:t>意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帮助贫困群众和其他弱势群体生活安定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0B3E8D" w:rsidRDefault="00B840D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0B3E8D" w:rsidRDefault="00B840D7">
      <w:pPr>
        <w:spacing w:line="500" w:lineRule="exact"/>
        <w:ind w:firstLineChars="200" w:firstLine="64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开展一线工作法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深入基层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到群众中去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加强业务培训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提高职工能力素质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积极受理人民群众来信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网上信访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热情接待群众来访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认真承办上级机关转办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交办的信访案件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加强值班劝返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做好重大活动现场处置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热心帮助贫困群众和其他弱势群体生活安定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</w:p>
    <w:p w:rsidR="003026CF" w:rsidRDefault="003026CF">
      <w:pPr>
        <w:ind w:firstLineChars="200" w:firstLine="640"/>
        <w:rPr>
          <w:rFonts w:ascii="黑体" w:eastAsia="黑体" w:hAnsi="黑体"/>
          <w:sz w:val="32"/>
          <w:szCs w:val="32"/>
        </w:rPr>
        <w:sectPr w:rsidR="003026C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0B3E8D" w:rsidRDefault="00B840D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预算项目绩效目标</w:t>
      </w:r>
    </w:p>
    <w:p w:rsidR="000B3E8D" w:rsidRPr="003026CF" w:rsidRDefault="00B840D7" w:rsidP="003026CF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3026CF">
        <w:rPr>
          <w:rFonts w:ascii="仿宋_GB2312" w:eastAsia="仿宋_GB2312" w:hint="eastAsia"/>
          <w:sz w:val="32"/>
          <w:szCs w:val="32"/>
        </w:rPr>
        <w:t>1</w:t>
      </w:r>
      <w:r w:rsidRPr="003026CF">
        <w:rPr>
          <w:rFonts w:ascii="仿宋_GB2312" w:eastAsia="仿宋_GB2312" w:hint="eastAsia"/>
          <w:sz w:val="32"/>
          <w:szCs w:val="32"/>
        </w:rPr>
        <w:t>、“一委三中心”劳务派遣人员经费绩效目标表</w:t>
      </w:r>
      <w:r w:rsidR="000B3E8D" w:rsidRPr="003026CF">
        <w:rPr>
          <w:rFonts w:ascii="仿宋_GB2312" w:eastAsia="仿宋_GB2312" w:hint="eastAsia"/>
          <w:sz w:val="32"/>
          <w:szCs w:val="32"/>
        </w:rPr>
        <w:fldChar w:fldCharType="begin"/>
      </w:r>
      <w:r w:rsidRPr="003026CF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" w:name="_Toc39669949"/>
      <w:r w:rsidRPr="003026CF">
        <w:rPr>
          <w:rFonts w:ascii="仿宋_GB2312" w:eastAsia="仿宋_GB2312" w:hint="eastAsia"/>
          <w:sz w:val="32"/>
          <w:szCs w:val="32"/>
        </w:rPr>
        <w:instrText>1</w:instrText>
      </w:r>
      <w:r w:rsidRPr="003026CF">
        <w:rPr>
          <w:rFonts w:ascii="仿宋_GB2312" w:eastAsia="仿宋_GB2312" w:hint="eastAsia"/>
          <w:sz w:val="32"/>
          <w:szCs w:val="32"/>
        </w:rPr>
        <w:instrText>、</w:instrText>
      </w:r>
      <w:r w:rsidRPr="003026CF">
        <w:rPr>
          <w:rFonts w:ascii="仿宋_GB2312" w:eastAsia="仿宋_GB2312" w:hint="eastAsia"/>
          <w:sz w:val="32"/>
          <w:szCs w:val="32"/>
        </w:rPr>
        <w:instrText>\</w:instrText>
      </w:r>
      <w:r w:rsidRPr="003026CF">
        <w:rPr>
          <w:rFonts w:ascii="仿宋_GB2312" w:eastAsia="仿宋_GB2312" w:hint="eastAsia"/>
          <w:sz w:val="32"/>
          <w:szCs w:val="32"/>
        </w:rPr>
        <w:instrText>“一委三中心</w:instrText>
      </w:r>
      <w:r w:rsidRPr="003026CF">
        <w:rPr>
          <w:rFonts w:ascii="仿宋_GB2312" w:eastAsia="仿宋_GB2312" w:hint="eastAsia"/>
          <w:sz w:val="32"/>
          <w:szCs w:val="32"/>
        </w:rPr>
        <w:instrText>\</w:instrText>
      </w:r>
      <w:r w:rsidRPr="003026CF">
        <w:rPr>
          <w:rFonts w:ascii="仿宋_GB2312" w:eastAsia="仿宋_GB2312" w:hint="eastAsia"/>
          <w:sz w:val="32"/>
          <w:szCs w:val="32"/>
        </w:rPr>
        <w:instrText>”劳务派遣人员经费绩效目标表</w:instrText>
      </w:r>
      <w:bookmarkEnd w:id="1"/>
      <w:r w:rsidRPr="003026CF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0B3E8D" w:rsidRPr="003026CF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B3E8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202002</w:t>
            </w:r>
            <w:r>
              <w:rPr>
                <w:rFonts w:ascii="方正书宋_GBK" w:eastAsia="方正书宋_GBK" w:hint="eastAsia"/>
                <w:b/>
              </w:rPr>
              <w:t>秦皇岛市北戴河区信访局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202-0601-JXN-M68O</w:t>
            </w:r>
          </w:p>
        </w:tc>
        <w:tc>
          <w:tcPr>
            <w:tcW w:w="1587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cs"/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一委三中心</w:t>
            </w:r>
            <w:r>
              <w:rPr>
                <w:rFonts w:ascii="方正书宋_GBK" w:eastAsia="方正书宋_GBK" w:hint="cs"/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劳务派遣人员经费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vMerge w:val="restart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68.00</w:t>
            </w:r>
          </w:p>
        </w:tc>
        <w:tc>
          <w:tcPr>
            <w:tcW w:w="1587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68.00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noWrap/>
            <w:vAlign w:val="center"/>
          </w:tcPr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vMerge/>
            <w:noWrap/>
            <w:vAlign w:val="center"/>
          </w:tcPr>
          <w:p w:rsidR="000B3E8D" w:rsidRDefault="000B3E8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解决</w:t>
            </w:r>
            <w:r>
              <w:rPr>
                <w:rFonts w:ascii="方正书宋_GBK" w:eastAsia="方正书宋_GBK" w:hint="cs"/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一委三中心</w:t>
            </w:r>
            <w:r>
              <w:rPr>
                <w:rFonts w:ascii="方正书宋_GBK" w:eastAsia="方正书宋_GBK" w:hint="cs"/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人员经费。</w:t>
            </w:r>
            <w:r>
              <w:rPr>
                <w:rFonts w:ascii="方正书宋_GBK" w:eastAsia="方正书宋_GBK" w:hint="cs"/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一委三中心</w:t>
            </w:r>
            <w:r>
              <w:rPr>
                <w:rFonts w:ascii="方正书宋_GBK" w:eastAsia="方正书宋_GBK" w:hint="cs"/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正常运转。信访问题解决及时。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vMerge w:val="restart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noWrap/>
            <w:vAlign w:val="center"/>
          </w:tcPr>
          <w:p w:rsidR="000B3E8D" w:rsidRDefault="000B3E8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、解决</w:t>
            </w:r>
            <w:r>
              <w:rPr>
                <w:rFonts w:ascii="方正书宋_GBK" w:eastAsia="方正书宋_GBK" w:hint="cs"/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一委三中心</w:t>
            </w:r>
            <w:r>
              <w:rPr>
                <w:rFonts w:ascii="方正书宋_GBK" w:eastAsia="方正书宋_GBK" w:hint="cs"/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人员经费。</w:t>
            </w:r>
          </w:p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</w:t>
            </w:r>
            <w:r>
              <w:rPr>
                <w:rFonts w:ascii="方正书宋_GBK" w:eastAsia="方正书宋_GBK" w:hint="cs"/>
                <w:cs/>
              </w:rPr>
              <w:t>“</w:t>
            </w:r>
            <w:r>
              <w:rPr>
                <w:rFonts w:ascii="方正书宋_GBK" w:eastAsia="方正书宋_GBK" w:hint="eastAsia"/>
              </w:rPr>
              <w:t>一委三中心</w:t>
            </w:r>
            <w:r>
              <w:rPr>
                <w:rFonts w:ascii="方正书宋_GBK" w:eastAsia="方正书宋_GBK" w:hint="cs"/>
                <w:cs/>
              </w:rPr>
              <w:t>”</w:t>
            </w:r>
            <w:r>
              <w:rPr>
                <w:rFonts w:ascii="方正书宋_GBK" w:eastAsia="方正书宋_GBK" w:hint="eastAsia"/>
              </w:rPr>
              <w:t>正常运转，</w:t>
            </w:r>
          </w:p>
        </w:tc>
      </w:tr>
    </w:tbl>
    <w:p w:rsidR="000B3E8D" w:rsidRDefault="000B3E8D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0B3E8D">
        <w:trPr>
          <w:cantSplit/>
          <w:trHeight w:val="397"/>
          <w:tblHeader/>
          <w:jc w:val="center"/>
        </w:trPr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B3E8D">
        <w:trPr>
          <w:cantSplit/>
          <w:trHeight w:val="369"/>
          <w:jc w:val="center"/>
        </w:trPr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矛盾纠纷调处率</w:t>
            </w:r>
          </w:p>
        </w:tc>
        <w:tc>
          <w:tcPr>
            <w:tcW w:w="2891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调处矛盾纠纷数量占排查矛盾纠纷比例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98%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noWrap/>
            <w:vAlign w:val="center"/>
          </w:tcPr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B3E8D">
        <w:trPr>
          <w:cantSplit/>
          <w:trHeight w:val="369"/>
          <w:jc w:val="center"/>
        </w:trPr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化解矛盾率</w:t>
            </w:r>
          </w:p>
        </w:tc>
        <w:tc>
          <w:tcPr>
            <w:tcW w:w="2891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司法救助案件化解矛盾的数量占总量的比例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noWrap/>
            <w:vAlign w:val="center"/>
          </w:tcPr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B3E8D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B3E8D" w:rsidRDefault="000B3E8D">
      <w:pPr>
        <w:spacing w:line="300" w:lineRule="exact"/>
        <w:ind w:firstLineChars="200" w:firstLine="420"/>
        <w:jc w:val="left"/>
        <w:sectPr w:rsidR="000B3E8D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0B3E8D" w:rsidRPr="003026CF" w:rsidRDefault="00B840D7" w:rsidP="003026CF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026CF">
        <w:rPr>
          <w:rFonts w:ascii="仿宋_GB2312" w:eastAsia="仿宋_GB2312" w:hint="eastAsia"/>
          <w:sz w:val="32"/>
          <w:szCs w:val="32"/>
        </w:rPr>
        <w:lastRenderedPageBreak/>
        <w:t>2</w:t>
      </w:r>
      <w:r w:rsidRPr="003026CF">
        <w:rPr>
          <w:rFonts w:ascii="仿宋_GB2312" w:eastAsia="仿宋_GB2312" w:hint="eastAsia"/>
          <w:sz w:val="32"/>
          <w:szCs w:val="32"/>
        </w:rPr>
        <w:t>、信访专项工作经费绩效目标表</w:t>
      </w:r>
      <w:r w:rsidR="000B3E8D" w:rsidRPr="003026CF">
        <w:rPr>
          <w:rFonts w:ascii="仿宋_GB2312" w:eastAsia="仿宋_GB2312"/>
          <w:sz w:val="32"/>
          <w:szCs w:val="32"/>
        </w:rPr>
        <w:fldChar w:fldCharType="begin"/>
      </w:r>
      <w:r w:rsidRPr="003026CF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" w:name="_Toc39669950"/>
      <w:r w:rsidRPr="003026CF">
        <w:rPr>
          <w:rFonts w:ascii="仿宋_GB2312" w:eastAsia="仿宋_GB2312" w:hint="eastAsia"/>
          <w:sz w:val="32"/>
          <w:szCs w:val="32"/>
        </w:rPr>
        <w:instrText>2</w:instrText>
      </w:r>
      <w:r w:rsidRPr="003026CF">
        <w:rPr>
          <w:rFonts w:ascii="仿宋_GB2312" w:eastAsia="仿宋_GB2312" w:hint="eastAsia"/>
          <w:sz w:val="32"/>
          <w:szCs w:val="32"/>
        </w:rPr>
        <w:instrText>、信访专项工作经费绩效目标表</w:instrText>
      </w:r>
      <w:bookmarkEnd w:id="2"/>
      <w:r w:rsidRPr="003026CF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0B3E8D" w:rsidRPr="003026CF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0B3E8D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202002</w:t>
            </w:r>
            <w:r>
              <w:rPr>
                <w:rFonts w:ascii="方正书宋_GBK" w:eastAsia="方正书宋_GBK" w:hint="eastAsia"/>
                <w:b/>
              </w:rPr>
              <w:t>秦皇岛市北戴河区信访局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202-0402-JXN-G5ZO</w:t>
            </w:r>
          </w:p>
        </w:tc>
        <w:tc>
          <w:tcPr>
            <w:tcW w:w="1587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信访专项工作经费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vMerge w:val="restart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115.00</w:t>
            </w:r>
          </w:p>
        </w:tc>
        <w:tc>
          <w:tcPr>
            <w:tcW w:w="1587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115.00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noWrap/>
            <w:vAlign w:val="center"/>
          </w:tcPr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vMerge/>
            <w:noWrap/>
            <w:vAlign w:val="center"/>
          </w:tcPr>
          <w:p w:rsidR="000B3E8D" w:rsidRDefault="000B3E8D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一信访人员劝返。二重点时期值班。三解决信访问题，化解矛盾。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vMerge w:val="restart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noWrap/>
            <w:vAlign w:val="center"/>
          </w:tcPr>
          <w:p w:rsidR="000B3E8D" w:rsidRDefault="000B3E8D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0B3E8D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、一信访人员劝返。二重点时期值班。</w:t>
            </w:r>
          </w:p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、解决信访问题，化解矛盾。</w:t>
            </w:r>
          </w:p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解决信访问题，</w:t>
            </w:r>
          </w:p>
        </w:tc>
      </w:tr>
    </w:tbl>
    <w:p w:rsidR="000B3E8D" w:rsidRDefault="000B3E8D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0B3E8D">
        <w:trPr>
          <w:cantSplit/>
          <w:trHeight w:val="397"/>
          <w:tblHeader/>
          <w:jc w:val="center"/>
        </w:trPr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0B3E8D">
        <w:trPr>
          <w:cantSplit/>
          <w:trHeight w:val="369"/>
          <w:jc w:val="center"/>
        </w:trPr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矛盾化解率，及时处置率</w:t>
            </w:r>
          </w:p>
        </w:tc>
        <w:tc>
          <w:tcPr>
            <w:tcW w:w="2891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案件化解数量占受理信访案件数量比例，对越级上访人员及时处置劝返占总上访数量比例</w:t>
            </w:r>
          </w:p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 w:hint="eastAsia"/>
              </w:rPr>
              <w:t>及以上</w:t>
            </w:r>
          </w:p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701" w:type="dxa"/>
            <w:noWrap/>
            <w:vAlign w:val="center"/>
          </w:tcPr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B3E8D">
        <w:trPr>
          <w:cantSplit/>
          <w:trHeight w:val="369"/>
          <w:jc w:val="center"/>
        </w:trPr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上访发生率</w:t>
            </w:r>
          </w:p>
        </w:tc>
        <w:tc>
          <w:tcPr>
            <w:tcW w:w="2891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上访人次占总人口的比例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  <w:r>
              <w:rPr>
                <w:rFonts w:ascii="方正书宋_GBK" w:eastAsia="方正书宋_GBK"/>
              </w:rPr>
              <w:t>0.01</w:t>
            </w:r>
            <w:r>
              <w:rPr>
                <w:rFonts w:ascii="方正书宋_GBK" w:eastAsia="方正书宋_GBK" w:hint="eastAsia"/>
              </w:rPr>
              <w:t>万分之一以下</w:t>
            </w:r>
          </w:p>
        </w:tc>
        <w:tc>
          <w:tcPr>
            <w:tcW w:w="1701" w:type="dxa"/>
            <w:noWrap/>
            <w:vAlign w:val="center"/>
          </w:tcPr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0B3E8D">
        <w:trPr>
          <w:cantSplit/>
          <w:trHeight w:val="369"/>
          <w:jc w:val="center"/>
        </w:trPr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noWrap/>
            <w:vAlign w:val="center"/>
          </w:tcPr>
          <w:p w:rsidR="000B3E8D" w:rsidRDefault="00B840D7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 w:hint="eastAsia"/>
              </w:rPr>
              <w:t>及以上</w:t>
            </w:r>
          </w:p>
        </w:tc>
        <w:tc>
          <w:tcPr>
            <w:tcW w:w="1701" w:type="dxa"/>
            <w:noWrap/>
            <w:vAlign w:val="center"/>
          </w:tcPr>
          <w:p w:rsidR="000B3E8D" w:rsidRDefault="000B3E8D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0B3E8D" w:rsidRDefault="000B3E8D">
      <w:pPr>
        <w:spacing w:line="300" w:lineRule="exact"/>
        <w:jc w:val="left"/>
        <w:sectPr w:rsidR="000B3E8D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0B3E8D" w:rsidRPr="003026CF" w:rsidRDefault="000B3E8D" w:rsidP="003026CF">
      <w:pPr>
        <w:jc w:val="left"/>
        <w:outlineLvl w:val="1"/>
        <w:rPr>
          <w:rFonts w:ascii="仿宋_GB2312" w:eastAsia="仿宋_GB2312"/>
          <w:sz w:val="32"/>
          <w:szCs w:val="32"/>
        </w:rPr>
      </w:pPr>
    </w:p>
    <w:sectPr w:rsidR="000B3E8D" w:rsidRPr="003026CF" w:rsidSect="000B3E8D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0D7" w:rsidRDefault="00B840D7" w:rsidP="003026CF">
      <w:r>
        <w:separator/>
      </w:r>
    </w:p>
  </w:endnote>
  <w:endnote w:type="continuationSeparator" w:id="1">
    <w:p w:rsidR="00B840D7" w:rsidRDefault="00B840D7" w:rsidP="0030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0D7" w:rsidRDefault="00B840D7" w:rsidP="003026CF">
      <w:r>
        <w:separator/>
      </w:r>
    </w:p>
  </w:footnote>
  <w:footnote w:type="continuationSeparator" w:id="1">
    <w:p w:rsidR="00B840D7" w:rsidRDefault="00B840D7" w:rsidP="00302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0B3E8D"/>
    <w:rsid w:val="00146A0A"/>
    <w:rsid w:val="003026CF"/>
    <w:rsid w:val="00360E66"/>
    <w:rsid w:val="005F0E97"/>
    <w:rsid w:val="00954C5D"/>
    <w:rsid w:val="00B840D7"/>
    <w:rsid w:val="00EE586B"/>
    <w:rsid w:val="0F1032F5"/>
    <w:rsid w:val="39F919F0"/>
    <w:rsid w:val="5DFB5381"/>
    <w:rsid w:val="6EBD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3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B3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B3E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B3E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