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83" w:rsidRPr="00675582" w:rsidRDefault="00DE3883" w:rsidP="00FA56C9">
      <w:pPr>
        <w:adjustRightInd/>
        <w:snapToGrid/>
        <w:spacing w:after="0" w:line="600" w:lineRule="exact"/>
        <w:jc w:val="center"/>
        <w:rPr>
          <w:rFonts w:asciiTheme="minorEastAsia" w:eastAsiaTheme="minorEastAsia" w:hAnsiTheme="minorEastAsia" w:cs="仿宋"/>
          <w:color w:val="333333"/>
          <w:sz w:val="44"/>
          <w:szCs w:val="32"/>
        </w:rPr>
      </w:pPr>
      <w:r w:rsidRPr="00675582">
        <w:rPr>
          <w:rFonts w:asciiTheme="minorEastAsia" w:eastAsiaTheme="minorEastAsia" w:hAnsiTheme="minorEastAsia" w:cs="仿宋" w:hint="eastAsia"/>
          <w:color w:val="333333"/>
          <w:sz w:val="44"/>
          <w:szCs w:val="32"/>
        </w:rPr>
        <w:t>秦皇岛市北戴河区林业局20</w:t>
      </w:r>
      <w:r w:rsidR="00675582" w:rsidRPr="00675582">
        <w:rPr>
          <w:rFonts w:asciiTheme="minorEastAsia" w:eastAsiaTheme="minorEastAsia" w:hAnsiTheme="minorEastAsia" w:cs="仿宋" w:hint="eastAsia"/>
          <w:color w:val="333333"/>
          <w:sz w:val="44"/>
          <w:szCs w:val="32"/>
        </w:rPr>
        <w:t>19</w:t>
      </w:r>
      <w:r w:rsidRPr="00675582">
        <w:rPr>
          <w:rFonts w:asciiTheme="minorEastAsia" w:eastAsiaTheme="minorEastAsia" w:hAnsiTheme="minorEastAsia" w:cs="仿宋" w:hint="eastAsia"/>
          <w:color w:val="333333"/>
          <w:sz w:val="44"/>
          <w:szCs w:val="32"/>
        </w:rPr>
        <w:t>年部门预算</w:t>
      </w:r>
    </w:p>
    <w:p w:rsidR="00FA56C9" w:rsidRDefault="00FA56C9" w:rsidP="00FA56C9">
      <w:pPr>
        <w:spacing w:after="0" w:line="600" w:lineRule="exact"/>
        <w:ind w:leftChars="-7" w:left="-15" w:firstLineChars="200" w:firstLine="640"/>
        <w:rPr>
          <w:rFonts w:ascii="仿宋_GB2312" w:eastAsia="仿宋_GB2312" w:hAnsi="仿宋"/>
          <w:sz w:val="32"/>
          <w:szCs w:val="32"/>
        </w:rPr>
      </w:pPr>
      <w:r>
        <w:rPr>
          <w:rFonts w:ascii="仿宋_GB2312" w:eastAsia="仿宋_GB2312" w:hAnsi="仿宋" w:hint="eastAsia"/>
          <w:sz w:val="32"/>
          <w:szCs w:val="32"/>
        </w:rPr>
        <w:t>按照《预算法》、《河北省预决算公开操作规程实施细则》和《秦皇岛市市级预算公开办法》规定，现将</w:t>
      </w:r>
      <w:r>
        <w:rPr>
          <w:rFonts w:ascii="仿宋_GB2312" w:eastAsia="仿宋_GB2312" w:hAnsi="仿宋_GB2312" w:cs="宋体" w:hint="eastAsia"/>
          <w:color w:val="333333"/>
          <w:sz w:val="32"/>
          <w:szCs w:val="32"/>
        </w:rPr>
        <w:t>北戴河区</w:t>
      </w:r>
      <w:r w:rsidRPr="004724EB">
        <w:rPr>
          <w:rFonts w:ascii="仿宋_GB2312" w:eastAsia="仿宋_GB2312" w:hAnsi="仿宋" w:cs="仿宋" w:hint="eastAsia"/>
          <w:color w:val="333333"/>
          <w:sz w:val="32"/>
          <w:szCs w:val="32"/>
        </w:rPr>
        <w:t>林业局</w:t>
      </w:r>
      <w:r>
        <w:rPr>
          <w:rFonts w:ascii="仿宋_GB2312" w:eastAsia="仿宋_GB2312" w:hAnsi="仿宋" w:hint="eastAsia"/>
          <w:sz w:val="32"/>
          <w:szCs w:val="32"/>
        </w:rPr>
        <w:t>20</w:t>
      </w:r>
      <w:r w:rsidR="00675582">
        <w:rPr>
          <w:rFonts w:ascii="仿宋_GB2312" w:eastAsia="仿宋_GB2312" w:hAnsi="仿宋" w:hint="eastAsia"/>
          <w:sz w:val="32"/>
          <w:szCs w:val="32"/>
        </w:rPr>
        <w:t>19</w:t>
      </w:r>
      <w:r>
        <w:rPr>
          <w:rFonts w:ascii="仿宋_GB2312" w:eastAsia="仿宋_GB2312" w:hAnsi="仿宋" w:hint="eastAsia"/>
          <w:sz w:val="32"/>
          <w:szCs w:val="32"/>
        </w:rPr>
        <w:t>年部门预算公开如下：</w:t>
      </w:r>
    </w:p>
    <w:p w:rsidR="00DE3883" w:rsidRPr="00FA56C9" w:rsidRDefault="00DE3883" w:rsidP="00FA56C9">
      <w:pPr>
        <w:adjustRightInd/>
        <w:snapToGrid/>
        <w:spacing w:after="0" w:line="600" w:lineRule="exact"/>
        <w:ind w:left="300" w:firstLine="480"/>
        <w:rPr>
          <w:rFonts w:ascii="黑体" w:eastAsia="黑体" w:hAnsi="黑体" w:cs="仿宋"/>
          <w:b/>
          <w:color w:val="333333"/>
          <w:sz w:val="32"/>
          <w:szCs w:val="32"/>
        </w:rPr>
      </w:pPr>
      <w:r w:rsidRPr="00FA56C9">
        <w:rPr>
          <w:rFonts w:ascii="黑体" w:eastAsia="黑体" w:hAnsi="黑体" w:cs="仿宋" w:hint="eastAsia"/>
          <w:b/>
          <w:color w:val="333333"/>
          <w:sz w:val="32"/>
          <w:szCs w:val="32"/>
        </w:rPr>
        <w:t>一、部门职责、机构设置等基本情况</w:t>
      </w:r>
    </w:p>
    <w:p w:rsidR="00DE3883" w:rsidRPr="004724EB" w:rsidRDefault="00DE3883" w:rsidP="00FA56C9">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部门职责：</w:t>
      </w:r>
    </w:p>
    <w:p w:rsidR="00DE3883" w:rsidRPr="004724EB" w:rsidRDefault="00DE3883" w:rsidP="004724EB">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（一）贯彻执行《中华人民共和国种子法》、《河北省实施&lt;中华人民共和国种子法&gt;办法》，负责造林、果树生产及果品安全、种苗、花卉、产业化、林业统计、林业技术推广、林业资源调查、规划、设计。</w:t>
      </w:r>
    </w:p>
    <w:p w:rsidR="00DE3883" w:rsidRPr="004724EB" w:rsidRDefault="00DE3883" w:rsidP="004724EB">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二）贯彻执行《中华人民共和国森林法》、《中华人民共和国野生动物保护法》、《中华人民共和国森林法实施条例》、《中华人民共和国野生植物保护条例》、《森林防火条例》、《城市绿化条例》，负责全区树木砍伐、移植、占用绿地、林地审核、审批，监督、检查、验收；林权证核发；野生动物经营加工许可证、野生动物驯养繁殖许可证审核发放工作；园林及林业行政</w:t>
      </w:r>
      <w:r w:rsidRPr="004724EB">
        <w:rPr>
          <w:rFonts w:ascii="仿宋_GB2312" w:eastAsia="仿宋_GB2312" w:hAnsi="仿宋" w:cs="仿宋" w:hint="eastAsia"/>
          <w:color w:val="333333"/>
          <w:sz w:val="32"/>
          <w:szCs w:val="32"/>
        </w:rPr>
        <w:lastRenderedPageBreak/>
        <w:t>案件查处；全区绿地、林地的监管工作；陆生野生动植物、湿地保护；全区森林防火组织协调工作，开展森林防火宣传教育，制定防火预案，实施森林火灾的预防与扑救工作。</w:t>
      </w:r>
    </w:p>
    <w:p w:rsidR="00DE3883" w:rsidRPr="004724EB" w:rsidRDefault="00DE3883" w:rsidP="004724EB">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（三）贯彻执行《植物检疫条例》和《森林病虫害条例》，负责全区园林、林业有害生物的测报、检疫、指导、监督等工作并组织、指导、协调重大和突发性有害生物的防治工作。</w:t>
      </w:r>
    </w:p>
    <w:p w:rsidR="00DE3883" w:rsidRPr="004724EB" w:rsidRDefault="00DE3883" w:rsidP="004724EB">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机构设置如下：</w:t>
      </w:r>
    </w:p>
    <w:p w:rsidR="00DE3883" w:rsidRPr="004724EB" w:rsidRDefault="00DE3883" w:rsidP="004724EB">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201</w:t>
      </w:r>
      <w:r w:rsidR="00675582">
        <w:rPr>
          <w:rFonts w:ascii="仿宋_GB2312" w:eastAsia="仿宋_GB2312" w:hAnsi="仿宋" w:cs="仿宋" w:hint="eastAsia"/>
          <w:color w:val="333333"/>
          <w:sz w:val="32"/>
          <w:szCs w:val="32"/>
        </w:rPr>
        <w:t>9</w:t>
      </w:r>
      <w:r w:rsidRPr="004724EB">
        <w:rPr>
          <w:rFonts w:ascii="仿宋_GB2312" w:eastAsia="仿宋_GB2312" w:hAnsi="仿宋" w:cs="仿宋" w:hint="eastAsia"/>
          <w:color w:val="333333"/>
          <w:sz w:val="32"/>
          <w:szCs w:val="32"/>
        </w:rPr>
        <w:t>纳入本部门预算编制范围的独立核算单位共1个，单位名称秦皇岛市北戴河区林业局系全额事业单位，隶属于北戴河区政府，无下属单位。</w:t>
      </w:r>
    </w:p>
    <w:p w:rsidR="00FA56C9" w:rsidRPr="00FA56C9" w:rsidRDefault="00FA56C9" w:rsidP="00FA56C9">
      <w:pPr>
        <w:adjustRightInd/>
        <w:snapToGrid/>
        <w:spacing w:after="0" w:line="600" w:lineRule="exact"/>
        <w:ind w:left="300" w:firstLine="480"/>
        <w:rPr>
          <w:rFonts w:ascii="黑体" w:eastAsia="黑体" w:hAnsi="黑体" w:cs="仿宋"/>
          <w:b/>
          <w:color w:val="333333"/>
          <w:sz w:val="32"/>
          <w:szCs w:val="32"/>
        </w:rPr>
      </w:pPr>
      <w:r w:rsidRPr="00FA56C9">
        <w:rPr>
          <w:rFonts w:ascii="黑体" w:eastAsia="黑体" w:hAnsi="黑体" w:cs="仿宋" w:hint="eastAsia"/>
          <w:b/>
          <w:color w:val="333333"/>
          <w:sz w:val="32"/>
          <w:szCs w:val="32"/>
        </w:rPr>
        <w:t>二、部门预算安排的总体情况</w:t>
      </w:r>
    </w:p>
    <w:p w:rsidR="00FA56C9" w:rsidRPr="004724EB" w:rsidRDefault="00FA56C9" w:rsidP="00FA56C9">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秦皇岛市北戴河区林业局的</w:t>
      </w:r>
      <w:r w:rsidR="00675582">
        <w:rPr>
          <w:rFonts w:ascii="仿宋_GB2312" w:eastAsia="仿宋_GB2312" w:hAnsi="仿宋" w:cs="仿宋" w:hint="eastAsia"/>
          <w:color w:val="333333"/>
          <w:sz w:val="32"/>
          <w:szCs w:val="32"/>
        </w:rPr>
        <w:t>收支</w:t>
      </w:r>
      <w:r w:rsidRPr="004724EB">
        <w:rPr>
          <w:rFonts w:ascii="仿宋_GB2312" w:eastAsia="仿宋_GB2312" w:hAnsi="仿宋" w:cs="仿宋" w:hint="eastAsia"/>
          <w:color w:val="333333"/>
          <w:sz w:val="32"/>
          <w:szCs w:val="32"/>
        </w:rPr>
        <w:t>包含在部门预算中。</w:t>
      </w:r>
    </w:p>
    <w:p w:rsidR="00FA56C9" w:rsidRPr="004724EB" w:rsidRDefault="00FA56C9" w:rsidP="00FA56C9">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1、收入说明</w:t>
      </w:r>
    </w:p>
    <w:p w:rsidR="00FA56C9" w:rsidRPr="004724EB" w:rsidRDefault="00FA56C9" w:rsidP="00FA56C9">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201</w:t>
      </w:r>
      <w:r w:rsidR="00675582">
        <w:rPr>
          <w:rFonts w:ascii="仿宋_GB2312" w:eastAsia="仿宋_GB2312" w:hAnsi="仿宋" w:cs="仿宋" w:hint="eastAsia"/>
          <w:color w:val="333333"/>
          <w:sz w:val="32"/>
          <w:szCs w:val="32"/>
        </w:rPr>
        <w:t>9</w:t>
      </w:r>
      <w:r w:rsidRPr="004724EB">
        <w:rPr>
          <w:rFonts w:ascii="仿宋_GB2312" w:eastAsia="仿宋_GB2312" w:hAnsi="仿宋" w:cs="仿宋" w:hint="eastAsia"/>
          <w:color w:val="333333"/>
          <w:sz w:val="32"/>
          <w:szCs w:val="32"/>
        </w:rPr>
        <w:t>年预算收入</w:t>
      </w:r>
      <w:r w:rsidR="00675582">
        <w:rPr>
          <w:rFonts w:ascii="仿宋_GB2312" w:eastAsia="仿宋_GB2312" w:hAnsi="仿宋" w:cs="仿宋" w:hint="eastAsia"/>
          <w:color w:val="333333"/>
          <w:sz w:val="32"/>
          <w:szCs w:val="32"/>
        </w:rPr>
        <w:t>2150.23</w:t>
      </w:r>
      <w:r w:rsidRPr="004724EB">
        <w:rPr>
          <w:rFonts w:ascii="仿宋_GB2312" w:eastAsia="仿宋_GB2312" w:hAnsi="仿宋" w:cs="仿宋" w:hint="eastAsia"/>
          <w:color w:val="333333"/>
          <w:sz w:val="32"/>
          <w:szCs w:val="32"/>
        </w:rPr>
        <w:t>万元，其中：一般公共预算收入</w:t>
      </w:r>
      <w:r w:rsidR="00675582">
        <w:rPr>
          <w:rFonts w:ascii="仿宋_GB2312" w:eastAsia="仿宋_GB2312" w:hAnsi="仿宋" w:cs="仿宋" w:hint="eastAsia"/>
          <w:color w:val="333333"/>
          <w:sz w:val="32"/>
          <w:szCs w:val="32"/>
        </w:rPr>
        <w:t>2150.23</w:t>
      </w:r>
      <w:r w:rsidRPr="004724EB">
        <w:rPr>
          <w:rFonts w:ascii="仿宋_GB2312" w:eastAsia="仿宋_GB2312" w:hAnsi="仿宋" w:cs="仿宋" w:hint="eastAsia"/>
          <w:color w:val="333333"/>
          <w:sz w:val="32"/>
          <w:szCs w:val="32"/>
        </w:rPr>
        <w:t>万元，事业收入0万元，其他收入0万元。</w:t>
      </w:r>
    </w:p>
    <w:p w:rsidR="00FA56C9" w:rsidRPr="004724EB" w:rsidRDefault="00FA56C9" w:rsidP="00FA56C9">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2、支出说明</w:t>
      </w:r>
    </w:p>
    <w:p w:rsidR="007B7E65" w:rsidRDefault="00FA56C9" w:rsidP="00FA56C9">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lastRenderedPageBreak/>
        <w:t>201</w:t>
      </w:r>
      <w:r w:rsidR="00675582">
        <w:rPr>
          <w:rFonts w:ascii="仿宋_GB2312" w:eastAsia="仿宋_GB2312" w:hAnsi="仿宋" w:cs="仿宋" w:hint="eastAsia"/>
          <w:color w:val="333333"/>
          <w:sz w:val="32"/>
          <w:szCs w:val="32"/>
        </w:rPr>
        <w:t>9</w:t>
      </w:r>
      <w:r w:rsidRPr="004724EB">
        <w:rPr>
          <w:rFonts w:ascii="仿宋_GB2312" w:eastAsia="仿宋_GB2312" w:hAnsi="仿宋" w:cs="仿宋" w:hint="eastAsia"/>
          <w:color w:val="333333"/>
          <w:sz w:val="32"/>
          <w:szCs w:val="32"/>
        </w:rPr>
        <w:t>年度预算总体安排</w:t>
      </w:r>
      <w:r w:rsidR="00675582">
        <w:rPr>
          <w:rFonts w:ascii="仿宋_GB2312" w:eastAsia="仿宋_GB2312" w:hAnsi="仿宋" w:cs="仿宋" w:hint="eastAsia"/>
          <w:color w:val="333333"/>
          <w:sz w:val="32"/>
          <w:szCs w:val="32"/>
        </w:rPr>
        <w:t>2150.23</w:t>
      </w:r>
      <w:r w:rsidRPr="004724EB">
        <w:rPr>
          <w:rFonts w:ascii="仿宋_GB2312" w:eastAsia="仿宋_GB2312" w:hAnsi="仿宋" w:cs="仿宋" w:hint="eastAsia"/>
          <w:color w:val="333333"/>
          <w:sz w:val="32"/>
          <w:szCs w:val="32"/>
        </w:rPr>
        <w:t>万元。其中基本支出</w:t>
      </w:r>
      <w:r w:rsidR="00675582">
        <w:rPr>
          <w:rFonts w:ascii="仿宋_GB2312" w:eastAsia="仿宋_GB2312" w:hAnsi="仿宋" w:cs="仿宋" w:hint="eastAsia"/>
          <w:color w:val="333333"/>
          <w:sz w:val="32"/>
          <w:szCs w:val="32"/>
        </w:rPr>
        <w:t>22.58</w:t>
      </w:r>
      <w:r w:rsidRPr="004724EB">
        <w:rPr>
          <w:rFonts w:ascii="仿宋_GB2312" w:eastAsia="仿宋_GB2312" w:hAnsi="仿宋" w:cs="仿宋" w:hint="eastAsia"/>
          <w:color w:val="333333"/>
          <w:sz w:val="32"/>
          <w:szCs w:val="32"/>
        </w:rPr>
        <w:t>万元</w:t>
      </w:r>
      <w:r w:rsidR="007B7E65">
        <w:rPr>
          <w:rFonts w:ascii="仿宋_GB2312" w:eastAsia="仿宋_GB2312" w:hAnsi="仿宋" w:cs="仿宋" w:hint="eastAsia"/>
          <w:color w:val="333333"/>
          <w:sz w:val="32"/>
          <w:szCs w:val="32"/>
        </w:rPr>
        <w:t>，包括人员经费14.15万元、日常公用经费8.43万元；</w:t>
      </w:r>
      <w:r w:rsidRPr="004724EB">
        <w:rPr>
          <w:rFonts w:ascii="仿宋_GB2312" w:eastAsia="仿宋_GB2312" w:hAnsi="仿宋" w:cs="仿宋" w:hint="eastAsia"/>
          <w:color w:val="333333"/>
          <w:sz w:val="32"/>
          <w:szCs w:val="32"/>
        </w:rPr>
        <w:t>项目支出</w:t>
      </w:r>
      <w:r w:rsidR="007B7E65">
        <w:rPr>
          <w:rFonts w:ascii="仿宋_GB2312" w:eastAsia="仿宋_GB2312" w:hAnsi="仿宋" w:cs="仿宋" w:hint="eastAsia"/>
          <w:color w:val="333333"/>
          <w:sz w:val="32"/>
          <w:szCs w:val="32"/>
        </w:rPr>
        <w:t>2127.65</w:t>
      </w:r>
      <w:r w:rsidRPr="004724EB">
        <w:rPr>
          <w:rFonts w:ascii="仿宋_GB2312" w:eastAsia="仿宋_GB2312" w:hAnsi="仿宋" w:cs="仿宋" w:hint="eastAsia"/>
          <w:color w:val="333333"/>
          <w:sz w:val="32"/>
          <w:szCs w:val="32"/>
        </w:rPr>
        <w:t>万元，</w:t>
      </w:r>
      <w:r w:rsidR="007B7E65">
        <w:rPr>
          <w:rFonts w:ascii="仿宋_GB2312" w:eastAsia="仿宋_GB2312" w:hAnsi="仿宋" w:cs="仿宋" w:hint="eastAsia"/>
          <w:color w:val="333333"/>
          <w:sz w:val="32"/>
          <w:szCs w:val="32"/>
        </w:rPr>
        <w:t>其中</w:t>
      </w:r>
      <w:r w:rsidRPr="004724EB">
        <w:rPr>
          <w:rFonts w:ascii="仿宋_GB2312" w:eastAsia="仿宋_GB2312" w:hAnsi="仿宋" w:cs="仿宋" w:hint="eastAsia"/>
          <w:color w:val="333333"/>
          <w:sz w:val="32"/>
          <w:szCs w:val="32"/>
        </w:rPr>
        <w:t>支出包括：</w:t>
      </w:r>
    </w:p>
    <w:p w:rsidR="007B7E65" w:rsidRPr="007B7E65" w:rsidRDefault="007B7E65" w:rsidP="007B7E65">
      <w:pPr>
        <w:adjustRightInd/>
        <w:snapToGrid/>
        <w:spacing w:after="0" w:line="600" w:lineRule="exact"/>
        <w:ind w:left="300" w:firstLine="480"/>
        <w:rPr>
          <w:rFonts w:ascii="仿宋_GB2312" w:eastAsia="仿宋_GB2312" w:hAnsi="仿宋" w:cs="仿宋"/>
          <w:color w:val="333333"/>
          <w:sz w:val="32"/>
          <w:szCs w:val="32"/>
        </w:rPr>
      </w:pPr>
      <w:r>
        <w:rPr>
          <w:rFonts w:ascii="仿宋_GB2312" w:eastAsia="仿宋_GB2312" w:hAnsi="仿宋" w:cs="仿宋" w:hint="eastAsia"/>
          <w:color w:val="333333"/>
          <w:sz w:val="32"/>
          <w:szCs w:val="32"/>
        </w:rPr>
        <w:t>（1）</w:t>
      </w:r>
      <w:r w:rsidRPr="007B7E65">
        <w:rPr>
          <w:rFonts w:ascii="仿宋_GB2312" w:eastAsia="仿宋_GB2312" w:hAnsi="仿宋" w:cs="仿宋" w:hint="eastAsia"/>
          <w:color w:val="333333"/>
          <w:sz w:val="32"/>
          <w:szCs w:val="32"/>
        </w:rPr>
        <w:t>省级林业改革发展补助资金（秦财农</w:t>
      </w:r>
      <w:r w:rsidRPr="007B7E65">
        <w:rPr>
          <w:rFonts w:ascii="仿宋_GB2312" w:eastAsia="仿宋_GB2312" w:hAnsi="仿宋" w:cs="仿宋"/>
          <w:color w:val="333333"/>
          <w:sz w:val="32"/>
          <w:szCs w:val="32"/>
        </w:rPr>
        <w:t>[2018]972</w:t>
      </w:r>
      <w:r w:rsidRPr="007B7E65">
        <w:rPr>
          <w:rFonts w:ascii="仿宋_GB2312" w:eastAsia="仿宋_GB2312" w:hAnsi="仿宋" w:cs="仿宋" w:hint="eastAsia"/>
          <w:color w:val="333333"/>
          <w:sz w:val="32"/>
          <w:szCs w:val="32"/>
        </w:rPr>
        <w:t xml:space="preserve">号）  </w:t>
      </w:r>
      <w:r>
        <w:rPr>
          <w:rFonts w:ascii="仿宋_GB2312" w:eastAsia="仿宋_GB2312" w:hAnsi="仿宋" w:cs="仿宋" w:hint="eastAsia"/>
          <w:color w:val="333333"/>
          <w:sz w:val="32"/>
          <w:szCs w:val="32"/>
        </w:rPr>
        <w:t xml:space="preserve">      </w:t>
      </w:r>
      <w:r w:rsidRPr="007B7E65">
        <w:rPr>
          <w:rFonts w:ascii="仿宋_GB2312" w:eastAsia="仿宋_GB2312" w:hAnsi="仿宋" w:cs="仿宋" w:hint="eastAsia"/>
          <w:color w:val="333333"/>
          <w:sz w:val="32"/>
          <w:szCs w:val="32"/>
        </w:rPr>
        <w:t>200万元</w:t>
      </w:r>
    </w:p>
    <w:p w:rsidR="007B7E65" w:rsidRPr="007B7E65" w:rsidRDefault="007B7E65" w:rsidP="007B7E65">
      <w:pPr>
        <w:adjustRightInd/>
        <w:snapToGrid/>
        <w:spacing w:after="0" w:line="600" w:lineRule="exact"/>
        <w:ind w:left="300" w:firstLine="480"/>
        <w:rPr>
          <w:rFonts w:ascii="仿宋_GB2312" w:eastAsia="仿宋_GB2312" w:hAnsi="仿宋" w:cs="仿宋"/>
          <w:color w:val="333333"/>
          <w:sz w:val="32"/>
          <w:szCs w:val="32"/>
        </w:rPr>
      </w:pPr>
      <w:r>
        <w:rPr>
          <w:rFonts w:ascii="仿宋_GB2312" w:eastAsia="仿宋_GB2312" w:hAnsi="仿宋" w:cs="仿宋" w:hint="eastAsia"/>
          <w:color w:val="333333"/>
          <w:sz w:val="32"/>
          <w:szCs w:val="32"/>
        </w:rPr>
        <w:t>（</w:t>
      </w:r>
      <w:r w:rsidRPr="007B7E65">
        <w:rPr>
          <w:rFonts w:ascii="仿宋_GB2312" w:eastAsia="仿宋_GB2312" w:hAnsi="仿宋" w:cs="仿宋"/>
          <w:color w:val="333333"/>
          <w:sz w:val="32"/>
          <w:szCs w:val="32"/>
        </w:rPr>
        <w:t>2</w:t>
      </w:r>
      <w:r>
        <w:rPr>
          <w:rFonts w:ascii="仿宋_GB2312" w:eastAsia="仿宋_GB2312" w:hAnsi="仿宋" w:cs="仿宋" w:hint="eastAsia"/>
          <w:color w:val="333333"/>
          <w:sz w:val="32"/>
          <w:szCs w:val="32"/>
        </w:rPr>
        <w:t>）</w:t>
      </w:r>
      <w:r w:rsidRPr="007B7E65">
        <w:rPr>
          <w:rFonts w:ascii="仿宋_GB2312" w:eastAsia="仿宋_GB2312" w:hAnsi="仿宋" w:cs="仿宋" w:hint="eastAsia"/>
          <w:color w:val="333333"/>
          <w:sz w:val="32"/>
          <w:szCs w:val="32"/>
        </w:rPr>
        <w:t>中央财政林业生态保护恢复资金</w:t>
      </w:r>
      <w:r w:rsidRPr="007B7E65">
        <w:rPr>
          <w:rFonts w:ascii="仿宋_GB2312" w:eastAsia="仿宋_GB2312" w:hAnsi="仿宋" w:cs="仿宋"/>
          <w:color w:val="333333"/>
          <w:sz w:val="32"/>
          <w:szCs w:val="32"/>
        </w:rPr>
        <w:t>(</w:t>
      </w:r>
      <w:r w:rsidRPr="007B7E65">
        <w:rPr>
          <w:rFonts w:ascii="仿宋_GB2312" w:eastAsia="仿宋_GB2312" w:hAnsi="仿宋" w:cs="仿宋" w:hint="eastAsia"/>
          <w:color w:val="333333"/>
          <w:sz w:val="32"/>
          <w:szCs w:val="32"/>
        </w:rPr>
        <w:t>秦财农</w:t>
      </w:r>
      <w:r w:rsidRPr="007B7E65">
        <w:rPr>
          <w:rFonts w:ascii="仿宋_GB2312" w:eastAsia="仿宋_GB2312" w:hAnsi="仿宋" w:cs="仿宋"/>
          <w:color w:val="333333"/>
          <w:sz w:val="32"/>
          <w:szCs w:val="32"/>
        </w:rPr>
        <w:t>[2018]850</w:t>
      </w:r>
      <w:r w:rsidRPr="007B7E65">
        <w:rPr>
          <w:rFonts w:ascii="仿宋_GB2312" w:eastAsia="仿宋_GB2312" w:hAnsi="仿宋" w:cs="仿宋" w:hint="eastAsia"/>
          <w:color w:val="333333"/>
          <w:sz w:val="32"/>
          <w:szCs w:val="32"/>
        </w:rPr>
        <w:t>号</w:t>
      </w:r>
      <w:r w:rsidRPr="007B7E65">
        <w:rPr>
          <w:rFonts w:ascii="仿宋_GB2312" w:eastAsia="仿宋_GB2312" w:hAnsi="仿宋" w:cs="仿宋"/>
          <w:color w:val="333333"/>
          <w:sz w:val="32"/>
          <w:szCs w:val="32"/>
        </w:rPr>
        <w:t>)</w:t>
      </w:r>
      <w:r w:rsidRPr="007B7E65">
        <w:rPr>
          <w:rFonts w:ascii="仿宋_GB2312" w:eastAsia="仿宋_GB2312" w:hAnsi="仿宋" w:cs="仿宋" w:hint="eastAsia"/>
          <w:color w:val="333333"/>
          <w:sz w:val="32"/>
          <w:szCs w:val="32"/>
        </w:rPr>
        <w:t xml:space="preserve"> </w:t>
      </w:r>
      <w:r>
        <w:rPr>
          <w:rFonts w:ascii="仿宋_GB2312" w:eastAsia="仿宋_GB2312" w:hAnsi="仿宋" w:cs="仿宋" w:hint="eastAsia"/>
          <w:color w:val="333333"/>
          <w:sz w:val="32"/>
          <w:szCs w:val="32"/>
        </w:rPr>
        <w:t xml:space="preserve">   </w:t>
      </w:r>
      <w:r w:rsidRPr="007B7E65">
        <w:rPr>
          <w:rFonts w:ascii="仿宋_GB2312" w:eastAsia="仿宋_GB2312" w:hAnsi="仿宋" w:cs="仿宋" w:hint="eastAsia"/>
          <w:color w:val="333333"/>
          <w:sz w:val="32"/>
          <w:szCs w:val="32"/>
        </w:rPr>
        <w:t xml:space="preserve">  0.73万元</w:t>
      </w:r>
    </w:p>
    <w:p w:rsidR="007B7E65" w:rsidRPr="007B7E65" w:rsidRDefault="007B7E65" w:rsidP="007B7E65">
      <w:pPr>
        <w:adjustRightInd/>
        <w:snapToGrid/>
        <w:spacing w:after="0" w:line="600" w:lineRule="exact"/>
        <w:ind w:left="300" w:firstLine="480"/>
        <w:rPr>
          <w:rFonts w:ascii="仿宋_GB2312" w:eastAsia="仿宋_GB2312" w:hAnsi="仿宋" w:cs="仿宋"/>
          <w:color w:val="333333"/>
          <w:sz w:val="32"/>
          <w:szCs w:val="32"/>
        </w:rPr>
      </w:pPr>
      <w:r>
        <w:rPr>
          <w:rFonts w:ascii="仿宋_GB2312" w:eastAsia="仿宋_GB2312" w:hAnsi="仿宋" w:cs="仿宋" w:hint="eastAsia"/>
          <w:color w:val="333333"/>
          <w:sz w:val="32"/>
          <w:szCs w:val="32"/>
        </w:rPr>
        <w:t>（</w:t>
      </w:r>
      <w:r w:rsidRPr="007B7E65">
        <w:rPr>
          <w:rFonts w:ascii="仿宋_GB2312" w:eastAsia="仿宋_GB2312" w:hAnsi="仿宋" w:cs="仿宋"/>
          <w:color w:val="333333"/>
          <w:sz w:val="32"/>
          <w:szCs w:val="32"/>
        </w:rPr>
        <w:t>3</w:t>
      </w:r>
      <w:r>
        <w:rPr>
          <w:rFonts w:ascii="仿宋_GB2312" w:eastAsia="仿宋_GB2312" w:hAnsi="仿宋" w:cs="仿宋" w:hint="eastAsia"/>
          <w:color w:val="333333"/>
          <w:sz w:val="32"/>
          <w:szCs w:val="32"/>
        </w:rPr>
        <w:t>）</w:t>
      </w:r>
      <w:r w:rsidRPr="007B7E65">
        <w:rPr>
          <w:rFonts w:ascii="仿宋_GB2312" w:eastAsia="仿宋_GB2312" w:hAnsi="仿宋" w:cs="仿宋" w:hint="eastAsia"/>
          <w:color w:val="333333"/>
          <w:sz w:val="32"/>
          <w:szCs w:val="32"/>
        </w:rPr>
        <w:t>中央财政林业改革发展补助资金（秦财农</w:t>
      </w:r>
      <w:r w:rsidRPr="007B7E65">
        <w:rPr>
          <w:rFonts w:ascii="仿宋_GB2312" w:eastAsia="仿宋_GB2312" w:hAnsi="仿宋" w:cs="仿宋"/>
          <w:color w:val="333333"/>
          <w:sz w:val="32"/>
          <w:szCs w:val="32"/>
        </w:rPr>
        <w:t>[2018]973</w:t>
      </w:r>
      <w:r w:rsidRPr="007B7E65">
        <w:rPr>
          <w:rFonts w:ascii="仿宋_GB2312" w:eastAsia="仿宋_GB2312" w:hAnsi="仿宋" w:cs="仿宋" w:hint="eastAsia"/>
          <w:color w:val="333333"/>
          <w:sz w:val="32"/>
          <w:szCs w:val="32"/>
        </w:rPr>
        <w:t>号） 0.29万元</w:t>
      </w:r>
    </w:p>
    <w:p w:rsidR="007B7E65" w:rsidRPr="007B7E65" w:rsidRDefault="007B7E65" w:rsidP="007B7E65">
      <w:pPr>
        <w:adjustRightInd/>
        <w:snapToGrid/>
        <w:spacing w:after="0" w:line="600" w:lineRule="exact"/>
        <w:ind w:left="300" w:firstLine="480"/>
        <w:rPr>
          <w:rFonts w:ascii="仿宋_GB2312" w:eastAsia="仿宋_GB2312" w:hAnsi="仿宋" w:cs="仿宋"/>
          <w:color w:val="333333"/>
          <w:sz w:val="32"/>
          <w:szCs w:val="32"/>
        </w:rPr>
      </w:pPr>
      <w:r>
        <w:rPr>
          <w:rFonts w:ascii="仿宋_GB2312" w:eastAsia="仿宋_GB2312" w:hAnsi="仿宋" w:cs="仿宋" w:hint="eastAsia"/>
          <w:color w:val="333333"/>
          <w:sz w:val="32"/>
          <w:szCs w:val="32"/>
        </w:rPr>
        <w:t>（</w:t>
      </w:r>
      <w:r w:rsidRPr="007B7E65">
        <w:rPr>
          <w:rFonts w:ascii="仿宋_GB2312" w:eastAsia="仿宋_GB2312" w:hAnsi="仿宋" w:cs="仿宋"/>
          <w:color w:val="333333"/>
          <w:sz w:val="32"/>
          <w:szCs w:val="32"/>
        </w:rPr>
        <w:t>4</w:t>
      </w:r>
      <w:r>
        <w:rPr>
          <w:rFonts w:ascii="仿宋_GB2312" w:eastAsia="仿宋_GB2312" w:hAnsi="仿宋" w:cs="仿宋" w:hint="eastAsia"/>
          <w:color w:val="333333"/>
          <w:sz w:val="32"/>
          <w:szCs w:val="32"/>
        </w:rPr>
        <w:t>）</w:t>
      </w:r>
      <w:r w:rsidRPr="007B7E65">
        <w:rPr>
          <w:rFonts w:ascii="仿宋_GB2312" w:eastAsia="仿宋_GB2312" w:hAnsi="仿宋" w:cs="仿宋" w:hint="eastAsia"/>
          <w:color w:val="333333"/>
          <w:sz w:val="32"/>
          <w:szCs w:val="32"/>
        </w:rPr>
        <w:t xml:space="preserve">林业改革发展专项资金        </w:t>
      </w:r>
      <w:r>
        <w:rPr>
          <w:rFonts w:ascii="仿宋_GB2312" w:eastAsia="仿宋_GB2312" w:hAnsi="仿宋" w:cs="仿宋" w:hint="eastAsia"/>
          <w:color w:val="333333"/>
          <w:sz w:val="32"/>
          <w:szCs w:val="32"/>
        </w:rPr>
        <w:t xml:space="preserve">                                             </w:t>
      </w:r>
      <w:r w:rsidRPr="007B7E65">
        <w:rPr>
          <w:rFonts w:ascii="仿宋_GB2312" w:eastAsia="仿宋_GB2312" w:hAnsi="仿宋" w:cs="仿宋" w:hint="eastAsia"/>
          <w:color w:val="333333"/>
          <w:sz w:val="32"/>
          <w:szCs w:val="32"/>
        </w:rPr>
        <w:t>1916.63万元</w:t>
      </w:r>
    </w:p>
    <w:p w:rsidR="007B7E65" w:rsidRPr="007B7E65" w:rsidRDefault="007B7E65" w:rsidP="007B7E65">
      <w:pPr>
        <w:adjustRightInd/>
        <w:snapToGrid/>
        <w:spacing w:after="0" w:line="600" w:lineRule="exact"/>
        <w:ind w:left="300" w:firstLine="480"/>
        <w:rPr>
          <w:rFonts w:ascii="仿宋_GB2312" w:eastAsia="仿宋_GB2312" w:hAnsi="仿宋" w:cs="仿宋"/>
          <w:color w:val="333333"/>
          <w:sz w:val="32"/>
          <w:szCs w:val="32"/>
        </w:rPr>
      </w:pPr>
      <w:r>
        <w:rPr>
          <w:rFonts w:ascii="仿宋_GB2312" w:eastAsia="仿宋_GB2312" w:hAnsi="仿宋" w:cs="仿宋" w:hint="eastAsia"/>
          <w:color w:val="333333"/>
          <w:sz w:val="32"/>
          <w:szCs w:val="32"/>
        </w:rPr>
        <w:t>（</w:t>
      </w:r>
      <w:r w:rsidRPr="007B7E65">
        <w:rPr>
          <w:rFonts w:ascii="仿宋_GB2312" w:eastAsia="仿宋_GB2312" w:hAnsi="仿宋" w:cs="仿宋"/>
          <w:color w:val="333333"/>
          <w:sz w:val="32"/>
          <w:szCs w:val="32"/>
        </w:rPr>
        <w:t>5</w:t>
      </w:r>
      <w:r>
        <w:rPr>
          <w:rFonts w:ascii="仿宋_GB2312" w:eastAsia="仿宋_GB2312" w:hAnsi="仿宋" w:cs="仿宋" w:hint="eastAsia"/>
          <w:color w:val="333333"/>
          <w:sz w:val="32"/>
          <w:szCs w:val="32"/>
        </w:rPr>
        <w:t>）</w:t>
      </w:r>
      <w:r w:rsidRPr="007B7E65">
        <w:rPr>
          <w:rFonts w:ascii="仿宋_GB2312" w:eastAsia="仿宋_GB2312" w:hAnsi="仿宋" w:cs="仿宋" w:hint="eastAsia"/>
          <w:color w:val="333333"/>
          <w:sz w:val="32"/>
          <w:szCs w:val="32"/>
        </w:rPr>
        <w:t>省级林业改革发展补助资金（秦财农</w:t>
      </w:r>
      <w:r w:rsidRPr="007B7E65">
        <w:rPr>
          <w:rFonts w:ascii="仿宋_GB2312" w:eastAsia="仿宋_GB2312" w:hAnsi="仿宋" w:cs="仿宋"/>
          <w:color w:val="333333"/>
          <w:sz w:val="32"/>
          <w:szCs w:val="32"/>
        </w:rPr>
        <w:t>[2018]972</w:t>
      </w:r>
      <w:r w:rsidRPr="007B7E65">
        <w:rPr>
          <w:rFonts w:ascii="仿宋_GB2312" w:eastAsia="仿宋_GB2312" w:hAnsi="仿宋" w:cs="仿宋" w:hint="eastAsia"/>
          <w:color w:val="333333"/>
          <w:sz w:val="32"/>
          <w:szCs w:val="32"/>
        </w:rPr>
        <w:t>号）</w:t>
      </w:r>
      <w:r>
        <w:rPr>
          <w:rFonts w:ascii="仿宋_GB2312" w:eastAsia="仿宋_GB2312" w:hAnsi="仿宋" w:cs="仿宋" w:hint="eastAsia"/>
          <w:color w:val="333333"/>
          <w:sz w:val="32"/>
          <w:szCs w:val="32"/>
        </w:rPr>
        <w:t xml:space="preserve">     </w:t>
      </w:r>
      <w:r w:rsidRPr="007B7E65">
        <w:rPr>
          <w:rFonts w:ascii="仿宋_GB2312" w:eastAsia="仿宋_GB2312" w:hAnsi="仿宋" w:cs="仿宋" w:hint="eastAsia"/>
          <w:color w:val="333333"/>
          <w:sz w:val="32"/>
          <w:szCs w:val="32"/>
        </w:rPr>
        <w:t xml:space="preserve">  10万元</w:t>
      </w:r>
    </w:p>
    <w:p w:rsidR="00FA56C9" w:rsidRPr="004724EB" w:rsidRDefault="007B7E65" w:rsidP="00FA56C9">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 xml:space="preserve"> </w:t>
      </w:r>
      <w:r w:rsidR="00FA56C9" w:rsidRPr="004724EB">
        <w:rPr>
          <w:rFonts w:ascii="仿宋_GB2312" w:eastAsia="仿宋_GB2312" w:hAnsi="仿宋" w:cs="仿宋" w:hint="eastAsia"/>
          <w:color w:val="333333"/>
          <w:sz w:val="32"/>
          <w:szCs w:val="32"/>
        </w:rPr>
        <w:t>3、比上年增减情况</w:t>
      </w:r>
    </w:p>
    <w:p w:rsidR="00FA56C9" w:rsidRPr="004724EB" w:rsidRDefault="00FA56C9" w:rsidP="00FA56C9">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201</w:t>
      </w:r>
      <w:r w:rsidR="007B7E65">
        <w:rPr>
          <w:rFonts w:ascii="仿宋_GB2312" w:eastAsia="仿宋_GB2312" w:hAnsi="仿宋" w:cs="仿宋" w:hint="eastAsia"/>
          <w:color w:val="333333"/>
          <w:sz w:val="32"/>
          <w:szCs w:val="32"/>
        </w:rPr>
        <w:t>9</w:t>
      </w:r>
      <w:r w:rsidRPr="004724EB">
        <w:rPr>
          <w:rFonts w:ascii="仿宋_GB2312" w:eastAsia="仿宋_GB2312" w:hAnsi="仿宋" w:cs="仿宋" w:hint="eastAsia"/>
          <w:color w:val="333333"/>
          <w:sz w:val="32"/>
          <w:szCs w:val="32"/>
        </w:rPr>
        <w:t>年预算收支安排</w:t>
      </w:r>
      <w:r w:rsidR="007B7E65">
        <w:rPr>
          <w:rFonts w:ascii="仿宋_GB2312" w:eastAsia="仿宋_GB2312" w:hAnsi="仿宋" w:cs="仿宋" w:hint="eastAsia"/>
          <w:color w:val="333333"/>
          <w:sz w:val="32"/>
          <w:szCs w:val="32"/>
        </w:rPr>
        <w:t>2150.23</w:t>
      </w:r>
      <w:r w:rsidRPr="004724EB">
        <w:rPr>
          <w:rFonts w:ascii="仿宋_GB2312" w:eastAsia="仿宋_GB2312" w:hAnsi="仿宋" w:cs="仿宋" w:hint="eastAsia"/>
          <w:color w:val="333333"/>
          <w:sz w:val="32"/>
          <w:szCs w:val="32"/>
        </w:rPr>
        <w:t>万元，较去年预算增加了</w:t>
      </w:r>
      <w:r w:rsidR="007B7E65">
        <w:rPr>
          <w:rFonts w:ascii="仿宋_GB2312" w:eastAsia="仿宋_GB2312" w:hAnsi="仿宋" w:cs="仿宋" w:hint="eastAsia"/>
          <w:color w:val="333333"/>
          <w:sz w:val="32"/>
          <w:szCs w:val="32"/>
        </w:rPr>
        <w:t>442.62</w:t>
      </w:r>
      <w:r w:rsidR="00DB2D94">
        <w:rPr>
          <w:rFonts w:ascii="仿宋_GB2312" w:eastAsia="仿宋_GB2312" w:hAnsi="仿宋" w:cs="仿宋" w:hint="eastAsia"/>
          <w:color w:val="333333"/>
          <w:sz w:val="32"/>
          <w:szCs w:val="32"/>
        </w:rPr>
        <w:t>万元，主要为造林苗木及补贴项目增加了</w:t>
      </w:r>
      <w:r w:rsidR="007B7E65">
        <w:rPr>
          <w:rFonts w:ascii="仿宋_GB2312" w:eastAsia="仿宋_GB2312" w:hAnsi="仿宋" w:cs="仿宋" w:hint="eastAsia"/>
          <w:color w:val="333333"/>
          <w:sz w:val="32"/>
          <w:szCs w:val="32"/>
        </w:rPr>
        <w:t>442.62</w:t>
      </w:r>
      <w:r w:rsidR="00DB2D94">
        <w:rPr>
          <w:rFonts w:ascii="仿宋_GB2312" w:eastAsia="仿宋_GB2312" w:hAnsi="仿宋" w:cs="仿宋" w:hint="eastAsia"/>
          <w:color w:val="333333"/>
          <w:sz w:val="32"/>
          <w:szCs w:val="32"/>
        </w:rPr>
        <w:t>万元。</w:t>
      </w:r>
    </w:p>
    <w:p w:rsidR="00FA56C9" w:rsidRPr="00FA56C9" w:rsidRDefault="00FA56C9" w:rsidP="00FA56C9">
      <w:pPr>
        <w:adjustRightInd/>
        <w:snapToGrid/>
        <w:spacing w:after="0" w:line="600" w:lineRule="exact"/>
        <w:ind w:left="300" w:firstLine="480"/>
        <w:rPr>
          <w:rFonts w:ascii="黑体" w:eastAsia="黑体" w:hAnsi="黑体" w:cs="仿宋"/>
          <w:b/>
          <w:color w:val="333333"/>
          <w:sz w:val="32"/>
          <w:szCs w:val="32"/>
        </w:rPr>
      </w:pPr>
      <w:r w:rsidRPr="00FA56C9">
        <w:rPr>
          <w:rFonts w:ascii="黑体" w:eastAsia="黑体" w:hAnsi="黑体" w:cs="仿宋" w:hint="eastAsia"/>
          <w:b/>
          <w:color w:val="333333"/>
          <w:sz w:val="32"/>
          <w:szCs w:val="32"/>
        </w:rPr>
        <w:t>三、机关运行经费安排情况</w:t>
      </w:r>
    </w:p>
    <w:p w:rsidR="00FA56C9" w:rsidRPr="00A228D5" w:rsidRDefault="00FA56C9" w:rsidP="00FA56C9">
      <w:pPr>
        <w:adjustRightInd/>
        <w:snapToGrid/>
        <w:spacing w:after="0" w:line="600" w:lineRule="exact"/>
        <w:ind w:left="300" w:firstLine="480"/>
        <w:rPr>
          <w:rFonts w:ascii="仿宋_GB2312" w:eastAsia="仿宋_GB2312" w:hAnsi="仿宋" w:cs="仿宋"/>
          <w:sz w:val="32"/>
          <w:szCs w:val="32"/>
        </w:rPr>
      </w:pPr>
      <w:r w:rsidRPr="004724EB">
        <w:rPr>
          <w:rFonts w:ascii="仿宋_GB2312" w:eastAsia="仿宋_GB2312" w:hAnsi="仿宋" w:cs="仿宋" w:hint="eastAsia"/>
          <w:color w:val="333333"/>
          <w:sz w:val="32"/>
          <w:szCs w:val="32"/>
        </w:rPr>
        <w:lastRenderedPageBreak/>
        <w:t>201</w:t>
      </w:r>
      <w:r w:rsidR="00A228D5">
        <w:rPr>
          <w:rFonts w:ascii="仿宋_GB2312" w:eastAsia="仿宋_GB2312" w:hAnsi="仿宋" w:cs="仿宋" w:hint="eastAsia"/>
          <w:color w:val="333333"/>
          <w:sz w:val="32"/>
          <w:szCs w:val="32"/>
        </w:rPr>
        <w:t>9</w:t>
      </w:r>
      <w:r w:rsidRPr="004724EB">
        <w:rPr>
          <w:rFonts w:ascii="仿宋_GB2312" w:eastAsia="仿宋_GB2312" w:hAnsi="仿宋" w:cs="仿宋" w:hint="eastAsia"/>
          <w:color w:val="333333"/>
          <w:sz w:val="32"/>
          <w:szCs w:val="32"/>
        </w:rPr>
        <w:t>年秦皇岛市北戴河区林业局机关运行经费支出</w:t>
      </w:r>
      <w:r w:rsidR="00A228D5">
        <w:rPr>
          <w:rFonts w:ascii="仿宋_GB2312" w:eastAsia="仿宋_GB2312" w:hAnsi="仿宋" w:cs="仿宋" w:hint="eastAsia"/>
          <w:color w:val="333333"/>
          <w:sz w:val="32"/>
          <w:szCs w:val="32"/>
        </w:rPr>
        <w:t>8.43</w:t>
      </w:r>
      <w:r w:rsidRPr="004724EB">
        <w:rPr>
          <w:rFonts w:ascii="仿宋_GB2312" w:eastAsia="仿宋_GB2312" w:hAnsi="仿宋" w:cs="仿宋" w:hint="eastAsia"/>
          <w:color w:val="333333"/>
          <w:sz w:val="32"/>
          <w:szCs w:val="32"/>
        </w:rPr>
        <w:t>万元，</w:t>
      </w:r>
      <w:r w:rsidR="00A228D5" w:rsidRPr="00A228D5">
        <w:rPr>
          <w:rFonts w:ascii="仿宋_GB2312" w:eastAsia="仿宋_GB2312" w:hAnsi="仿宋" w:cs="仿宋" w:hint="eastAsia"/>
          <w:sz w:val="32"/>
          <w:szCs w:val="32"/>
        </w:rPr>
        <w:t>主要用于保证机关正常</w:t>
      </w:r>
      <w:r w:rsidR="009E6407">
        <w:rPr>
          <w:rFonts w:ascii="仿宋_GB2312" w:eastAsia="仿宋_GB2312" w:hAnsi="仿宋" w:cs="仿宋" w:hint="eastAsia"/>
          <w:sz w:val="32"/>
          <w:szCs w:val="32"/>
        </w:rPr>
        <w:t>运转</w:t>
      </w:r>
      <w:r w:rsidR="00A228D5" w:rsidRPr="00A228D5">
        <w:rPr>
          <w:rFonts w:ascii="仿宋_GB2312" w:eastAsia="仿宋_GB2312" w:hAnsi="仿宋" w:cs="仿宋" w:hint="eastAsia"/>
          <w:sz w:val="32"/>
          <w:szCs w:val="32"/>
        </w:rPr>
        <w:t>的办公及印刷费、邮电费、差旅费、会议费、福利费、专用材料及一般设备购置费、办公用房水电费、办公用房取暖费、日常维修费、办公楼物业管理费、公务用车运行维护费等支出。</w:t>
      </w:r>
      <w:r w:rsidRPr="00A228D5">
        <w:rPr>
          <w:rFonts w:ascii="仿宋_GB2312" w:eastAsia="仿宋_GB2312" w:hAnsi="仿宋" w:cs="仿宋" w:hint="eastAsia"/>
          <w:sz w:val="32"/>
          <w:szCs w:val="32"/>
        </w:rPr>
        <w:t>其中办公费0.45万元、福利费0.1</w:t>
      </w:r>
      <w:r w:rsidR="00A228D5" w:rsidRPr="00A228D5">
        <w:rPr>
          <w:rFonts w:ascii="仿宋_GB2312" w:eastAsia="仿宋_GB2312" w:hAnsi="仿宋" w:cs="仿宋" w:hint="eastAsia"/>
          <w:sz w:val="32"/>
          <w:szCs w:val="32"/>
        </w:rPr>
        <w:t>2</w:t>
      </w:r>
      <w:r w:rsidRPr="00A228D5">
        <w:rPr>
          <w:rFonts w:ascii="仿宋_GB2312" w:eastAsia="仿宋_GB2312" w:hAnsi="仿宋" w:cs="仿宋" w:hint="eastAsia"/>
          <w:sz w:val="32"/>
          <w:szCs w:val="32"/>
        </w:rPr>
        <w:t>万元、办公取暖费2.1万元、物业管理费1.8万元、公务用车运行维护费2.5万元。</w:t>
      </w:r>
    </w:p>
    <w:p w:rsidR="00FA56C9" w:rsidRPr="00A228D5" w:rsidRDefault="00FA56C9" w:rsidP="00FA56C9">
      <w:pPr>
        <w:adjustRightInd/>
        <w:snapToGrid/>
        <w:spacing w:after="0" w:line="600" w:lineRule="exact"/>
        <w:ind w:left="300" w:firstLine="480"/>
        <w:rPr>
          <w:rFonts w:ascii="黑体" w:eastAsia="黑体" w:hAnsi="黑体" w:cs="仿宋"/>
          <w:b/>
          <w:sz w:val="32"/>
          <w:szCs w:val="32"/>
        </w:rPr>
      </w:pPr>
      <w:r w:rsidRPr="00A228D5">
        <w:rPr>
          <w:rFonts w:ascii="黑体" w:eastAsia="黑体" w:hAnsi="黑体" w:cs="仿宋" w:hint="eastAsia"/>
          <w:b/>
          <w:sz w:val="32"/>
          <w:szCs w:val="32"/>
        </w:rPr>
        <w:t>四、财政拨款“三公”经费预算情况和增减变化原因</w:t>
      </w:r>
    </w:p>
    <w:p w:rsidR="00FA56C9" w:rsidRPr="00A228D5" w:rsidRDefault="00FA56C9" w:rsidP="00FA56C9">
      <w:pPr>
        <w:adjustRightInd/>
        <w:snapToGrid/>
        <w:spacing w:after="0" w:line="600" w:lineRule="exact"/>
        <w:ind w:left="300" w:firstLine="480"/>
        <w:rPr>
          <w:rFonts w:ascii="仿宋_GB2312" w:eastAsia="仿宋_GB2312" w:hAnsi="仿宋" w:cs="仿宋"/>
          <w:sz w:val="32"/>
          <w:szCs w:val="32"/>
        </w:rPr>
      </w:pPr>
      <w:r w:rsidRPr="00A228D5">
        <w:rPr>
          <w:rFonts w:ascii="仿宋_GB2312" w:eastAsia="仿宋_GB2312" w:hAnsi="仿宋" w:cs="仿宋" w:hint="eastAsia"/>
          <w:sz w:val="32"/>
          <w:szCs w:val="32"/>
        </w:rPr>
        <w:t>秦皇岛市北戴河区林业局201</w:t>
      </w:r>
      <w:r w:rsidR="00A228D5">
        <w:rPr>
          <w:rFonts w:ascii="仿宋_GB2312" w:eastAsia="仿宋_GB2312" w:hAnsi="仿宋" w:cs="仿宋" w:hint="eastAsia"/>
          <w:sz w:val="32"/>
          <w:szCs w:val="32"/>
        </w:rPr>
        <w:t>9</w:t>
      </w:r>
      <w:r w:rsidRPr="00A228D5">
        <w:rPr>
          <w:rFonts w:ascii="仿宋_GB2312" w:eastAsia="仿宋_GB2312" w:hAnsi="仿宋" w:cs="仿宋" w:hint="eastAsia"/>
          <w:sz w:val="32"/>
          <w:szCs w:val="32"/>
        </w:rPr>
        <w:t>年度“三公”经费财政拨款支出预算为2.5万元，与上年度预算数持平。其中公务用车购置费我单位无此项支出，公务用车运行费支出2.5万元，占100%，公务接待费</w:t>
      </w:r>
      <w:r w:rsidR="00486752" w:rsidRPr="00A228D5">
        <w:rPr>
          <w:rFonts w:ascii="仿宋_GB2312" w:eastAsia="仿宋_GB2312" w:hAnsi="仿宋" w:cs="仿宋" w:hint="eastAsia"/>
          <w:sz w:val="32"/>
          <w:szCs w:val="32"/>
        </w:rPr>
        <w:t>、因公出国（境）费我部门</w:t>
      </w:r>
      <w:r w:rsidRPr="00A228D5">
        <w:rPr>
          <w:rFonts w:ascii="仿宋_GB2312" w:eastAsia="仿宋_GB2312" w:hAnsi="仿宋" w:cs="仿宋" w:hint="eastAsia"/>
          <w:sz w:val="32"/>
          <w:szCs w:val="32"/>
        </w:rPr>
        <w:t>无此项支出。</w:t>
      </w:r>
    </w:p>
    <w:p w:rsidR="00FA56C9" w:rsidRPr="00A228D5" w:rsidRDefault="00FA56C9" w:rsidP="00FA56C9">
      <w:pPr>
        <w:adjustRightInd/>
        <w:snapToGrid/>
        <w:spacing w:after="0" w:line="600" w:lineRule="exact"/>
        <w:ind w:left="300" w:firstLine="480"/>
        <w:rPr>
          <w:rFonts w:ascii="仿宋_GB2312" w:eastAsia="仿宋_GB2312" w:hAnsi="仿宋" w:cs="仿宋"/>
          <w:sz w:val="32"/>
          <w:szCs w:val="32"/>
        </w:rPr>
      </w:pPr>
      <w:r w:rsidRPr="00A228D5">
        <w:rPr>
          <w:rFonts w:ascii="仿宋_GB2312" w:eastAsia="仿宋_GB2312" w:hAnsi="仿宋" w:cs="仿宋" w:hint="eastAsia"/>
          <w:sz w:val="32"/>
          <w:szCs w:val="32"/>
        </w:rPr>
        <w:t>秦皇岛市北戴河区林业局201</w:t>
      </w:r>
      <w:r w:rsidR="00A228D5">
        <w:rPr>
          <w:rFonts w:ascii="仿宋_GB2312" w:eastAsia="仿宋_GB2312" w:hAnsi="仿宋" w:cs="仿宋" w:hint="eastAsia"/>
          <w:sz w:val="32"/>
          <w:szCs w:val="32"/>
        </w:rPr>
        <w:t>9</w:t>
      </w:r>
      <w:r w:rsidRPr="00A228D5">
        <w:rPr>
          <w:rFonts w:ascii="仿宋_GB2312" w:eastAsia="仿宋_GB2312" w:hAnsi="仿宋" w:cs="仿宋" w:hint="eastAsia"/>
          <w:sz w:val="32"/>
          <w:szCs w:val="32"/>
        </w:rPr>
        <w:t>年度“三公”经费预算严格落实事业单位厉行节约、反对浪费条例规定，加强支出管理，强化预算约束，节约经费开支；贯彻落实公务用车制度改革精神，降低公务用车运维费。</w:t>
      </w:r>
    </w:p>
    <w:p w:rsidR="00DE3883" w:rsidRPr="00A228D5" w:rsidRDefault="00FA56C9" w:rsidP="004724EB">
      <w:pPr>
        <w:adjustRightInd/>
        <w:snapToGrid/>
        <w:spacing w:after="0" w:line="600" w:lineRule="exact"/>
        <w:ind w:left="300" w:firstLine="480"/>
        <w:rPr>
          <w:rFonts w:ascii="黑体" w:eastAsia="黑体" w:hAnsi="黑体" w:cs="仿宋"/>
          <w:b/>
          <w:sz w:val="32"/>
          <w:szCs w:val="32"/>
        </w:rPr>
      </w:pPr>
      <w:r w:rsidRPr="00A228D5">
        <w:rPr>
          <w:rFonts w:ascii="黑体" w:eastAsia="黑体" w:hAnsi="黑体" w:cs="仿宋" w:hint="eastAsia"/>
          <w:b/>
          <w:sz w:val="32"/>
          <w:szCs w:val="32"/>
        </w:rPr>
        <w:t>五</w:t>
      </w:r>
      <w:r w:rsidR="00DE3883" w:rsidRPr="00A228D5">
        <w:rPr>
          <w:rFonts w:ascii="黑体" w:eastAsia="黑体" w:hAnsi="黑体" w:cs="仿宋" w:hint="eastAsia"/>
          <w:b/>
          <w:sz w:val="32"/>
          <w:szCs w:val="32"/>
        </w:rPr>
        <w:t>、绩效预算信息</w:t>
      </w:r>
    </w:p>
    <w:p w:rsidR="004724EB" w:rsidRDefault="004724EB" w:rsidP="004724EB">
      <w:pPr>
        <w:adjustRightInd/>
        <w:snapToGrid/>
        <w:spacing w:after="0" w:line="600" w:lineRule="exact"/>
        <w:ind w:left="300" w:firstLine="480"/>
        <w:rPr>
          <w:rFonts w:ascii="仿宋_GB2312" w:eastAsia="仿宋_GB2312" w:hAnsi="仿宋" w:cs="仿宋"/>
          <w:color w:val="333333"/>
          <w:sz w:val="32"/>
          <w:szCs w:val="32"/>
        </w:rPr>
      </w:pPr>
      <w:r>
        <w:rPr>
          <w:rFonts w:ascii="仿宋_GB2312" w:eastAsia="仿宋_GB2312" w:hAnsi="仿宋" w:cs="仿宋" w:hint="eastAsia"/>
          <w:color w:val="333333"/>
          <w:sz w:val="32"/>
          <w:szCs w:val="32"/>
        </w:rPr>
        <w:lastRenderedPageBreak/>
        <w:t>总体目标</w:t>
      </w:r>
    </w:p>
    <w:p w:rsidR="00DE3883" w:rsidRPr="004724EB" w:rsidRDefault="00DE3883" w:rsidP="004724EB">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（一）</w:t>
      </w:r>
      <w:r w:rsidR="00A228D5">
        <w:rPr>
          <w:rFonts w:ascii="仿宋_GB2312" w:eastAsia="仿宋_GB2312" w:hAnsi="仿宋" w:cs="仿宋" w:hint="eastAsia"/>
          <w:color w:val="333333"/>
          <w:sz w:val="32"/>
          <w:szCs w:val="32"/>
        </w:rPr>
        <w:t>2019</w:t>
      </w:r>
      <w:r w:rsidRPr="004724EB">
        <w:rPr>
          <w:rFonts w:ascii="仿宋_GB2312" w:eastAsia="仿宋_GB2312" w:hAnsi="仿宋" w:cs="仿宋" w:hint="eastAsia"/>
          <w:color w:val="333333"/>
          <w:sz w:val="32"/>
          <w:szCs w:val="32"/>
        </w:rPr>
        <w:t>年北戴河区计划造林5000亩，当年森林覆盖率将增长1.8%。主要在铁路、快速路等主要交通道路、河流两侧及村庄四周环村部位实施。201</w:t>
      </w:r>
      <w:r w:rsidR="00A228D5">
        <w:rPr>
          <w:rFonts w:ascii="仿宋_GB2312" w:eastAsia="仿宋_GB2312" w:hAnsi="仿宋" w:cs="仿宋" w:hint="eastAsia"/>
          <w:color w:val="333333"/>
          <w:sz w:val="32"/>
          <w:szCs w:val="32"/>
        </w:rPr>
        <w:t>9</w:t>
      </w:r>
      <w:r w:rsidRPr="004724EB">
        <w:rPr>
          <w:rFonts w:ascii="仿宋_GB2312" w:eastAsia="仿宋_GB2312" w:hAnsi="仿宋" w:cs="仿宋" w:hint="eastAsia"/>
          <w:color w:val="333333"/>
          <w:sz w:val="32"/>
          <w:szCs w:val="32"/>
        </w:rPr>
        <w:t>年造林工作，将把林业建设与区域旅游结合起来，引导农户栽植效益较高的经济林，并按高标准观光、采摘园模式建园，组织有意愿和需要的农户，到附近较好的园子参观、学习成熟的经营经验，为农户提供信息资源保障。</w:t>
      </w:r>
    </w:p>
    <w:p w:rsidR="00DE3883" w:rsidRPr="004724EB" w:rsidRDefault="00DE3883" w:rsidP="004724EB">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（二）一是重点抓好松褐天牛、红脂大小蠹、美国白蛾、赤松毛虫、双条杉天牛等重大林业有害生物的监测调查。二是加强美国白蛾、日本松干蚧、油松枯梢病等主要林业有害生物防治工作。</w:t>
      </w:r>
    </w:p>
    <w:p w:rsidR="00DE3883" w:rsidRPr="004724EB" w:rsidRDefault="00DE3883" w:rsidP="004724EB">
      <w:pPr>
        <w:adjustRightInd/>
        <w:snapToGrid/>
        <w:spacing w:after="0" w:line="600" w:lineRule="exact"/>
        <w:ind w:firstLineChars="250" w:firstLine="80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三）按照《中华人民共和国食品安全法》、《中华人民共和国农业法》、《中华人民共和国农产品质量安全法》的规定，要求水果农药残留检测总合格率达98％以上果品标准化生产普及率达95％以上，确保群众的人身安全。全年计划抽检果品40批次，进行农药残留检测。</w:t>
      </w:r>
    </w:p>
    <w:p w:rsidR="00DE3883" w:rsidRDefault="00DE3883" w:rsidP="004724EB">
      <w:pPr>
        <w:adjustRightInd/>
        <w:snapToGrid/>
        <w:spacing w:after="0" w:line="600" w:lineRule="exact"/>
        <w:ind w:firstLineChars="250" w:firstLine="80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lastRenderedPageBreak/>
        <w:t>（四）按照《中华人民共和国农业法》的规定，为促进全区林业、果品、花卉种苗产业的快速发展，区林业局的职能主要以提供林业技术指导、提供产前产后服务为主。引进更新果树优新品种、组织培训、参观示范园区、推广生物防治病虫害技术。</w:t>
      </w:r>
      <w:bookmarkStart w:id="0" w:name="_Toc476749157"/>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职责分类绩效目标：</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一、森防股主要职责</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根据《秦皇岛市人民政府办公厅关于印发秦皇岛市北戴河区园林管理局主要职责内设机构和人员编制规定的通知》相关规定及局内具体业务分工，森防股主要职责为：宣传贯彻《森林法》、《植物检疫条例》、《森林病虫害防治条例》及有关森防工作的方针政策。组织指导全区林业有害生物监测、防治及检疫工作，为林业生态发展和林产品生产提供公共支撑。具体职责如下：</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1、宣传贯彻国家和地方政府关于园林（林业）有害生物防治检疫的方针、政策和法规，在本区范围内依法开展园林（林业）有害生物预测预报、检疫、和除治工作，防止危险性林业有害生物的传播蔓延。</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2、负责本地区园林（林业）有害生物防治的组织管理工作和执行森林植物检疫任务。</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lastRenderedPageBreak/>
        <w:t>3、制定本地园林（林业）有害生物事件应急预案和处置办法，及时发布森防预警预报，并提出防治方案。</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4、制定监测预警和除治措施，提出防治经费预算，合理调配防治药剂、药械，协助防治单位做好除治技术指导。</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5、组织森林植物产地检疫、调运检疫、疫情普查，签发产地检疫合格证，指导种苗生产、培育无检疫对象种苗。</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6、受理森林植物检疫报检申请，依法检疫并签发《植物检疫证书》，开展证书信息网上传输业务，根据调入情况及时进行复检和补检工作。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7、独立行使国家森防检疫职权，负责执行国家森林检疫任务，依法查处一切违反森防检疫法规的行政案件。</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8、负责全区林业有害生物和检疫对象的普查工作。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9. 按时上报上级森防部门规定的有关图表、技术报告和工作总结。</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二、森防股岗位职责</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lastRenderedPageBreak/>
        <w:t>森防股共设 3 个岗位，分别是股长岗，检疫及防治岗、测报及内勤岗。各岗位具体职责如下：</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1股长岗：负责主持森防股全面工作。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2检疫及防治岗：负责种苗产地检疫、调运植物检疫的组织与管理工作。负责管理和指导全区园林及林业病虫害防治工作。全区园林（林业）有害生物的防治及专项调查具体组织管理工作。负责制定防治技术方案、防治设计、技术指导、检查监督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3测报及内勤岗：负责全区园林（林业）有害生物的预测预报具体组织管理工作。负责全区测报规划、技术指导、检查监督工作。拟写病虫情分析报告，管理和指导全区的测报工作。负责区、乡、村测报三级网络建设工作和测报数据库的建立与维护，并及时向国家、省、市业务部门报送测报、防治网络数据。  负责撰写或收集森防稿件，并负责资料档案保管。负责森防站人员考勤工作。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Pr>
          <w:rFonts w:ascii="仿宋_GB2312" w:eastAsia="仿宋_GB2312" w:hAnsi="仿宋" w:cs="仿宋" w:hint="eastAsia"/>
          <w:color w:val="333333"/>
          <w:sz w:val="32"/>
          <w:szCs w:val="32"/>
        </w:rPr>
        <w:t>三</w:t>
      </w:r>
      <w:r w:rsidRPr="00370E00">
        <w:rPr>
          <w:rFonts w:ascii="仿宋_GB2312" w:eastAsia="仿宋_GB2312" w:hAnsi="仿宋" w:cs="仿宋" w:hint="eastAsia"/>
          <w:color w:val="333333"/>
          <w:sz w:val="32"/>
          <w:szCs w:val="32"/>
        </w:rPr>
        <w:t>、林果股主要职责</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lastRenderedPageBreak/>
        <w:t>1、贯彻执行上级关于林业及其生态建设的方针、政策和法律法规；负责拟订、实施林业及生态建设的发展战略、中长期规划和年度生产计划；</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2、组织重点林业、果品、花卉建设项目的申报、实施、管理和监督；</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3、负责全区造林、村屯绿化、果树发展的组织发动与指导监督工作；组织或指导退耕还林、防沙治沙、防治水土流失、应对气候变化等工作;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4、林、果、花标准化管理等工作；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5、组织、指导公益林、商品林、林木种苗、花木培育、经济林培育管护工作，负责种苗、花卉、造林、营林质量管理；</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6、负责全区种苗管理工作；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7、果品安全监督管理工作；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8、组织、指导林业综合开发和低产林改造；</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9、协助、指导生物质能源基地建设和林业产业结构调整；</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10、农村造林、村屯绿化的工程设计；</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lastRenderedPageBreak/>
        <w:t>11、林、果、花新品种引进、试验、示范推广工作；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12、开展培训技术咨询与服务，为林农、果农、花农提供产前、产中、产后服务。</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实现年度发展规划目标的保障措施</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1、加强领导，落实齐抓共管的工作机制</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建立健全林业和园林绿化建设目标责任制，明确各级政府是本地林业和园林绿化建设的责任主体，政府主要领导是林业和园林绿化建设的第一责任人，分管领导是主要责任人，各级园林林业部门是直接负责人，层层落实责任，严格目标管理考核。各园林林业部门要结合实际制定相应的实施意见和配套措施，切实做好本规划的落实工作，要按照职责分工，密切配合，通力协作，加大林业和园林绿化建设。</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2、广泛宣传，形成全民共建爱绿护绿意识</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要广泛运用各种新闻媒体，采取各种形式、手段，大力宣传中央园林（林业）工作会议和林业和园林绿化各项政策、法律、法规，积极倡导生态文明理念，引导社会力量共同参与，共同支持林业和园林绿化建设。继续深入开展全民义务植树活动，让全社会参与，逐步强化全区人民的生态安</w:t>
      </w:r>
      <w:r w:rsidRPr="00370E00">
        <w:rPr>
          <w:rFonts w:ascii="仿宋_GB2312" w:eastAsia="仿宋_GB2312" w:hAnsi="仿宋" w:cs="仿宋" w:hint="eastAsia"/>
          <w:color w:val="333333"/>
          <w:sz w:val="32"/>
          <w:szCs w:val="32"/>
        </w:rPr>
        <w:lastRenderedPageBreak/>
        <w:t>全意识、绿化美化意识，环境保护意识，形成全社会爱绿、植绿、护绿的良好氛围。围绕目标，在坚持政府主导的基础上，依靠体制改革和机制创新，通过创建省市级园林式单位、北戴河区优秀绿化庭院、小区、镇村的评比表彰等工作，充分调动社会和群众的积极性。</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3、严格执法，强化管养能力保护绿化成果</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重视和关心林业队伍建设，健全林业执法工作新秩序，保障法律的权威性和约束力；加强森林资源管理、种苗管理、森林病虫害管理、森林防火等执法工作，坚决防止和严格依法惩治乱挖乱占、乱砍滥伐等破坏生态环境等违法行为；开展专业培训和继续教育，加强现有专业技术人员的能力建设，全面提高绿化人力资源素质与能力。</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4、科教兴林，强化科技推进产业结构升级</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实施科教兴林、兴绿战略，以科研单位和大专院校为技术依托，开展相关项目课题研究和示范推广，认真搞好科技普及和技术培训，推进林业产业结构升级，努力提高林业和园林绿化科技创新能力。</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t>5、搞好服务，完善配套政策提供良好环境</w:t>
      </w:r>
    </w:p>
    <w:p w:rsidR="00370E00" w:rsidRPr="00370E00" w:rsidRDefault="00370E00" w:rsidP="00370E00">
      <w:pPr>
        <w:adjustRightInd/>
        <w:snapToGrid/>
        <w:spacing w:after="0" w:line="600" w:lineRule="exact"/>
        <w:ind w:firstLineChars="250" w:firstLine="800"/>
        <w:rPr>
          <w:rFonts w:ascii="仿宋_GB2312" w:eastAsia="仿宋_GB2312" w:hAnsi="仿宋" w:cs="仿宋"/>
          <w:color w:val="333333"/>
          <w:sz w:val="32"/>
          <w:szCs w:val="32"/>
        </w:rPr>
      </w:pPr>
      <w:r w:rsidRPr="00370E00">
        <w:rPr>
          <w:rFonts w:ascii="仿宋_GB2312" w:eastAsia="仿宋_GB2312" w:hAnsi="仿宋" w:cs="仿宋" w:hint="eastAsia"/>
          <w:color w:val="333333"/>
          <w:sz w:val="32"/>
          <w:szCs w:val="32"/>
        </w:rPr>
        <w:lastRenderedPageBreak/>
        <w:t>制定和完善发展林业相关配套政策，切实给农民提供良好的政策环境。放活经营，切实让农民在林地经营中得到实惠。搞好服务，切实为农民提供便捷的技术、信息、林地承包经营流转等服务。激发农民的生产积极性，促进农民发展林业。</w:t>
      </w:r>
    </w:p>
    <w:p w:rsidR="00370E00" w:rsidRPr="00370E00" w:rsidRDefault="00370E00" w:rsidP="00370E00">
      <w:pPr>
        <w:adjustRightInd/>
        <w:snapToGrid/>
        <w:spacing w:after="0" w:line="600" w:lineRule="exact"/>
        <w:ind w:firstLineChars="250" w:firstLine="800"/>
        <w:rPr>
          <w:rFonts w:ascii="仿宋_GB2312" w:eastAsia="仿宋_GB2312" w:hAnsi="宋体" w:cs="宋体"/>
          <w:sz w:val="24"/>
          <w:szCs w:val="24"/>
        </w:rPr>
      </w:pPr>
      <w:r w:rsidRPr="004724EB">
        <w:rPr>
          <w:rFonts w:ascii="仿宋_GB2312" w:eastAsia="仿宋_GB2312" w:hAnsi="仿宋" w:cs="仿宋" w:hint="eastAsia"/>
          <w:color w:val="333333"/>
          <w:sz w:val="32"/>
          <w:szCs w:val="32"/>
        </w:rPr>
        <w:t>部门职责-工作活动绩效目标</w:t>
      </w:r>
    </w:p>
    <w:p w:rsidR="00DE3883" w:rsidRPr="004724EB" w:rsidRDefault="00DE3883" w:rsidP="004724EB">
      <w:pPr>
        <w:adjustRightInd/>
        <w:snapToGrid/>
        <w:spacing w:after="0" w:line="600" w:lineRule="exact"/>
        <w:ind w:firstLineChars="250" w:firstLine="800"/>
        <w:jc w:val="center"/>
        <w:rPr>
          <w:rFonts w:ascii="仿宋_GB2312" w:eastAsia="仿宋_GB2312" w:hAnsi="宋体" w:cs="宋体"/>
          <w:sz w:val="24"/>
          <w:szCs w:val="24"/>
        </w:rPr>
      </w:pPr>
      <w:r w:rsidRPr="004724EB">
        <w:rPr>
          <w:rFonts w:ascii="仿宋_GB2312" w:eastAsia="仿宋_GB2312" w:hAnsi="仿宋" w:cs="仿宋" w:hint="eastAsia"/>
          <w:color w:val="333333"/>
          <w:sz w:val="32"/>
          <w:szCs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341"/>
        <w:gridCol w:w="1276"/>
        <w:gridCol w:w="2976"/>
        <w:gridCol w:w="2976"/>
        <w:gridCol w:w="1417"/>
        <w:gridCol w:w="737"/>
        <w:gridCol w:w="737"/>
        <w:gridCol w:w="737"/>
        <w:gridCol w:w="737"/>
      </w:tblGrid>
      <w:tr w:rsidR="00DE3883" w:rsidRPr="004724EB">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 xml:space="preserve">327林业局              </w:t>
            </w:r>
          </w:p>
        </w:tc>
        <w:tc>
          <w:tcPr>
            <w:tcW w:w="2948" w:type="dxa"/>
            <w:gridSpan w:val="4"/>
            <w:tcBorders>
              <w:top w:val="single" w:sz="6" w:space="0" w:color="FFFFFF"/>
              <w:left w:val="single" w:sz="6" w:space="0" w:color="FFFFFF"/>
              <w:right w:val="single" w:sz="6" w:space="0" w:color="FFFFFF"/>
            </w:tcBorders>
            <w:vAlign w:val="center"/>
          </w:tcPr>
          <w:p w:rsidR="00DE3883" w:rsidRPr="004724EB" w:rsidRDefault="00DE3883" w:rsidP="004724EB">
            <w:pPr>
              <w:spacing w:after="0"/>
              <w:jc w:val="right"/>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单位：万元</w:t>
            </w:r>
          </w:p>
        </w:tc>
      </w:tr>
      <w:tr w:rsidR="00DE3883" w:rsidRPr="004724EB">
        <w:trPr>
          <w:trHeight w:val="227"/>
          <w:tblHeader/>
          <w:jc w:val="center"/>
        </w:trPr>
        <w:tc>
          <w:tcPr>
            <w:tcW w:w="2341" w:type="dxa"/>
            <w:vMerge w:val="restart"/>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职责活动</w:t>
            </w:r>
          </w:p>
        </w:tc>
        <w:tc>
          <w:tcPr>
            <w:tcW w:w="1276" w:type="dxa"/>
            <w:vMerge w:val="restart"/>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年度预算数</w:t>
            </w:r>
          </w:p>
        </w:tc>
        <w:tc>
          <w:tcPr>
            <w:tcW w:w="2976" w:type="dxa"/>
            <w:vMerge w:val="restart"/>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内容描述</w:t>
            </w:r>
          </w:p>
        </w:tc>
        <w:tc>
          <w:tcPr>
            <w:tcW w:w="2976" w:type="dxa"/>
            <w:vMerge w:val="restart"/>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绩效目标</w:t>
            </w:r>
          </w:p>
        </w:tc>
        <w:tc>
          <w:tcPr>
            <w:tcW w:w="1417" w:type="dxa"/>
            <w:vMerge w:val="restart"/>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绩效指标</w:t>
            </w:r>
          </w:p>
        </w:tc>
        <w:tc>
          <w:tcPr>
            <w:tcW w:w="2948" w:type="dxa"/>
            <w:gridSpan w:val="4"/>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评价标准</w:t>
            </w:r>
          </w:p>
        </w:tc>
      </w:tr>
      <w:tr w:rsidR="00DE3883" w:rsidRPr="004724EB">
        <w:trPr>
          <w:trHeight w:val="227"/>
          <w:tblHeader/>
          <w:jc w:val="center"/>
        </w:trPr>
        <w:tc>
          <w:tcPr>
            <w:tcW w:w="2341" w:type="dxa"/>
            <w:vMerge/>
            <w:vAlign w:val="center"/>
          </w:tcPr>
          <w:p w:rsidR="00DE3883" w:rsidRPr="004724EB" w:rsidRDefault="00DE3883" w:rsidP="004724EB">
            <w:pPr>
              <w:spacing w:after="0"/>
              <w:outlineLvl w:val="0"/>
              <w:rPr>
                <w:rFonts w:asciiTheme="minorEastAsia" w:eastAsiaTheme="minorEastAsia" w:hAnsiTheme="minorEastAsia" w:cs="宋体"/>
                <w:sz w:val="24"/>
                <w:szCs w:val="24"/>
              </w:rPr>
            </w:pPr>
          </w:p>
        </w:tc>
        <w:tc>
          <w:tcPr>
            <w:tcW w:w="1276" w:type="dxa"/>
            <w:vMerge/>
            <w:vAlign w:val="center"/>
          </w:tcPr>
          <w:p w:rsidR="00DE3883" w:rsidRPr="004724EB" w:rsidRDefault="00DE3883" w:rsidP="004724EB">
            <w:pPr>
              <w:spacing w:after="0"/>
              <w:outlineLvl w:val="0"/>
              <w:rPr>
                <w:rFonts w:asciiTheme="minorEastAsia" w:eastAsiaTheme="minorEastAsia" w:hAnsiTheme="minorEastAsia" w:cs="宋体"/>
                <w:sz w:val="24"/>
                <w:szCs w:val="24"/>
              </w:rPr>
            </w:pPr>
          </w:p>
        </w:tc>
        <w:tc>
          <w:tcPr>
            <w:tcW w:w="2976" w:type="dxa"/>
            <w:vMerge/>
            <w:vAlign w:val="center"/>
          </w:tcPr>
          <w:p w:rsidR="00DE3883" w:rsidRPr="004724EB" w:rsidRDefault="00DE3883" w:rsidP="004724EB">
            <w:pPr>
              <w:spacing w:after="0"/>
              <w:outlineLvl w:val="0"/>
              <w:rPr>
                <w:rFonts w:asciiTheme="minorEastAsia" w:eastAsiaTheme="minorEastAsia" w:hAnsiTheme="minorEastAsia" w:cs="宋体"/>
                <w:sz w:val="24"/>
                <w:szCs w:val="24"/>
              </w:rPr>
            </w:pPr>
          </w:p>
        </w:tc>
        <w:tc>
          <w:tcPr>
            <w:tcW w:w="2976" w:type="dxa"/>
            <w:vMerge/>
            <w:vAlign w:val="center"/>
          </w:tcPr>
          <w:p w:rsidR="00DE3883" w:rsidRPr="004724EB" w:rsidRDefault="00DE3883" w:rsidP="004724EB">
            <w:pPr>
              <w:spacing w:after="0"/>
              <w:outlineLvl w:val="0"/>
              <w:rPr>
                <w:rFonts w:asciiTheme="minorEastAsia" w:eastAsiaTheme="minorEastAsia" w:hAnsiTheme="minorEastAsia" w:cs="宋体"/>
                <w:sz w:val="24"/>
                <w:szCs w:val="24"/>
              </w:rPr>
            </w:pPr>
          </w:p>
        </w:tc>
        <w:tc>
          <w:tcPr>
            <w:tcW w:w="1417" w:type="dxa"/>
            <w:vMerge/>
            <w:vAlign w:val="center"/>
          </w:tcPr>
          <w:p w:rsidR="00DE3883" w:rsidRPr="004724EB" w:rsidRDefault="00DE3883" w:rsidP="004724EB">
            <w:pPr>
              <w:spacing w:after="0"/>
              <w:outlineLvl w:val="0"/>
              <w:rPr>
                <w:rFonts w:asciiTheme="minorEastAsia" w:eastAsiaTheme="minorEastAsia" w:hAnsiTheme="minorEastAsia" w:cs="宋体"/>
                <w:sz w:val="24"/>
                <w:szCs w:val="24"/>
              </w:rPr>
            </w:pPr>
          </w:p>
        </w:tc>
        <w:tc>
          <w:tcPr>
            <w:tcW w:w="737" w:type="dxa"/>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优</w:t>
            </w:r>
          </w:p>
        </w:tc>
        <w:tc>
          <w:tcPr>
            <w:tcW w:w="737" w:type="dxa"/>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良</w:t>
            </w:r>
          </w:p>
        </w:tc>
        <w:tc>
          <w:tcPr>
            <w:tcW w:w="737" w:type="dxa"/>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中</w:t>
            </w:r>
          </w:p>
        </w:tc>
        <w:tc>
          <w:tcPr>
            <w:tcW w:w="737" w:type="dxa"/>
            <w:vAlign w:val="center"/>
          </w:tcPr>
          <w:p w:rsidR="00DE3883" w:rsidRPr="004724EB" w:rsidRDefault="00DE3883" w:rsidP="004724EB">
            <w:pPr>
              <w:spacing w:after="0"/>
              <w:jc w:val="center"/>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差</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一、林业生态建设</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贯彻执行上级关于林业及其生态建设的方针、政策和法律法规；拟订、实施全区林业及生态建设的发展战略、中长期规划和年度生产计划；负责全区造林、村屯绿化的组织发动与指导监督工作；负责造林、营林质量管理。组织或指导退耕还林、防沙治沙、防治水土流失、应对气候变化等工作。加强国家公益林保护管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完成国家下达和市委市政府制定的造林任务及全市森林覆盖率考核目标。有效改善生态环境。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森林覆盖率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　2006年绿满北戴河造林土地补贴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对“绿满北戴河”活动实施的造林，验收合格的地块，在市政府每亩每年平均给予土地补贴150元的基础上，区委、区政府每亩每年再补贴250元，生态林连补20年。</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保存造林面积482.4亩。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2、2008年造林土地补贴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根据《中共北戴河区委 北戴河区人民政府关于印发&lt;北戴河区2008年度绿化实施方案&gt;的通知》（北字[2008]4号）文件精神，对当年验收合格地块，造林补贴延续2006年“绿满北戴河”补贴标准。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保存造林面积305.84亩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3、2009年造林土地补贴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为完成上级下达的造林任务，我区开展了沿海防护林造林工程，为保持造林绿化净化美化环境的效果，执行《北戴河区2009年农村造林实施细则》即北政[2009]8号文件补贴标准。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保存造林面积785亩。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4、2011年造林土地补贴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为完成上级下达的造林任务，我区开展了沿海防护林造林工程，为保持造林绿化净化美化环境的效果，执行《北戴河区2010-2011年度造林绿化实施细则》北政办[2011]6号文件补贴标准。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保存造林面积1134.2亩。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5、2012年造林土地补贴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为完成上级下达的造林任务，我区开展了沿海防护林造林工程，为保持造林绿化净化美化环境的效果，执行《北戴河区2010-2011年度造林绿化实施细则》北政办[2011]6号文件补贴标准。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保存造林面积286亩。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6、2013年造林土地补贴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为完成上级下达的造林任务，我区开展了沿海防护林造林工程，为保持造林绿化净化美化环境的效果，执行《北戴河区2010-2011年度造林绿化实施细则》北政办[2011]6</w:t>
            </w:r>
            <w:r w:rsidRPr="004724EB">
              <w:rPr>
                <w:rFonts w:asciiTheme="minorEastAsia" w:eastAsiaTheme="minorEastAsia" w:hAnsiTheme="minorEastAsia" w:cs="宋体" w:hint="eastAsia"/>
                <w:sz w:val="24"/>
                <w:szCs w:val="24"/>
              </w:rPr>
              <w:lastRenderedPageBreak/>
              <w:t>号文件补贴标准。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保存造林面积202亩。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7、2014年造林土地补贴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为完成上级下达的造林任务，我区开展了沿海防护林造林工程，为鼓励农民的造林积极性，保持造林绿化净化美化环境的效果，执行《北戴河区2014年城乡增绿工程实施方案》北政办[2014]11号文件补贴政策。</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保存造林面积256.1亩。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8、“3318”环城造林土地补贴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为进一步巩固“3318”环城造林绿化成果，保持我区良好的生态环境和森林覆盖率指标，继续对环城绿化生态林执行区委、区政府制定《北戴河区环城绿化“3318”造林补贴办法》（北政[2010]5号）补贴标准。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保存造林面积4294.694亩。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9、牛头崖镇造林土地补贴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按照2010年秦皇岛市造林绿化方案，实施了沿海高速、京沈高速绿化工程、沿海防护林工程。由于区</w:t>
            </w:r>
            <w:r w:rsidRPr="004724EB">
              <w:rPr>
                <w:rFonts w:asciiTheme="minorEastAsia" w:eastAsiaTheme="minorEastAsia" w:hAnsiTheme="minorEastAsia" w:cs="宋体" w:hint="eastAsia"/>
                <w:sz w:val="24"/>
                <w:szCs w:val="24"/>
              </w:rPr>
              <w:lastRenderedPageBreak/>
              <w:t>划调整，牛头崖镇土地补贴费沿续当时市政府制定的补贴政策。</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保存造林面积671亩。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10、退耕还林</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按照规划和国家下达的年度计划，组织实施退耕还林、荒山荒地造林及巩固退耕成果等工程，兑现政策补助资金。</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保存造林成果，提高全区绿化水平和森林覆盖率，改善生态环境。提高森林质量，促进林业持续发展。</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保存造林面积83.485亩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11、森林抚育</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组织全区对中幼龄林进行抚育作业，低质低效林改造，更新造林。</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提高森林质量，促进林业持续发展。</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完成森林抚育任务15000亩。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12、防沙治沙</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组织实施全区防沙治沙、石漠化防治及沙化土地封禁保护区建设规划，监督沙化土地的合理利用.</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沙化土地得以治理，重点治理区生态状况明显改善。</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完成省和市委市政府下达的防沙治沙任务，对沙尘暴预测和应急处置。</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13、公益林管理</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加强对国家级公益林林权权利人和管护人员的指导、服务和检查，管好，用好国家级公益林森林生态效益补偿基金</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加强公益林的管理和保护，公益林面积不减少，长势良好。</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完成年度管理任务</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14、2016年造林土地补贴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按照市造林方案要求，我区计划造林3500亩，对当年验收合格地块，执行《北戴河区2010-2011年度造林绿化实施细则》北政办[2011]6号文件补贴标准。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保存造林面积5116亩。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15、2016年造林苗木费</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按照市造林方案要求，我区计划造林3500亩，需采购造林苗木</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保存造林面积5116亩。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二、林果产业发展</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扶持果品、苗木、花卉、经济林的标准化生产、管理和基地建设，推动果品、花卉的结构调整。指导全区林业产业相关工作，扶持林业企业发展；果品安全生产环节监督管理工作。</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推进林果产业标准化生产，改善品种，调整结构，提升品质和产量，提升经济效益。</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主要果品优质果率达到85%以上。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98%及以上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95%及以上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95%及以下</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95%以下</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1、果品安全监管检测</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实现上级提出的食品安全目标，本着从生产源头抓起，切实提升我区果品安全的总体水平，要求水果农药残留检测总合格率和</w:t>
            </w:r>
            <w:r w:rsidRPr="004724EB">
              <w:rPr>
                <w:rFonts w:asciiTheme="minorEastAsia" w:eastAsiaTheme="minorEastAsia" w:hAnsiTheme="minorEastAsia" w:cs="宋体" w:hint="eastAsia"/>
                <w:sz w:val="24"/>
                <w:szCs w:val="24"/>
              </w:rPr>
              <w:lastRenderedPageBreak/>
              <w:t>果品标准化生产普及率达到政府规定指标，确保群众的人身安全。</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促进全区果品种植品种提档升级，全面提高果品质量安全水平。</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林果产品质量监督检测完成率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98%及以上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95%及以上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95%及以下</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95%以下</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2、林果技术推广</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促进全区林业、果品、花卉种苗产业的快速发展，提供林业技术指导,提供产前产后服务。</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发挥林业科技支撑作用，通过新技术成果的展示，辐射带动全区适宜区域的林果行业技术推广应用。</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新技术推广完成率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98%及以上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95%及以上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95%及以下</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95%以下</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3、支持果品产业发展</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组织实施果品结构调整和基地建设，指导果品品种改良、品质提高和标准化生产工作。</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促进全区果品种植品种提档升级，全面提高果品质量安全水平。</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林果产品质量监督检测完成率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4、支持苗木花卉产业发展</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改善苗木花卉产业生产基础设施条件，改变落后的生产方式和技术手段，培育和壮大龙头企业。</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提高我区苗木和花卉产业的整体水平</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推广新品种花卉种植比例。</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50%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40%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30%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20%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5、支持林业产业发展</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谋划林业产业政策，扶持林业重点企业和合作组织发展，加强木材行业管理，发展林下经济、森林旅游等。实施林业贷款贴息项目。</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提高我区林业产业的整体水平。</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新技术推广完成率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98%以上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90%以下</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6、林木良种繁育</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负责全区林木良种引种及林木种质资源管理。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提高林木种苗质量，保障林木良种供应，加快林木</w:t>
            </w:r>
            <w:r w:rsidRPr="004724EB">
              <w:rPr>
                <w:rFonts w:asciiTheme="minorEastAsia" w:eastAsiaTheme="minorEastAsia" w:hAnsiTheme="minorEastAsia" w:cs="宋体" w:hint="eastAsia"/>
                <w:sz w:val="24"/>
                <w:szCs w:val="24"/>
              </w:rPr>
              <w:lastRenderedPageBreak/>
              <w:t>良种推广步伐。</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完成年度林木良种培育</w:t>
            </w:r>
            <w:r w:rsidRPr="004724EB">
              <w:rPr>
                <w:rFonts w:asciiTheme="minorEastAsia" w:eastAsiaTheme="minorEastAsia" w:hAnsiTheme="minorEastAsia" w:cs="宋体" w:hint="eastAsia"/>
                <w:sz w:val="24"/>
                <w:szCs w:val="24"/>
              </w:rPr>
              <w:lastRenderedPageBreak/>
              <w:t>任务。</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98%以上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90%以上</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90%以下</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三、森防</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 xml:space="preserve">宣传贯彻《森林法》、《植物检疫条例》、《森林病虫害防治条例》及有关森防工作的方针政策。组织指导全区林业有害生物防治及检疫工作，为林业生态发展和林产品生产提供公共支撑。  </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推广林业有害生物防治先进技术，提高林产品品质和经济效益，保护全区生态安全。</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全区林木有害生物成灾率</w:t>
            </w:r>
          </w:p>
          <w:p w:rsidR="00DE3883" w:rsidRPr="004724EB" w:rsidRDefault="00DE3883" w:rsidP="004724EB">
            <w:pPr>
              <w:spacing w:after="0"/>
              <w:rPr>
                <w:rFonts w:asciiTheme="minorEastAsia" w:eastAsiaTheme="minorEastAsia" w:hAnsiTheme="minorEastAsia" w:cs="宋体"/>
                <w:sz w:val="24"/>
                <w:szCs w:val="24"/>
              </w:rPr>
            </w:pP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≤1‰</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≤3‰</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≤4‰</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＞4‰</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1、林业有害生物（含美国白蛾）综合防治及检疫</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62.00</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负责森林植物产地、调运检疫及区内森林植物检疫对象的监测；负责林业有害生物的普查、测报和防治；推广林业有害生物防治技术，组织基层技术培训，进行行业指导及技术服务；完成上级批准的林业有害生物防治项目建设。</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林业有害生物灾害防治。</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全区有害生物成灾率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≤1‰</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≤3‰</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≤4‰</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＞4‰</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四、野生动植物保护及疫源疫病监控</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依法组织指导陆生野生动植物的救护繁育、栖息地恢复发展。依法组织指导全区陆生野生动物疫源疫</w:t>
            </w:r>
            <w:r w:rsidRPr="004724EB">
              <w:rPr>
                <w:rFonts w:asciiTheme="minorEastAsia" w:eastAsiaTheme="minorEastAsia" w:hAnsiTheme="minorEastAsia" w:cs="宋体" w:hint="eastAsia"/>
                <w:sz w:val="24"/>
                <w:szCs w:val="24"/>
              </w:rPr>
              <w:lastRenderedPageBreak/>
              <w:t>病监测工作。</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加强野生动植物保护和陆生野生动物疫源疫病监测防控，保障生态安全。</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全区有害生物成灾率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≤1‰</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≤3‰</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≤4‰</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＞4‰</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1、野生动植物保护及疫源疫病监控</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开展林业生物种质资源、转基因生物安全、植物新品种和生物多样性保护等工作。依法组织指导陆生野生动植物的救护繁育、栖息地恢复发展。依法组织指导全市陆生野生动物疫源疫病监测工作。</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野生动物疫源疫病监测防控。</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全区有害生物成灾率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≤1‰</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≤3‰</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≤4‰</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＞4‰</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五、森林资源管理</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组织实施全市林权、森林采伐限额管理，拟订林地保护利用规划并指导实施，依法承担林地征用、占用的初审工作。监督检查林木凭证采伐、运输。监管全市国有林业资产和森林资源资产。</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规范林地、林权和森林资源管理，提高林业资源资产安全性、完整性和使用效益。</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组织实施全区林权、森林采伐限额管理，依法承担林地征用、占用的初审工作。监督检查林木凭证采伐、运输、加工；木材经营加工审批及监管。监管全区国</w:t>
            </w:r>
            <w:r w:rsidRPr="004724EB">
              <w:rPr>
                <w:rFonts w:asciiTheme="minorEastAsia" w:eastAsiaTheme="minorEastAsia" w:hAnsiTheme="minorEastAsia" w:cs="宋体" w:hint="eastAsia"/>
                <w:sz w:val="24"/>
                <w:szCs w:val="24"/>
              </w:rPr>
              <w:lastRenderedPageBreak/>
              <w:t>有林业资产和森林资源资产。</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1、森林资源管理</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组织实施全区林权、森林采伐限额管理，依法承担林地征用、占用的初审工作。监督检查林木凭证采伐、运输、加工；木材经营加工审批及监管。监管全区国有林业资产和森林资源资产。</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组织实施全区林权、森林采伐限额管理，依法承担林地征用、占用的初审工作。监督检查林木凭证采伐、运输、加工；木材经营加工审批及监管。监管全区国有林业资产和森林资源资产。</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组织实施全区林权、森林采伐限额管理，依法承担林地征用、占用的初审工作。监督检查林木凭证采伐、运输、加工；木材经营加工审批及监管。监管全区国有林业资产和森林资源资产。</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六、湿地公园保护与建设</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组织实施监督和检查，组织开展森林资源、承担林业生态文明建设的有关工</w:t>
            </w:r>
            <w:r w:rsidRPr="004724EB">
              <w:rPr>
                <w:rFonts w:asciiTheme="minorEastAsia" w:eastAsiaTheme="minorEastAsia" w:hAnsiTheme="minorEastAsia" w:cs="宋体" w:hint="eastAsia"/>
                <w:sz w:val="24"/>
                <w:szCs w:val="24"/>
              </w:rPr>
              <w:lastRenderedPageBreak/>
              <w:t>作。</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有效改善生态环境。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依法指导林业系统管理的森林、荒</w:t>
            </w:r>
            <w:r w:rsidRPr="004724EB">
              <w:rPr>
                <w:rFonts w:asciiTheme="minorEastAsia" w:eastAsiaTheme="minorEastAsia" w:hAnsiTheme="minorEastAsia" w:cs="宋体" w:hint="eastAsia"/>
                <w:sz w:val="24"/>
                <w:szCs w:val="24"/>
              </w:rPr>
              <w:lastRenderedPageBreak/>
              <w:t>漠化和陆生野生动物类型、湿地类型等自然保护区以及湿地公园、保护小区的建设和管理，开展湿地保护与恢复，监督湿地、森林公园合理利用。</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1、湿地公园保护与建设</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依法指导林业系统管理的森林、荒漠化和陆生野生动物类型、湿地类型等自然保护区以及湿地公园、保护小区的建设和管理，开展湿地保护与恢复，监督湿地、森林公园合理利用。</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有效改善生态环境。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依法指导林业系统管理的森林、荒漠化和陆生野生动物类型、湿地类型等自然保护区以及湿地公园、保护小区的建</w:t>
            </w:r>
            <w:r w:rsidRPr="004724EB">
              <w:rPr>
                <w:rFonts w:asciiTheme="minorEastAsia" w:eastAsiaTheme="minorEastAsia" w:hAnsiTheme="minorEastAsia" w:cs="宋体" w:hint="eastAsia"/>
                <w:sz w:val="24"/>
                <w:szCs w:val="24"/>
              </w:rPr>
              <w:lastRenderedPageBreak/>
              <w:t>设和管理，开展湿地保护与恢复，监督湿地、森林公园合理利用。</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七林政执法</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预防、制止和查处各类破坏森林和野生动植物资源的违法犯罪活动；依法查处各类林业行政案件；刑事案件依法移交当地公安机关处理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提高林业执法队伍素质，减少林区各类案件的发生、保护森林及野生动物资源</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林业行政案件查处能力得到加强</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1、林政执法</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预防、制止和查处各类破坏森林和野生动植物资源的违法犯罪活动；依法查处各类林业行政案件；刑事案件依法移交当地公安机关处理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提高林业执法队伍素质，减少林区各类案件的发生、保护森林及野生动物资源</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林业行政案件查处能力得到加强</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八、行政审批</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依法依规履行林业行政审批工作。</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依法依规完成林业行政审批工作任务，确保行政审批正常运行，提高业务工作效率。</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依法依规严格按时限完成林业行政审批工作任务。</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1、行政审批</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bookmarkStart w:id="1" w:name="_GoBack"/>
            <w:bookmarkEnd w:id="1"/>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依法依规完成林木采伐、木材运输、木材经营加工、驯养繁殖野生动物、征占用林地、植物检疫、种子生产经营许可证等各项林业行政审批工作任务，确保行政审批正常运行，提高业务工作效率。</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保障全区林业事业健康科学持续发展</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依法依规严格按时限完成林业行政审批工作任务。</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九、古树名木保护工作</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组织开展古树名木的普查、档案管理、宣传、保护复壮工作。</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加大古树名木宣传力度、采取保护复壮措施，保护好北戴河区古树名木资源。</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古树名木保护、复壮情况</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1、古树名木保护</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制定古树名木保护方案，管理古树名木档案，宣传保护古树名木的意义（古树名木是宝贵的自然资源和活的文物，保护好古树名木对于科学研究和园林事业具有重要意义），对濒危及长势较差的古树名木采取保护措施。</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通过古树名木普查工作，使古树名木档案资料得到进一步完善更新；对部分衰弱古树名木采取修剪、打药、施肥等复壮措施，使我区古树名木健康生长，古树名木资源得到有效保护。</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古树名木档案管理情况</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100%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十、森林防火</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贯彻执行各级森林防火方针政策和法律法规，开展</w:t>
            </w:r>
            <w:r w:rsidRPr="004724EB">
              <w:rPr>
                <w:rFonts w:asciiTheme="minorEastAsia" w:eastAsiaTheme="minorEastAsia" w:hAnsiTheme="minorEastAsia" w:cs="宋体" w:hint="eastAsia"/>
                <w:sz w:val="24"/>
                <w:szCs w:val="24"/>
              </w:rPr>
              <w:lastRenderedPageBreak/>
              <w:t>防火项目和基础设施建设，制定火灾应急预案，组织、协调、指导全区森林火灾的预防与扑救工作，承担区森林防火指挥部办公室具体工作。</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预防和减少森林火灾对森林资源的损失，保护森林</w:t>
            </w:r>
            <w:r w:rsidRPr="004724EB">
              <w:rPr>
                <w:rFonts w:asciiTheme="minorEastAsia" w:eastAsiaTheme="minorEastAsia" w:hAnsiTheme="minorEastAsia" w:cs="宋体" w:hint="eastAsia"/>
                <w:sz w:val="24"/>
                <w:szCs w:val="24"/>
              </w:rPr>
              <w:lastRenderedPageBreak/>
              <w:t>资源。</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火灾发生率(％)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＜0.3</w:t>
            </w:r>
            <w:r w:rsidRPr="004724EB">
              <w:rPr>
                <w:rFonts w:asciiTheme="minorEastAsia" w:eastAsiaTheme="minorEastAsia" w:hAnsiTheme="minorEastAsia" w:cs="宋体" w:hint="eastAsia"/>
                <w:sz w:val="24"/>
                <w:szCs w:val="24"/>
              </w:rPr>
              <w:lastRenderedPageBreak/>
              <w:t>‰</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＜0.6</w:t>
            </w:r>
            <w:r w:rsidRPr="004724EB">
              <w:rPr>
                <w:rFonts w:asciiTheme="minorEastAsia" w:eastAsiaTheme="minorEastAsia" w:hAnsiTheme="minorEastAsia" w:cs="宋体" w:hint="eastAsia"/>
                <w:sz w:val="24"/>
                <w:szCs w:val="24"/>
              </w:rPr>
              <w:lastRenderedPageBreak/>
              <w:t>‰</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＜0.9</w:t>
            </w:r>
            <w:r w:rsidRPr="004724EB">
              <w:rPr>
                <w:rFonts w:asciiTheme="minorEastAsia" w:eastAsiaTheme="minorEastAsia" w:hAnsiTheme="minorEastAsia" w:cs="宋体" w:hint="eastAsia"/>
                <w:sz w:val="24"/>
                <w:szCs w:val="24"/>
              </w:rPr>
              <w:lastRenderedPageBreak/>
              <w:t>‰</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＞0.9</w:t>
            </w:r>
            <w:r w:rsidRPr="004724EB">
              <w:rPr>
                <w:rFonts w:asciiTheme="minorEastAsia" w:eastAsiaTheme="minorEastAsia" w:hAnsiTheme="minorEastAsia" w:cs="宋体" w:hint="eastAsia"/>
                <w:sz w:val="24"/>
                <w:szCs w:val="24"/>
              </w:rPr>
              <w:lastRenderedPageBreak/>
              <w:t>‰</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1、联峰山等国有林区森林防火</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负责森林消防专业队伍建设与管理；制定森林火灾扑救预案和森林防火措施，指挥扑救森林火灾；</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预防和减少森林火灾对森林资源的损失，保护森林资源。</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火灾发生率(％)</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＜0.3‰</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＜0.6‰</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＜0.9‰</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＞0.9‰</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十一、2017年造林土地补贴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贯彻执行上级关于林业及其生态建设的方针、政策和法律法规；拟订、实施全区林业及生态建设的发展战略、中长期规划和年度生产计划；负责全区造林、村屯绿化的组织发动与指导监督工作；负责造林、营林质量管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完成国家下达和市委市政府制定的造林任务及全市森林覆盖率考核目标。有效改善生态环境。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造林合格面积</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1、2017年造林土地补贴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按照《北戴河区2017年植树造林工程实施方案》，计划造林15000亩，对当年验收合格地块，按照方</w:t>
            </w:r>
            <w:r w:rsidRPr="004724EB">
              <w:rPr>
                <w:rFonts w:asciiTheme="minorEastAsia" w:eastAsiaTheme="minorEastAsia" w:hAnsiTheme="minorEastAsia" w:cs="宋体" w:hint="eastAsia"/>
                <w:sz w:val="24"/>
                <w:szCs w:val="24"/>
              </w:rPr>
              <w:lastRenderedPageBreak/>
              <w:t>案补贴标准，予以土地补贴。</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完成年度造林目标，提高全区绿化水平和森林覆盖率，改善生态环境。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造林合格面积</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十二、2017年造林苗木</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贯彻执行上级关于林业及其生态建设的方针、政策和法律法规；拟订、实施全区林业及生态建设的发展战略、中长期规划和年度生产计划；负责全区造林、村屯绿化的组织发动与指导监督工作；负责造林、营林质量管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完成国家下达和市委市政府制定的造林任务及全市森林覆盖率考核目标。有效改善生态环境。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保存造林面积</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 xml:space="preserve">　　1、2017年造林苗木</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按照《北戴河区2017年植树造林工程实施方案》，计划造林15000亩，需采购苗木。</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完成年度造林目标，提高全区绿化水平和森林覆盖率，改善生态环境。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造林苗木</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70%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60%</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十三、2018年造林土地补贴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贯彻执行上级关于林业及其生态建设的方针、政策和法律法规；拟订、实施全区林业及生态建设的发展战略、中长期规划和年度生产计划；负责全区造林、村屯绿化的组织发动与指导监督工作；负责造</w:t>
            </w:r>
            <w:r w:rsidRPr="004724EB">
              <w:rPr>
                <w:rFonts w:asciiTheme="minorEastAsia" w:eastAsiaTheme="minorEastAsia" w:hAnsiTheme="minorEastAsia" w:cs="宋体" w:hint="eastAsia"/>
                <w:sz w:val="24"/>
                <w:szCs w:val="24"/>
              </w:rPr>
              <w:lastRenderedPageBreak/>
              <w:t>林、营林质量管理。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完成国家下达和市委市政府制定的造林任务及全市森林覆盖率考核目标。有效改善生态环境。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完成造林面积1500亩。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100%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1、2018年造林土地补贴</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按照《北戴河区今秋明春造林计划汇报》（2017年8月31日稿），我区计划完成造林1500亩，为鼓励农民的造林积极性，按照《北戴河区2017年度植树造林工程实施方案》文件有关补贴的规定，给予奖补资金，生态林连补20年，经济林连补7年,另外，对公司或大户流转土地进行规模造林，前五年区政府根据一次性流转土地数量给予相应奖励。</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完成造林面积1500亩。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100%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t>十四、2018年造林苗木</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贯彻执行上级关于林业及其生态建设的方针、政策和法律法规；拟订、实施全区林业及生态建设的发展战略、中长期规划和年度生产计划；负责全区造林、村屯绿化的组织发动与指导监督工作；负责造</w:t>
            </w:r>
            <w:r w:rsidRPr="004724EB">
              <w:rPr>
                <w:rFonts w:asciiTheme="minorEastAsia" w:eastAsiaTheme="minorEastAsia" w:hAnsiTheme="minorEastAsia" w:cs="宋体" w:hint="eastAsia"/>
                <w:sz w:val="24"/>
                <w:szCs w:val="24"/>
              </w:rPr>
              <w:lastRenderedPageBreak/>
              <w:t>林、营林质量管理。</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lastRenderedPageBreak/>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完成造林面积1500亩。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100%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r>
      <w:tr w:rsidR="00DE3883" w:rsidRPr="004724EB">
        <w:trPr>
          <w:trHeight w:val="227"/>
          <w:jc w:val="center"/>
        </w:trPr>
        <w:tc>
          <w:tcPr>
            <w:tcW w:w="2341" w:type="dxa"/>
            <w:vAlign w:val="center"/>
          </w:tcPr>
          <w:p w:rsidR="00DE3883" w:rsidRPr="004724EB" w:rsidRDefault="00DE3883" w:rsidP="004724EB">
            <w:pPr>
              <w:spacing w:after="0"/>
              <w:rPr>
                <w:rFonts w:asciiTheme="minorEastAsia" w:eastAsiaTheme="minorEastAsia" w:hAnsiTheme="minorEastAsia" w:cs="宋体"/>
                <w:b/>
                <w:sz w:val="24"/>
                <w:szCs w:val="24"/>
              </w:rPr>
            </w:pPr>
            <w:r w:rsidRPr="004724EB">
              <w:rPr>
                <w:rFonts w:asciiTheme="minorEastAsia" w:eastAsiaTheme="minorEastAsia" w:hAnsiTheme="minorEastAsia" w:cs="宋体" w:hint="eastAsia"/>
                <w:b/>
                <w:sz w:val="24"/>
                <w:szCs w:val="24"/>
              </w:rPr>
              <w:lastRenderedPageBreak/>
              <w:t xml:space="preserve">　　1、2018年造林苗木费</w:t>
            </w:r>
          </w:p>
        </w:tc>
        <w:tc>
          <w:tcPr>
            <w:tcW w:w="1276" w:type="dxa"/>
            <w:vAlign w:val="center"/>
          </w:tcPr>
          <w:p w:rsidR="00DE3883" w:rsidRPr="004724EB" w:rsidRDefault="00DE3883" w:rsidP="004724EB">
            <w:pPr>
              <w:spacing w:after="0"/>
              <w:rPr>
                <w:rFonts w:asciiTheme="minorEastAsia" w:eastAsiaTheme="minorEastAsia" w:hAnsiTheme="minorEastAsia" w:cs="宋体"/>
                <w:sz w:val="24"/>
                <w:szCs w:val="24"/>
              </w:rPr>
            </w:pP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按照《北戴河区今秋明春造林计划汇报》（2017年8月31日稿），我区计划完成造林1500亩，为鼓励农民的造林积极性，按照《北戴河区2017年度植树造林工程实施方案》文件有关补贴的规定，给予奖补资金，生态林连补20年，经济林连补7年,另外，对公司或大户流转土地进行规模造林，前五年区政府根据一次性流转土地数量给予相应奖励。</w:t>
            </w:r>
          </w:p>
        </w:tc>
        <w:tc>
          <w:tcPr>
            <w:tcW w:w="2976"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保存造林成果，提高全区绿化水平和森林覆盖率，改善生态环境。</w:t>
            </w:r>
          </w:p>
        </w:tc>
        <w:tc>
          <w:tcPr>
            <w:tcW w:w="1417" w:type="dxa"/>
            <w:vAlign w:val="center"/>
          </w:tcPr>
          <w:p w:rsidR="00DE3883" w:rsidRPr="004724EB" w:rsidRDefault="00DE3883" w:rsidP="004724EB">
            <w:pPr>
              <w:spacing w:after="0"/>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完成造林面积1500亩。</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100%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95%</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90%</w:t>
            </w:r>
          </w:p>
        </w:tc>
        <w:tc>
          <w:tcPr>
            <w:tcW w:w="737" w:type="dxa"/>
            <w:vAlign w:val="center"/>
          </w:tcPr>
          <w:p w:rsidR="00DE3883" w:rsidRPr="004724EB" w:rsidRDefault="00DE3883" w:rsidP="004724EB">
            <w:pPr>
              <w:spacing w:after="0"/>
              <w:jc w:val="center"/>
              <w:rPr>
                <w:rFonts w:asciiTheme="minorEastAsia" w:eastAsiaTheme="minorEastAsia" w:hAnsiTheme="minorEastAsia" w:cs="宋体"/>
                <w:sz w:val="24"/>
                <w:szCs w:val="24"/>
              </w:rPr>
            </w:pPr>
            <w:r w:rsidRPr="004724EB">
              <w:rPr>
                <w:rFonts w:asciiTheme="minorEastAsia" w:eastAsiaTheme="minorEastAsia" w:hAnsiTheme="minorEastAsia" w:cs="宋体" w:hint="eastAsia"/>
                <w:sz w:val="24"/>
                <w:szCs w:val="24"/>
              </w:rPr>
              <w:t>85%</w:t>
            </w:r>
          </w:p>
        </w:tc>
      </w:tr>
      <w:tr w:rsidR="000C0EE1" w:rsidRPr="004724EB">
        <w:trPr>
          <w:trHeight w:val="227"/>
          <w:jc w:val="center"/>
        </w:trPr>
        <w:tc>
          <w:tcPr>
            <w:tcW w:w="2341" w:type="dxa"/>
            <w:vAlign w:val="center"/>
          </w:tcPr>
          <w:p w:rsidR="000C0EE1" w:rsidRDefault="000C0EE1" w:rsidP="0067110A">
            <w:pPr>
              <w:spacing w:line="300" w:lineRule="exact"/>
              <w:rPr>
                <w:rFonts w:ascii="方正书宋_GBK" w:eastAsia="方正书宋_GBK"/>
                <w:b/>
              </w:rPr>
            </w:pPr>
            <w:r>
              <w:rPr>
                <w:rFonts w:ascii="方正书宋_GBK" w:eastAsia="方正书宋_GBK" w:hint="eastAsia"/>
                <w:b/>
              </w:rPr>
              <w:t>十五、林业改革发展专项资金</w:t>
            </w:r>
          </w:p>
        </w:tc>
        <w:tc>
          <w:tcPr>
            <w:tcW w:w="1276" w:type="dxa"/>
            <w:vAlign w:val="center"/>
          </w:tcPr>
          <w:p w:rsidR="000C0EE1" w:rsidRPr="00573A70" w:rsidRDefault="000C0EE1" w:rsidP="0067110A">
            <w:pPr>
              <w:spacing w:line="300" w:lineRule="exact"/>
              <w:rPr>
                <w:rFonts w:ascii="方正书宋_GBK" w:eastAsia="方正书宋_GBK"/>
              </w:rPr>
            </w:pPr>
            <w:r>
              <w:rPr>
                <w:rFonts w:ascii="方正书宋_GBK" w:eastAsia="方正书宋_GBK"/>
              </w:rPr>
              <w:t>2127.65</w:t>
            </w:r>
          </w:p>
        </w:tc>
        <w:tc>
          <w:tcPr>
            <w:tcW w:w="2976" w:type="dxa"/>
            <w:vAlign w:val="center"/>
          </w:tcPr>
          <w:p w:rsidR="000C0EE1" w:rsidRDefault="000C0EE1" w:rsidP="0067110A">
            <w:pPr>
              <w:spacing w:line="300" w:lineRule="exact"/>
              <w:rPr>
                <w:rFonts w:ascii="方正书宋_GBK" w:eastAsia="方正书宋_GBK"/>
              </w:rPr>
            </w:pPr>
            <w:r>
              <w:rPr>
                <w:rFonts w:ascii="方正书宋_GBK" w:eastAsia="方正书宋_GBK"/>
              </w:rPr>
              <w:t>1</w:t>
            </w:r>
            <w:r>
              <w:rPr>
                <w:rFonts w:ascii="方正书宋_GBK" w:eastAsia="方正书宋_GBK" w:hint="eastAsia"/>
              </w:rPr>
              <w:t>、贯彻执行上级关于林业及其生态建设的方针、政策和法律法规；拟订、实施全区林业及生态建设的发展战略、中长期规划和年度生产计划；负责全区造林、村屯绿化的组织发动与指导监督工作；负责造林、营林质量</w:t>
            </w:r>
            <w:r>
              <w:rPr>
                <w:rFonts w:ascii="方正书宋_GBK" w:eastAsia="方正书宋_GBK" w:hint="eastAsia"/>
              </w:rPr>
              <w:lastRenderedPageBreak/>
              <w:t>管理。</w:t>
            </w:r>
          </w:p>
          <w:p w:rsidR="000C0EE1" w:rsidRDefault="000C0EE1" w:rsidP="0067110A">
            <w:pPr>
              <w:spacing w:line="300" w:lineRule="exact"/>
              <w:rPr>
                <w:rFonts w:ascii="方正书宋_GBK" w:eastAsia="方正书宋_GBK"/>
              </w:rPr>
            </w:pPr>
            <w:r>
              <w:rPr>
                <w:rFonts w:ascii="方正书宋_GBK" w:eastAsia="方正书宋_GBK"/>
              </w:rPr>
              <w:t>2</w:t>
            </w:r>
            <w:r>
              <w:rPr>
                <w:rFonts w:ascii="方正书宋_GBK" w:eastAsia="方正书宋_GBK" w:hint="eastAsia"/>
              </w:rPr>
              <w:t>、扶持果品、苗木、花卉、经济林的标准化生产、管理和基地建设，推动果品、花卉的结构调整。指导全区林业产业相关工作，扶持林业企业发展；果品安全生产环节监督管理工作。</w:t>
            </w:r>
          </w:p>
          <w:p w:rsidR="000C0EE1" w:rsidRDefault="000C0EE1" w:rsidP="0067110A">
            <w:pPr>
              <w:spacing w:line="300" w:lineRule="exact"/>
              <w:rPr>
                <w:rFonts w:ascii="方正书宋_GBK" w:eastAsia="方正书宋_GBK"/>
              </w:rPr>
            </w:pPr>
            <w:r>
              <w:rPr>
                <w:rFonts w:ascii="方正书宋_GBK" w:eastAsia="方正书宋_GBK"/>
              </w:rPr>
              <w:t>3</w:t>
            </w:r>
            <w:r>
              <w:rPr>
                <w:rFonts w:ascii="方正书宋_GBK" w:eastAsia="方正书宋_GBK" w:hint="eastAsia"/>
              </w:rPr>
              <w:t>、组织开展古树名木的普查、档案管理、宣传、保护复壮工作。</w:t>
            </w:r>
          </w:p>
          <w:p w:rsidR="000C0EE1" w:rsidRDefault="000C0EE1" w:rsidP="0067110A">
            <w:pPr>
              <w:spacing w:line="300" w:lineRule="exact"/>
              <w:rPr>
                <w:rFonts w:ascii="方正书宋_GBK" w:eastAsia="方正书宋_GBK"/>
              </w:rPr>
            </w:pPr>
            <w:r>
              <w:rPr>
                <w:rFonts w:ascii="方正书宋_GBK" w:eastAsia="方正书宋_GBK"/>
              </w:rPr>
              <w:t>4</w:t>
            </w:r>
            <w:r>
              <w:rPr>
                <w:rFonts w:ascii="方正书宋_GBK" w:eastAsia="方正书宋_GBK" w:hint="eastAsia"/>
              </w:rPr>
              <w:t>、按照政府的相关政策及文件精神，进行造林及支付相关的造林补贴</w:t>
            </w:r>
          </w:p>
          <w:p w:rsidR="000C0EE1" w:rsidRDefault="000C0EE1" w:rsidP="0067110A">
            <w:pPr>
              <w:spacing w:line="300" w:lineRule="exact"/>
              <w:rPr>
                <w:rFonts w:ascii="方正书宋_GBK" w:eastAsia="方正书宋_GBK"/>
              </w:rPr>
            </w:pPr>
            <w:r>
              <w:rPr>
                <w:rFonts w:ascii="方正书宋_GBK" w:eastAsia="方正书宋_GBK"/>
              </w:rPr>
              <w:t>5</w:t>
            </w:r>
            <w:r>
              <w:rPr>
                <w:rFonts w:ascii="方正书宋_GBK" w:eastAsia="方正书宋_GBK" w:hint="eastAsia"/>
              </w:rPr>
              <w:t>、负责森林植物产地、调运检疫及区内森林植物检疫对象的监测；负责林业有害生物的普查、测报和防治；推广林业有害生物防治技术，组织基层技术培训，进行行业指导及技术服务；完成上</w:t>
            </w:r>
            <w:r>
              <w:rPr>
                <w:rFonts w:ascii="方正书宋_GBK" w:eastAsia="方正书宋_GBK" w:hint="eastAsia"/>
              </w:rPr>
              <w:lastRenderedPageBreak/>
              <w:t>级批准的林业有害生物防治项目建设。</w:t>
            </w:r>
          </w:p>
        </w:tc>
        <w:tc>
          <w:tcPr>
            <w:tcW w:w="2976" w:type="dxa"/>
            <w:vAlign w:val="center"/>
          </w:tcPr>
          <w:p w:rsidR="000C0EE1" w:rsidRDefault="000C0EE1" w:rsidP="0067110A">
            <w:pPr>
              <w:spacing w:line="300" w:lineRule="exact"/>
              <w:rPr>
                <w:rFonts w:ascii="方正书宋_GBK" w:eastAsia="方正书宋_GBK"/>
              </w:rPr>
            </w:pPr>
            <w:r>
              <w:rPr>
                <w:rFonts w:ascii="方正书宋_GBK" w:eastAsia="方正书宋_GBK" w:hint="eastAsia"/>
              </w:rPr>
              <w:lastRenderedPageBreak/>
              <w:t>保存造林成果，提高全区绿化水平和森林覆盖率，改善生态环境。</w:t>
            </w:r>
          </w:p>
        </w:tc>
        <w:tc>
          <w:tcPr>
            <w:tcW w:w="1417" w:type="dxa"/>
            <w:vAlign w:val="center"/>
          </w:tcPr>
          <w:p w:rsidR="000C0EE1" w:rsidRDefault="000C0EE1" w:rsidP="0067110A">
            <w:pPr>
              <w:spacing w:line="300" w:lineRule="exact"/>
              <w:rPr>
                <w:rFonts w:ascii="方正书宋_GBK" w:eastAsia="方正书宋_GBK"/>
              </w:rPr>
            </w:pPr>
            <w:r>
              <w:rPr>
                <w:rFonts w:ascii="方正书宋_GBK" w:eastAsia="方正书宋_GBK" w:hint="eastAsia"/>
              </w:rPr>
              <w:t>环境效益</w:t>
            </w:r>
          </w:p>
        </w:tc>
        <w:tc>
          <w:tcPr>
            <w:tcW w:w="737" w:type="dxa"/>
            <w:vAlign w:val="center"/>
          </w:tcPr>
          <w:p w:rsidR="000C0EE1" w:rsidRDefault="000C0EE1" w:rsidP="0067110A">
            <w:pPr>
              <w:spacing w:line="300" w:lineRule="exact"/>
              <w:jc w:val="center"/>
              <w:rPr>
                <w:rFonts w:ascii="方正书宋_GBK" w:eastAsia="方正书宋_GBK"/>
              </w:rPr>
            </w:pPr>
            <w:r>
              <w:rPr>
                <w:rFonts w:ascii="方正书宋_GBK" w:eastAsia="方正书宋_GBK" w:hint="eastAsia"/>
              </w:rPr>
              <w:t>对改善环境质量，作用突出</w:t>
            </w:r>
          </w:p>
        </w:tc>
        <w:tc>
          <w:tcPr>
            <w:tcW w:w="737" w:type="dxa"/>
            <w:vAlign w:val="center"/>
          </w:tcPr>
          <w:p w:rsidR="000C0EE1" w:rsidRDefault="000C0EE1" w:rsidP="0067110A">
            <w:pPr>
              <w:spacing w:line="300" w:lineRule="exact"/>
              <w:jc w:val="center"/>
              <w:rPr>
                <w:rFonts w:ascii="方正书宋_GBK" w:eastAsia="方正书宋_GBK"/>
              </w:rPr>
            </w:pPr>
            <w:r>
              <w:rPr>
                <w:rFonts w:ascii="方正书宋_GBK" w:eastAsia="方正书宋_GBK" w:hint="eastAsia"/>
              </w:rPr>
              <w:t>利于改善环境质量</w:t>
            </w:r>
          </w:p>
        </w:tc>
        <w:tc>
          <w:tcPr>
            <w:tcW w:w="737" w:type="dxa"/>
            <w:vAlign w:val="center"/>
          </w:tcPr>
          <w:p w:rsidR="000C0EE1" w:rsidRDefault="000C0EE1" w:rsidP="0067110A">
            <w:pPr>
              <w:spacing w:line="300" w:lineRule="exact"/>
              <w:jc w:val="center"/>
              <w:rPr>
                <w:rFonts w:ascii="方正书宋_GBK" w:eastAsia="方正书宋_GBK"/>
              </w:rPr>
            </w:pPr>
            <w:r>
              <w:rPr>
                <w:rFonts w:ascii="方正书宋_GBK" w:eastAsia="方正书宋_GBK" w:hint="eastAsia"/>
              </w:rPr>
              <w:t>不利于改善环境质量</w:t>
            </w:r>
          </w:p>
        </w:tc>
        <w:tc>
          <w:tcPr>
            <w:tcW w:w="737" w:type="dxa"/>
            <w:vAlign w:val="center"/>
          </w:tcPr>
          <w:p w:rsidR="000C0EE1" w:rsidRDefault="000C0EE1" w:rsidP="0067110A">
            <w:pPr>
              <w:spacing w:line="300" w:lineRule="exact"/>
              <w:jc w:val="center"/>
              <w:rPr>
                <w:rFonts w:ascii="方正书宋_GBK" w:eastAsia="方正书宋_GBK"/>
              </w:rPr>
            </w:pPr>
            <w:r>
              <w:rPr>
                <w:rFonts w:ascii="方正书宋_GBK" w:eastAsia="方正书宋_GBK" w:hint="eastAsia"/>
              </w:rPr>
              <w:t>严重阻碍环境质量改善</w:t>
            </w:r>
          </w:p>
        </w:tc>
      </w:tr>
      <w:tr w:rsidR="000C0EE1" w:rsidRPr="004724EB">
        <w:trPr>
          <w:trHeight w:val="227"/>
          <w:jc w:val="center"/>
        </w:trPr>
        <w:tc>
          <w:tcPr>
            <w:tcW w:w="2341" w:type="dxa"/>
            <w:vAlign w:val="center"/>
          </w:tcPr>
          <w:p w:rsidR="000C0EE1" w:rsidRDefault="000C0EE1" w:rsidP="0067110A">
            <w:pPr>
              <w:spacing w:line="300" w:lineRule="exact"/>
              <w:rPr>
                <w:rFonts w:ascii="方正书宋_GBK" w:eastAsia="方正书宋_GBK"/>
                <w:b/>
              </w:rPr>
            </w:pPr>
            <w:r>
              <w:rPr>
                <w:rFonts w:ascii="方正书宋_GBK" w:eastAsia="方正书宋_GBK" w:hint="eastAsia"/>
                <w:b/>
              </w:rPr>
              <w:lastRenderedPageBreak/>
              <w:t xml:space="preserve">　　</w:t>
            </w:r>
            <w:r>
              <w:rPr>
                <w:rFonts w:ascii="方正书宋_GBK" w:eastAsia="方正书宋_GBK"/>
                <w:b/>
              </w:rPr>
              <w:t>1</w:t>
            </w:r>
            <w:r>
              <w:rPr>
                <w:rFonts w:ascii="方正书宋_GBK" w:eastAsia="方正书宋_GBK" w:hint="eastAsia"/>
                <w:b/>
              </w:rPr>
              <w:t>、林业改革发展专项资金</w:t>
            </w:r>
          </w:p>
        </w:tc>
        <w:tc>
          <w:tcPr>
            <w:tcW w:w="1276" w:type="dxa"/>
            <w:vAlign w:val="center"/>
          </w:tcPr>
          <w:p w:rsidR="000C0EE1" w:rsidRDefault="000C0EE1" w:rsidP="0067110A">
            <w:pPr>
              <w:spacing w:line="300" w:lineRule="exact"/>
              <w:rPr>
                <w:rFonts w:ascii="方正书宋_GBK" w:eastAsia="方正书宋_GBK"/>
              </w:rPr>
            </w:pPr>
            <w:r>
              <w:rPr>
                <w:rFonts w:ascii="方正书宋_GBK" w:eastAsia="方正书宋_GBK"/>
              </w:rPr>
              <w:t>2127.65</w:t>
            </w:r>
          </w:p>
        </w:tc>
        <w:tc>
          <w:tcPr>
            <w:tcW w:w="2976" w:type="dxa"/>
            <w:vAlign w:val="center"/>
          </w:tcPr>
          <w:p w:rsidR="000C0EE1" w:rsidRDefault="000C0EE1" w:rsidP="0067110A">
            <w:pPr>
              <w:spacing w:line="300" w:lineRule="exact"/>
              <w:rPr>
                <w:rFonts w:ascii="方正书宋_GBK" w:eastAsia="方正书宋_GBK"/>
              </w:rPr>
            </w:pPr>
            <w:r>
              <w:rPr>
                <w:rFonts w:ascii="方正书宋_GBK" w:eastAsia="方正书宋_GBK"/>
              </w:rPr>
              <w:t>1.</w:t>
            </w:r>
            <w:r>
              <w:rPr>
                <w:rFonts w:ascii="方正书宋_GBK" w:eastAsia="方正书宋_GBK" w:hint="eastAsia"/>
              </w:rPr>
              <w:t>按照政府的相关政策及文件精神，进行造林及支付相关的造林补贴</w:t>
            </w:r>
          </w:p>
          <w:p w:rsidR="000C0EE1" w:rsidRDefault="000C0EE1" w:rsidP="0067110A">
            <w:pPr>
              <w:spacing w:line="300" w:lineRule="exact"/>
              <w:rPr>
                <w:rFonts w:ascii="方正书宋_GBK" w:eastAsia="方正书宋_GBK"/>
              </w:rPr>
            </w:pPr>
            <w:r>
              <w:rPr>
                <w:rFonts w:ascii="方正书宋_GBK" w:eastAsia="方正书宋_GBK"/>
              </w:rPr>
              <w:t>2</w:t>
            </w:r>
            <w:r>
              <w:rPr>
                <w:rFonts w:ascii="方正书宋_GBK" w:eastAsia="方正书宋_GBK" w:hint="eastAsia"/>
              </w:rPr>
              <w:t>、果品安全监管检测：实现上级提出的食品安全目标，本着从生产源头抓起，切实提升我区果品安全的总体水平，要求水果农药残留检测总合格率和果品标准化生产普及率达到政府规定指标，确保群众的人身安全。</w:t>
            </w:r>
          </w:p>
          <w:p w:rsidR="000C0EE1" w:rsidRDefault="000C0EE1" w:rsidP="0067110A">
            <w:pPr>
              <w:spacing w:line="300" w:lineRule="exact"/>
              <w:rPr>
                <w:rFonts w:ascii="方正书宋_GBK" w:eastAsia="方正书宋_GBK"/>
              </w:rPr>
            </w:pPr>
            <w:r>
              <w:rPr>
                <w:rFonts w:ascii="方正书宋_GBK" w:eastAsia="方正书宋_GBK"/>
              </w:rPr>
              <w:t>3</w:t>
            </w:r>
            <w:r>
              <w:rPr>
                <w:rFonts w:ascii="方正书宋_GBK" w:eastAsia="方正书宋_GBK" w:hint="eastAsia"/>
              </w:rPr>
              <w:t>、提供产前产后服务。</w:t>
            </w:r>
          </w:p>
          <w:p w:rsidR="000C0EE1" w:rsidRDefault="000C0EE1" w:rsidP="0067110A">
            <w:pPr>
              <w:spacing w:line="300" w:lineRule="exact"/>
              <w:rPr>
                <w:rFonts w:ascii="方正书宋_GBK" w:eastAsia="方正书宋_GBK"/>
              </w:rPr>
            </w:pPr>
            <w:r>
              <w:rPr>
                <w:rFonts w:ascii="方正书宋_GBK" w:eastAsia="方正书宋_GBK"/>
              </w:rPr>
              <w:t>4</w:t>
            </w:r>
            <w:r>
              <w:rPr>
                <w:rFonts w:ascii="方正书宋_GBK" w:eastAsia="方正书宋_GBK" w:hint="eastAsia"/>
              </w:rPr>
              <w:t>、、古树名木保护：制定古树名木保护方案，管理古树名木档案，宣传保护古树名木的意义木是宝贵的自然资源和活的文物，保护好古树名木对于科学研究和园林事业具有重要意义），对濒危</w:t>
            </w:r>
            <w:r>
              <w:rPr>
                <w:rFonts w:ascii="方正书宋_GBK" w:eastAsia="方正书宋_GBK" w:hint="eastAsia"/>
              </w:rPr>
              <w:lastRenderedPageBreak/>
              <w:t>及长势较差的古树名木采取保护措施。</w:t>
            </w:r>
          </w:p>
          <w:p w:rsidR="000C0EE1" w:rsidRDefault="000C0EE1" w:rsidP="0067110A">
            <w:pPr>
              <w:spacing w:line="300" w:lineRule="exact"/>
              <w:rPr>
                <w:rFonts w:ascii="方正书宋_GBK" w:eastAsia="方正书宋_GBK"/>
              </w:rPr>
            </w:pPr>
            <w:r>
              <w:rPr>
                <w:rFonts w:ascii="方正书宋_GBK" w:eastAsia="方正书宋_GBK"/>
              </w:rPr>
              <w:t>5</w:t>
            </w:r>
            <w:r>
              <w:rPr>
                <w:rFonts w:ascii="方正书宋_GBK" w:eastAsia="方正书宋_GBK" w:hint="eastAsia"/>
              </w:rPr>
              <w:t>、林业有害生物（含美国白蛾）综合防治及检疫：</w:t>
            </w:r>
          </w:p>
          <w:p w:rsidR="000C0EE1" w:rsidRDefault="000C0EE1" w:rsidP="0067110A">
            <w:pPr>
              <w:spacing w:line="300" w:lineRule="exact"/>
              <w:rPr>
                <w:rFonts w:ascii="方正书宋_GBK" w:eastAsia="方正书宋_GBK"/>
              </w:rPr>
            </w:pPr>
            <w:r>
              <w:rPr>
                <w:rFonts w:ascii="方正书宋_GBK" w:eastAsia="方正书宋_GBK" w:hint="eastAsia"/>
              </w:rPr>
              <w:t>负责森林植物产地、调运检疫及区内森林植物检疫对象的监测；负责林业有害生物的普查、测报和防治；推广林业有害生物防治技术，组织基层技术培训，进行行业指导及技术服务；完成上级批准的林业有害生物防治项目建设</w:t>
            </w:r>
          </w:p>
        </w:tc>
        <w:tc>
          <w:tcPr>
            <w:tcW w:w="2976" w:type="dxa"/>
            <w:vAlign w:val="center"/>
          </w:tcPr>
          <w:p w:rsidR="000C0EE1" w:rsidRPr="004724EB" w:rsidRDefault="000C0EE1" w:rsidP="004724EB">
            <w:pPr>
              <w:spacing w:after="0"/>
              <w:rPr>
                <w:rFonts w:asciiTheme="minorEastAsia" w:eastAsiaTheme="minorEastAsia" w:hAnsiTheme="minorEastAsia" w:cs="宋体"/>
                <w:sz w:val="24"/>
                <w:szCs w:val="24"/>
              </w:rPr>
            </w:pPr>
          </w:p>
        </w:tc>
        <w:tc>
          <w:tcPr>
            <w:tcW w:w="1417" w:type="dxa"/>
            <w:vAlign w:val="center"/>
          </w:tcPr>
          <w:p w:rsidR="000C0EE1" w:rsidRDefault="000C0EE1" w:rsidP="0067110A">
            <w:pPr>
              <w:spacing w:line="300" w:lineRule="exact"/>
              <w:rPr>
                <w:rFonts w:ascii="方正书宋_GBK" w:eastAsia="方正书宋_GBK"/>
              </w:rPr>
            </w:pPr>
            <w:r>
              <w:rPr>
                <w:rFonts w:ascii="方正书宋_GBK" w:eastAsia="方正书宋_GBK" w:hint="eastAsia"/>
              </w:rPr>
              <w:t>造林保存面积质量</w:t>
            </w:r>
          </w:p>
        </w:tc>
        <w:tc>
          <w:tcPr>
            <w:tcW w:w="737" w:type="dxa"/>
            <w:vAlign w:val="center"/>
          </w:tcPr>
          <w:p w:rsidR="000C0EE1" w:rsidRDefault="000C0EE1" w:rsidP="0067110A">
            <w:pPr>
              <w:spacing w:line="300" w:lineRule="exact"/>
              <w:jc w:val="center"/>
              <w:rPr>
                <w:rFonts w:ascii="方正书宋_GBK" w:eastAsia="方正书宋_GBK"/>
              </w:rPr>
            </w:pPr>
            <w:r>
              <w:rPr>
                <w:rFonts w:ascii="方正书宋_GBK" w:eastAsia="方正书宋_GBK"/>
              </w:rPr>
              <w:t>100%</w:t>
            </w:r>
          </w:p>
        </w:tc>
        <w:tc>
          <w:tcPr>
            <w:tcW w:w="737" w:type="dxa"/>
            <w:vAlign w:val="center"/>
          </w:tcPr>
          <w:p w:rsidR="000C0EE1" w:rsidRDefault="000C0EE1" w:rsidP="0067110A">
            <w:pPr>
              <w:spacing w:line="300" w:lineRule="exact"/>
              <w:jc w:val="center"/>
              <w:rPr>
                <w:rFonts w:ascii="方正书宋_GBK" w:eastAsia="方正书宋_GBK"/>
              </w:rPr>
            </w:pPr>
            <w:r>
              <w:rPr>
                <w:rFonts w:ascii="方正书宋_GBK" w:eastAsia="方正书宋_GBK"/>
              </w:rPr>
              <w:t>90%</w:t>
            </w:r>
            <w:r>
              <w:rPr>
                <w:rFonts w:ascii="方正书宋_GBK" w:eastAsia="方正书宋_GBK" w:hint="eastAsia"/>
              </w:rPr>
              <w:t>及以上</w:t>
            </w:r>
          </w:p>
        </w:tc>
        <w:tc>
          <w:tcPr>
            <w:tcW w:w="737" w:type="dxa"/>
            <w:vAlign w:val="center"/>
          </w:tcPr>
          <w:p w:rsidR="000C0EE1" w:rsidRDefault="000C0EE1" w:rsidP="0067110A">
            <w:pPr>
              <w:spacing w:line="300" w:lineRule="exact"/>
              <w:jc w:val="center"/>
              <w:rPr>
                <w:rFonts w:ascii="方正书宋_GBK" w:eastAsia="方正书宋_GBK"/>
              </w:rPr>
            </w:pPr>
            <w:r>
              <w:rPr>
                <w:rFonts w:ascii="方正书宋_GBK" w:eastAsia="方正书宋_GBK"/>
              </w:rPr>
              <w:t>80%</w:t>
            </w:r>
            <w:r>
              <w:rPr>
                <w:rFonts w:ascii="方正书宋_GBK" w:eastAsia="方正书宋_GBK" w:hint="eastAsia"/>
              </w:rPr>
              <w:t>及以上</w:t>
            </w:r>
          </w:p>
        </w:tc>
        <w:tc>
          <w:tcPr>
            <w:tcW w:w="737" w:type="dxa"/>
            <w:vAlign w:val="center"/>
          </w:tcPr>
          <w:p w:rsidR="000C0EE1" w:rsidRDefault="000C0EE1" w:rsidP="0067110A">
            <w:pPr>
              <w:spacing w:line="300" w:lineRule="exact"/>
              <w:jc w:val="center"/>
              <w:rPr>
                <w:rFonts w:ascii="方正书宋_GBK" w:eastAsia="方正书宋_GBK"/>
              </w:rPr>
            </w:pPr>
            <w:r>
              <w:rPr>
                <w:rFonts w:ascii="方正书宋_GBK" w:eastAsia="方正书宋_GBK"/>
              </w:rPr>
              <w:t>70%</w:t>
            </w:r>
            <w:r>
              <w:rPr>
                <w:rFonts w:ascii="方正书宋_GBK" w:eastAsia="方正书宋_GBK" w:hint="eastAsia"/>
              </w:rPr>
              <w:t>及以上</w:t>
            </w:r>
          </w:p>
        </w:tc>
      </w:tr>
    </w:tbl>
    <w:p w:rsidR="00610728" w:rsidRPr="009E6407" w:rsidRDefault="00370E00" w:rsidP="009E6407">
      <w:pPr>
        <w:spacing w:after="0" w:line="600" w:lineRule="exact"/>
        <w:outlineLvl w:val="0"/>
        <w:rPr>
          <w:rFonts w:ascii="仿宋_GB2312" w:eastAsia="仿宋_GB2312" w:hAnsi="黑体" w:cs="宋体"/>
          <w:sz w:val="32"/>
          <w:szCs w:val="32"/>
        </w:rPr>
      </w:pPr>
      <w:r w:rsidRPr="003E227A">
        <w:rPr>
          <w:rFonts w:ascii="仿宋_GB2312" w:eastAsia="仿宋_GB2312" w:hAnsi="黑体" w:cs="宋体" w:hint="eastAsia"/>
          <w:sz w:val="32"/>
          <w:szCs w:val="32"/>
        </w:rPr>
        <w:lastRenderedPageBreak/>
        <w:t>备注：表中的年度预算数为项目支出，部门工作活动虽未安排项目支出，但由基本支出保障，由于基本支出无法拆分到相应的工作活动，因此部分工作活动没有列示年度预算数。</w:t>
      </w:r>
    </w:p>
    <w:p w:rsidR="00DE3883" w:rsidRPr="00FA56C9" w:rsidRDefault="00FA56C9" w:rsidP="00FA56C9">
      <w:pPr>
        <w:adjustRightInd/>
        <w:snapToGrid/>
        <w:spacing w:after="0" w:line="600" w:lineRule="exact"/>
        <w:ind w:left="300" w:firstLine="480"/>
        <w:rPr>
          <w:rFonts w:ascii="黑体" w:eastAsia="黑体" w:hAnsi="黑体" w:cs="仿宋"/>
          <w:b/>
          <w:color w:val="333333"/>
          <w:sz w:val="32"/>
          <w:szCs w:val="32"/>
        </w:rPr>
      </w:pPr>
      <w:r w:rsidRPr="00FA56C9">
        <w:rPr>
          <w:rFonts w:ascii="黑体" w:eastAsia="黑体" w:hAnsi="黑体" w:cs="仿宋" w:hint="eastAsia"/>
          <w:b/>
          <w:color w:val="333333"/>
          <w:sz w:val="32"/>
          <w:szCs w:val="32"/>
        </w:rPr>
        <w:t>六</w:t>
      </w:r>
      <w:r w:rsidR="00DE3883" w:rsidRPr="00FA56C9">
        <w:rPr>
          <w:rFonts w:ascii="黑体" w:eastAsia="黑体" w:hAnsi="黑体" w:cs="仿宋" w:hint="eastAsia"/>
          <w:b/>
          <w:color w:val="333333"/>
          <w:sz w:val="32"/>
          <w:szCs w:val="32"/>
        </w:rPr>
        <w:t>、</w:t>
      </w:r>
      <w:r w:rsidRPr="00FA56C9">
        <w:rPr>
          <w:rFonts w:ascii="黑体" w:eastAsia="黑体" w:hAnsi="黑体" w:cs="仿宋" w:hint="eastAsia"/>
          <w:b/>
          <w:color w:val="333333"/>
          <w:sz w:val="32"/>
          <w:szCs w:val="32"/>
        </w:rPr>
        <w:t>政府采购预算情况</w:t>
      </w:r>
    </w:p>
    <w:p w:rsidR="00610728" w:rsidRPr="00610728" w:rsidRDefault="009E6407" w:rsidP="009E6407">
      <w:pPr>
        <w:pStyle w:val="a7"/>
        <w:ind w:firstLineChars="200" w:firstLine="640"/>
        <w:rPr>
          <w:rFonts w:ascii="仿宋_GB2312" w:eastAsia="仿宋_GB2312" w:hAnsi="仿宋" w:cs="仿宋"/>
          <w:color w:val="333333"/>
          <w:sz w:val="32"/>
          <w:szCs w:val="32"/>
        </w:rPr>
      </w:pPr>
      <w:r>
        <w:rPr>
          <w:rFonts w:ascii="仿宋_GB2312" w:eastAsia="仿宋_GB2312" w:hAnsi="仿宋" w:cs="仿宋" w:hint="eastAsia"/>
          <w:color w:val="333333"/>
          <w:sz w:val="32"/>
          <w:szCs w:val="32"/>
        </w:rPr>
        <w:t>本年度</w:t>
      </w:r>
      <w:r w:rsidR="00610728" w:rsidRPr="00610728">
        <w:rPr>
          <w:rFonts w:ascii="仿宋_GB2312" w:eastAsia="仿宋_GB2312" w:hAnsi="仿宋" w:cs="仿宋" w:hint="eastAsia"/>
          <w:color w:val="333333"/>
          <w:sz w:val="32"/>
          <w:szCs w:val="32"/>
        </w:rPr>
        <w:t>我部门安排政府采购预算</w:t>
      </w:r>
      <w:r w:rsidR="00610728">
        <w:rPr>
          <w:rFonts w:ascii="仿宋_GB2312" w:eastAsia="仿宋_GB2312" w:hAnsi="仿宋" w:cs="仿宋" w:hint="eastAsia"/>
          <w:color w:val="333333"/>
          <w:sz w:val="32"/>
          <w:szCs w:val="32"/>
        </w:rPr>
        <w:t>24</w:t>
      </w:r>
      <w:r>
        <w:rPr>
          <w:rFonts w:ascii="仿宋_GB2312" w:eastAsia="仿宋_GB2312" w:hAnsi="仿宋" w:cs="仿宋" w:hint="eastAsia"/>
          <w:color w:val="333333"/>
          <w:sz w:val="32"/>
          <w:szCs w:val="32"/>
        </w:rPr>
        <w:t>万元，具体内容见下表。</w:t>
      </w:r>
    </w:p>
    <w:p w:rsidR="0067110A" w:rsidRDefault="0067110A" w:rsidP="009E6407">
      <w:pPr>
        <w:outlineLvl w:val="0"/>
        <w:rPr>
          <w:rFonts w:ascii="方正小标宋_GBK" w:eastAsia="方正小标宋_GBK"/>
          <w:sz w:val="32"/>
        </w:rPr>
      </w:pPr>
    </w:p>
    <w:p w:rsidR="00530E6E" w:rsidRDefault="00530E6E" w:rsidP="00530E6E">
      <w:pPr>
        <w:jc w:val="center"/>
        <w:outlineLvl w:val="0"/>
        <w:rPr>
          <w:rFonts w:ascii="方正小标宋_GBK" w:eastAsia="方正小标宋_GBK"/>
          <w:sz w:val="32"/>
        </w:rPr>
      </w:pPr>
      <w:r>
        <w:rPr>
          <w:rFonts w:ascii="方正小标宋_GBK" w:eastAsia="方正小标宋_GBK" w:hint="eastAsia"/>
          <w:sz w:val="32"/>
        </w:rPr>
        <w:lastRenderedPageBreak/>
        <w:t>部门政府采购预算</w:t>
      </w:r>
    </w:p>
    <w:tbl>
      <w:tblPr>
        <w:tblW w:w="48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2297"/>
        <w:gridCol w:w="1024"/>
        <w:gridCol w:w="906"/>
        <w:gridCol w:w="918"/>
        <w:gridCol w:w="706"/>
        <w:gridCol w:w="876"/>
        <w:gridCol w:w="788"/>
        <w:gridCol w:w="896"/>
        <w:gridCol w:w="896"/>
        <w:gridCol w:w="896"/>
        <w:gridCol w:w="896"/>
        <w:gridCol w:w="898"/>
        <w:gridCol w:w="898"/>
        <w:gridCol w:w="857"/>
      </w:tblGrid>
      <w:tr w:rsidR="00530E6E" w:rsidTr="00530E6E">
        <w:trPr>
          <w:tblHeader/>
          <w:jc w:val="center"/>
        </w:trPr>
        <w:tc>
          <w:tcPr>
            <w:tcW w:w="2702" w:type="pct"/>
            <w:gridSpan w:val="7"/>
            <w:tcBorders>
              <w:top w:val="single" w:sz="6" w:space="0" w:color="FFFFFF"/>
              <w:left w:val="single" w:sz="6" w:space="0" w:color="FFFFFF"/>
              <w:bottom w:val="single" w:sz="6" w:space="0" w:color="000000"/>
              <w:right w:val="single" w:sz="6" w:space="0" w:color="FFFFFF"/>
            </w:tcBorders>
            <w:vAlign w:val="center"/>
            <w:hideMark/>
          </w:tcPr>
          <w:p w:rsidR="00530E6E" w:rsidRDefault="00530E6E">
            <w:pPr>
              <w:widowControl w:val="0"/>
              <w:spacing w:line="300" w:lineRule="exact"/>
              <w:jc w:val="both"/>
              <w:rPr>
                <w:rFonts w:ascii="方正小标宋_GBK" w:hAnsi="Calibri"/>
                <w:kern w:val="2"/>
                <w:sz w:val="21"/>
                <w:szCs w:val="24"/>
              </w:rPr>
            </w:pPr>
            <w:r w:rsidRPr="00530E6E">
              <w:rPr>
                <w:rFonts w:ascii="方正小标宋_GBK" w:hint="eastAsia"/>
              </w:rPr>
              <w:t>327</w:t>
            </w:r>
            <w:r w:rsidRPr="00530E6E">
              <w:rPr>
                <w:rFonts w:ascii="方正小标宋_GBK" w:hint="eastAsia"/>
              </w:rPr>
              <w:t>林业</w:t>
            </w:r>
          </w:p>
        </w:tc>
        <w:tc>
          <w:tcPr>
            <w:tcW w:w="2298" w:type="pct"/>
            <w:gridSpan w:val="7"/>
            <w:tcBorders>
              <w:top w:val="single" w:sz="6" w:space="0" w:color="FFFFFF"/>
              <w:left w:val="single" w:sz="6" w:space="0" w:color="FFFFFF"/>
              <w:bottom w:val="single" w:sz="6" w:space="0" w:color="000000"/>
              <w:right w:val="single" w:sz="6" w:space="0" w:color="FFFFFF"/>
            </w:tcBorders>
            <w:vAlign w:val="center"/>
            <w:hideMark/>
          </w:tcPr>
          <w:p w:rsidR="00530E6E" w:rsidRDefault="00530E6E">
            <w:pPr>
              <w:widowControl w:val="0"/>
              <w:spacing w:line="300" w:lineRule="exact"/>
              <w:jc w:val="right"/>
              <w:rPr>
                <w:rFonts w:ascii="方正书宋_GBK" w:eastAsia="方正书宋_GBK" w:hAnsi="Calibri"/>
                <w:kern w:val="2"/>
                <w:sz w:val="21"/>
                <w:szCs w:val="24"/>
              </w:rPr>
            </w:pPr>
            <w:r>
              <w:rPr>
                <w:rFonts w:ascii="方正书宋_GBK" w:eastAsia="方正书宋_GBK" w:hint="eastAsia"/>
              </w:rPr>
              <w:t>单位：万元</w:t>
            </w:r>
          </w:p>
        </w:tc>
      </w:tr>
      <w:tr w:rsidR="00530E6E" w:rsidTr="00530E6E">
        <w:trPr>
          <w:tblHeader/>
          <w:jc w:val="center"/>
        </w:trPr>
        <w:tc>
          <w:tcPr>
            <w:tcW w:w="1217" w:type="pct"/>
            <w:gridSpan w:val="2"/>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政府采购项目来源</w:t>
            </w:r>
          </w:p>
        </w:tc>
        <w:tc>
          <w:tcPr>
            <w:tcW w:w="334" w:type="pct"/>
            <w:vMerge w:val="restar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采购物品名称</w:t>
            </w:r>
          </w:p>
        </w:tc>
        <w:tc>
          <w:tcPr>
            <w:tcW w:w="338" w:type="pct"/>
            <w:vMerge w:val="restar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政府采购目录序号</w:t>
            </w:r>
          </w:p>
        </w:tc>
        <w:tc>
          <w:tcPr>
            <w:tcW w:w="261" w:type="pct"/>
            <w:vMerge w:val="restar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数量  单位</w:t>
            </w:r>
          </w:p>
        </w:tc>
        <w:tc>
          <w:tcPr>
            <w:tcW w:w="261" w:type="pct"/>
            <w:vMerge w:val="restar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数量</w:t>
            </w:r>
          </w:p>
        </w:tc>
        <w:tc>
          <w:tcPr>
            <w:tcW w:w="291" w:type="pct"/>
            <w:vMerge w:val="restar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单价</w:t>
            </w:r>
          </w:p>
        </w:tc>
        <w:tc>
          <w:tcPr>
            <w:tcW w:w="2298" w:type="pct"/>
            <w:gridSpan w:val="7"/>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政府采购金额</w:t>
            </w:r>
          </w:p>
        </w:tc>
      </w:tr>
      <w:tr w:rsidR="00530E6E" w:rsidTr="00530E6E">
        <w:trPr>
          <w:tblHeader/>
          <w:jc w:val="center"/>
        </w:trPr>
        <w:tc>
          <w:tcPr>
            <w:tcW w:w="840" w:type="pct"/>
            <w:vMerge w:val="restar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项目名称</w:t>
            </w:r>
          </w:p>
        </w:tc>
        <w:tc>
          <w:tcPr>
            <w:tcW w:w="377" w:type="pct"/>
            <w:vMerge w:val="restar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预算资金</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330" w:type="pct"/>
            <w:vMerge w:val="restar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总计</w:t>
            </w:r>
          </w:p>
        </w:tc>
        <w:tc>
          <w:tcPr>
            <w:tcW w:w="1652" w:type="pct"/>
            <w:gridSpan w:val="5"/>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当年部门预算安排资金</w:t>
            </w:r>
          </w:p>
        </w:tc>
        <w:tc>
          <w:tcPr>
            <w:tcW w:w="316" w:type="pct"/>
            <w:vMerge w:val="restar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其他渠道资金</w:t>
            </w:r>
          </w:p>
        </w:tc>
      </w:tr>
      <w:tr w:rsidR="00530E6E" w:rsidTr="00530E6E">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合计</w:t>
            </w: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一般公共预算拨款</w:t>
            </w: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基金预算拨款</w:t>
            </w:r>
          </w:p>
        </w:tc>
        <w:tc>
          <w:tcPr>
            <w:tcW w:w="331" w:type="pc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财政专户核拨</w:t>
            </w:r>
          </w:p>
        </w:tc>
        <w:tc>
          <w:tcPr>
            <w:tcW w:w="331" w:type="pct"/>
            <w:tcBorders>
              <w:top w:val="single" w:sz="6" w:space="0" w:color="000000"/>
              <w:left w:val="single" w:sz="6" w:space="0" w:color="000000"/>
              <w:bottom w:val="single" w:sz="6" w:space="0" w:color="000000"/>
              <w:right w:val="single" w:sz="6" w:space="0" w:color="000000"/>
            </w:tcBorders>
            <w:vAlign w:val="center"/>
            <w:hideMark/>
          </w:tcPr>
          <w:p w:rsidR="00530E6E" w:rsidRDefault="00530E6E">
            <w:pPr>
              <w:widowControl w:val="0"/>
              <w:spacing w:line="300" w:lineRule="exact"/>
              <w:jc w:val="center"/>
              <w:rPr>
                <w:rFonts w:ascii="方正书宋_GBK" w:eastAsia="方正书宋_GBK" w:hAnsi="Calibri"/>
                <w:b/>
                <w:kern w:val="2"/>
                <w:sz w:val="21"/>
                <w:szCs w:val="24"/>
              </w:rPr>
            </w:pPr>
            <w:r>
              <w:rPr>
                <w:rFonts w:ascii="方正书宋_GBK" w:eastAsia="方正书宋_GBK" w:hint="eastAsia"/>
                <w:b/>
              </w:rPr>
              <w:t>其他来源收入</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30E6E" w:rsidRDefault="00530E6E">
            <w:pPr>
              <w:rPr>
                <w:rFonts w:ascii="方正书宋_GBK" w:eastAsia="方正书宋_GBK" w:hAnsi="Calibri"/>
                <w:b/>
                <w:kern w:val="2"/>
                <w:sz w:val="21"/>
                <w:szCs w:val="24"/>
              </w:rPr>
            </w:pPr>
          </w:p>
        </w:tc>
      </w:tr>
      <w:tr w:rsidR="00675582" w:rsidTr="00530E6E">
        <w:trPr>
          <w:jc w:val="center"/>
        </w:trPr>
        <w:tc>
          <w:tcPr>
            <w:tcW w:w="840" w:type="pct"/>
            <w:tcBorders>
              <w:top w:val="single" w:sz="6" w:space="0" w:color="000000"/>
              <w:left w:val="single" w:sz="6" w:space="0" w:color="000000"/>
              <w:bottom w:val="single" w:sz="6" w:space="0" w:color="000000"/>
              <w:right w:val="single" w:sz="6" w:space="0" w:color="000000"/>
            </w:tcBorders>
            <w:vAlign w:val="center"/>
            <w:hideMark/>
          </w:tcPr>
          <w:p w:rsidR="00675582" w:rsidRPr="00573A70" w:rsidRDefault="00675582" w:rsidP="00882707">
            <w:pPr>
              <w:spacing w:line="300" w:lineRule="exact"/>
              <w:jc w:val="center"/>
              <w:rPr>
                <w:rFonts w:ascii="方正书宋_GBK" w:eastAsia="方正书宋_GBK"/>
                <w:b/>
              </w:rPr>
            </w:pPr>
            <w:r w:rsidRPr="00573A70">
              <w:rPr>
                <w:rFonts w:ascii="方正书宋_GBK" w:eastAsia="方正书宋_GBK" w:hint="eastAsia"/>
                <w:b/>
              </w:rPr>
              <w:t>合　计</w:t>
            </w:r>
          </w:p>
        </w:tc>
        <w:tc>
          <w:tcPr>
            <w:tcW w:w="377"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jc w:val="right"/>
              <w:rPr>
                <w:rFonts w:ascii="方正书宋_GBK" w:eastAsia="方正书宋_GBK"/>
                <w:b/>
              </w:rPr>
            </w:pPr>
          </w:p>
        </w:tc>
        <w:tc>
          <w:tcPr>
            <w:tcW w:w="334"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rPr>
                <w:rFonts w:ascii="方正书宋_GBK" w:eastAsia="方正书宋_GBK"/>
                <w:b/>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rPr>
                <w:rFonts w:ascii="方正书宋_GBK" w:eastAsia="方正书宋_GBK"/>
                <w:b/>
              </w:rPr>
            </w:pP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rPr>
                <w:rFonts w:ascii="方正书宋_GBK" w:eastAsia="方正书宋_GBK"/>
                <w:b/>
              </w:rPr>
            </w:pP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jc w:val="right"/>
              <w:rPr>
                <w:rFonts w:ascii="方正书宋_GBK" w:eastAsia="方正书宋_GBK"/>
                <w:b/>
              </w:rPr>
            </w:pPr>
          </w:p>
        </w:tc>
        <w:tc>
          <w:tcPr>
            <w:tcW w:w="291"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jc w:val="right"/>
              <w:rPr>
                <w:rFonts w:ascii="方正书宋_GBK" w:eastAsia="方正书宋_GBK"/>
                <w:b/>
              </w:rPr>
            </w:pP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Pr="00573A70" w:rsidRDefault="00675582" w:rsidP="00882707">
            <w:pPr>
              <w:spacing w:line="300" w:lineRule="exact"/>
              <w:jc w:val="right"/>
              <w:rPr>
                <w:rFonts w:ascii="方正书宋_GBK" w:eastAsia="方正书宋_GBK"/>
                <w:b/>
              </w:rPr>
            </w:pPr>
            <w:r w:rsidRPr="00573A70">
              <w:rPr>
                <w:rFonts w:ascii="方正书宋_GBK" w:eastAsia="方正书宋_GBK"/>
                <w:b/>
              </w:rPr>
              <w:t>24.00</w:t>
            </w: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Pr="00573A70" w:rsidRDefault="00675582" w:rsidP="00882707">
            <w:pPr>
              <w:spacing w:line="300" w:lineRule="exact"/>
              <w:jc w:val="right"/>
              <w:rPr>
                <w:rFonts w:ascii="方正书宋_GBK" w:eastAsia="方正书宋_GBK"/>
                <w:b/>
              </w:rPr>
            </w:pPr>
            <w:r w:rsidRPr="00573A70">
              <w:rPr>
                <w:rFonts w:ascii="方正书宋_GBK" w:eastAsia="方正书宋_GBK"/>
                <w:b/>
              </w:rPr>
              <w:t>24.00</w:t>
            </w: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Pr="00573A70" w:rsidRDefault="00675582" w:rsidP="00882707">
            <w:pPr>
              <w:spacing w:line="300" w:lineRule="exact"/>
              <w:jc w:val="right"/>
              <w:rPr>
                <w:rFonts w:ascii="方正书宋_GBK" w:eastAsia="方正书宋_GBK"/>
                <w:b/>
              </w:rPr>
            </w:pPr>
            <w:r w:rsidRPr="00573A70">
              <w:rPr>
                <w:rFonts w:ascii="方正书宋_GBK" w:eastAsia="方正书宋_GBK"/>
                <w:b/>
              </w:rPr>
              <w:t>24.00</w:t>
            </w:r>
          </w:p>
        </w:tc>
        <w:tc>
          <w:tcPr>
            <w:tcW w:w="330"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16"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r>
      <w:tr w:rsidR="00675582" w:rsidTr="00530E6E">
        <w:trPr>
          <w:jc w:val="center"/>
        </w:trPr>
        <w:tc>
          <w:tcPr>
            <w:tcW w:w="840" w:type="pct"/>
            <w:tcBorders>
              <w:top w:val="single" w:sz="6" w:space="0" w:color="000000"/>
              <w:left w:val="single" w:sz="6" w:space="0" w:color="000000"/>
              <w:bottom w:val="single" w:sz="6" w:space="0" w:color="000000"/>
              <w:right w:val="single" w:sz="6" w:space="0" w:color="000000"/>
            </w:tcBorders>
            <w:vAlign w:val="center"/>
            <w:hideMark/>
          </w:tcPr>
          <w:p w:rsidR="00675582" w:rsidRPr="00573A70" w:rsidRDefault="00675582" w:rsidP="00882707">
            <w:pPr>
              <w:spacing w:line="300" w:lineRule="exact"/>
              <w:jc w:val="center"/>
              <w:rPr>
                <w:rFonts w:ascii="方正书宋_GBK" w:eastAsia="方正书宋_GBK"/>
                <w:b/>
              </w:rPr>
            </w:pPr>
            <w:r w:rsidRPr="00573A70">
              <w:rPr>
                <w:rFonts w:ascii="方正书宋_GBK" w:eastAsia="方正书宋_GBK" w:hint="eastAsia"/>
                <w:b/>
              </w:rPr>
              <w:t>秦皇岛市北戴河区林业局小计</w:t>
            </w:r>
          </w:p>
        </w:tc>
        <w:tc>
          <w:tcPr>
            <w:tcW w:w="377"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jc w:val="right"/>
              <w:rPr>
                <w:rFonts w:ascii="方正书宋_GBK" w:eastAsia="方正书宋_GBK"/>
                <w:b/>
              </w:rPr>
            </w:pPr>
          </w:p>
        </w:tc>
        <w:tc>
          <w:tcPr>
            <w:tcW w:w="334"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rPr>
                <w:rFonts w:ascii="方正书宋_GBK" w:eastAsia="方正书宋_GBK"/>
                <w:b/>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rPr>
                <w:rFonts w:ascii="方正书宋_GBK" w:eastAsia="方正书宋_GBK"/>
                <w:b/>
              </w:rPr>
            </w:pP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rPr>
                <w:rFonts w:ascii="方正书宋_GBK" w:eastAsia="方正书宋_GBK"/>
                <w:b/>
              </w:rPr>
            </w:pP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jc w:val="right"/>
              <w:rPr>
                <w:rFonts w:ascii="方正书宋_GBK" w:eastAsia="方正书宋_GBK"/>
                <w:b/>
              </w:rPr>
            </w:pPr>
          </w:p>
        </w:tc>
        <w:tc>
          <w:tcPr>
            <w:tcW w:w="291"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jc w:val="right"/>
              <w:rPr>
                <w:rFonts w:ascii="方正书宋_GBK" w:eastAsia="方正书宋_GBK"/>
                <w:b/>
              </w:rPr>
            </w:pP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Pr="00573A70" w:rsidRDefault="00675582" w:rsidP="00882707">
            <w:pPr>
              <w:spacing w:line="300" w:lineRule="exact"/>
              <w:jc w:val="right"/>
              <w:rPr>
                <w:rFonts w:ascii="方正书宋_GBK" w:eastAsia="方正书宋_GBK"/>
                <w:b/>
              </w:rPr>
            </w:pPr>
            <w:r w:rsidRPr="00573A70">
              <w:rPr>
                <w:rFonts w:ascii="方正书宋_GBK" w:eastAsia="方正书宋_GBK"/>
                <w:b/>
              </w:rPr>
              <w:t>24.00</w:t>
            </w: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Pr="00573A70" w:rsidRDefault="00675582" w:rsidP="00882707">
            <w:pPr>
              <w:spacing w:line="300" w:lineRule="exact"/>
              <w:jc w:val="right"/>
              <w:rPr>
                <w:rFonts w:ascii="方正书宋_GBK" w:eastAsia="方正书宋_GBK"/>
                <w:b/>
              </w:rPr>
            </w:pPr>
            <w:r w:rsidRPr="00573A70">
              <w:rPr>
                <w:rFonts w:ascii="方正书宋_GBK" w:eastAsia="方正书宋_GBK"/>
                <w:b/>
              </w:rPr>
              <w:t>24.00</w:t>
            </w: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Pr="00573A70" w:rsidRDefault="00675582" w:rsidP="00882707">
            <w:pPr>
              <w:spacing w:line="300" w:lineRule="exact"/>
              <w:jc w:val="right"/>
              <w:rPr>
                <w:rFonts w:ascii="方正书宋_GBK" w:eastAsia="方正书宋_GBK"/>
                <w:b/>
              </w:rPr>
            </w:pPr>
            <w:r w:rsidRPr="00573A70">
              <w:rPr>
                <w:rFonts w:ascii="方正书宋_GBK" w:eastAsia="方正书宋_GBK"/>
                <w:b/>
              </w:rPr>
              <w:t>24.00</w:t>
            </w:r>
          </w:p>
        </w:tc>
        <w:tc>
          <w:tcPr>
            <w:tcW w:w="330"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16"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r>
      <w:tr w:rsidR="00675582" w:rsidTr="00530E6E">
        <w:trPr>
          <w:jc w:val="center"/>
        </w:trPr>
        <w:tc>
          <w:tcPr>
            <w:tcW w:w="84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rsidP="00882707">
            <w:pPr>
              <w:spacing w:line="300" w:lineRule="exact"/>
              <w:rPr>
                <w:rFonts w:ascii="方正书宋_GBK" w:eastAsia="方正书宋_GBK"/>
              </w:rPr>
            </w:pPr>
            <w:r>
              <w:rPr>
                <w:rFonts w:ascii="方正书宋_GBK" w:eastAsia="方正书宋_GBK" w:hint="eastAsia"/>
              </w:rPr>
              <w:t>林业改革发展专项资金</w:t>
            </w:r>
          </w:p>
        </w:tc>
        <w:tc>
          <w:tcPr>
            <w:tcW w:w="377"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jc w:val="right"/>
              <w:rPr>
                <w:rFonts w:ascii="方正书宋_GBK" w:eastAsia="方正书宋_GBK"/>
              </w:rPr>
            </w:pPr>
            <w:r>
              <w:rPr>
                <w:rFonts w:ascii="方正书宋_GBK" w:eastAsia="方正书宋_GBK"/>
              </w:rPr>
              <w:t>1916.63</w:t>
            </w:r>
          </w:p>
        </w:tc>
        <w:tc>
          <w:tcPr>
            <w:tcW w:w="334"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rPr>
                <w:rFonts w:ascii="方正书宋_GBK" w:eastAsia="方正书宋_GBK"/>
              </w:rPr>
            </w:pPr>
            <w:r>
              <w:rPr>
                <w:rFonts w:ascii="方正书宋_GBK" w:eastAsia="方正书宋_GBK" w:hint="eastAsia"/>
              </w:rPr>
              <w:t>货物</w:t>
            </w:r>
          </w:p>
        </w:tc>
        <w:tc>
          <w:tcPr>
            <w:tcW w:w="338"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rPr>
                <w:rFonts w:ascii="方正书宋_GBK" w:eastAsia="方正书宋_GBK"/>
              </w:rPr>
            </w:pPr>
            <w:r>
              <w:rPr>
                <w:rFonts w:ascii="方正书宋_GBK" w:eastAsia="方正书宋_GBK"/>
              </w:rPr>
              <w:t>A</w:t>
            </w: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rPr>
                <w:rFonts w:ascii="方正书宋_GBK" w:eastAsia="方正书宋_GBK"/>
              </w:rPr>
            </w:pP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jc w:val="right"/>
              <w:rPr>
                <w:rFonts w:ascii="方正书宋_GBK" w:eastAsia="方正书宋_GBK"/>
              </w:rPr>
            </w:pPr>
            <w:r>
              <w:rPr>
                <w:rFonts w:ascii="方正书宋_GBK" w:eastAsia="方正书宋_GBK"/>
              </w:rPr>
              <w:t>800.00</w:t>
            </w:r>
          </w:p>
        </w:tc>
        <w:tc>
          <w:tcPr>
            <w:tcW w:w="291" w:type="pct"/>
            <w:tcBorders>
              <w:top w:val="single" w:sz="6" w:space="0" w:color="000000"/>
              <w:left w:val="single" w:sz="6" w:space="0" w:color="000000"/>
              <w:bottom w:val="single" w:sz="6" w:space="0" w:color="000000"/>
              <w:right w:val="single" w:sz="6" w:space="0" w:color="000000"/>
            </w:tcBorders>
            <w:vAlign w:val="center"/>
          </w:tcPr>
          <w:p w:rsidR="00675582" w:rsidRPr="00573A70" w:rsidRDefault="00675582" w:rsidP="00882707">
            <w:pPr>
              <w:spacing w:line="300" w:lineRule="exact"/>
              <w:jc w:val="right"/>
              <w:rPr>
                <w:rFonts w:ascii="方正书宋_GBK" w:eastAsia="方正书宋_GBK"/>
              </w:rPr>
            </w:pPr>
            <w:r>
              <w:rPr>
                <w:rFonts w:ascii="方正书宋_GBK" w:eastAsia="方正书宋_GBK"/>
              </w:rPr>
              <w:t>0.03</w:t>
            </w: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rsidP="00882707">
            <w:pPr>
              <w:spacing w:line="300" w:lineRule="exact"/>
              <w:jc w:val="right"/>
              <w:rPr>
                <w:rFonts w:ascii="方正书宋_GBK" w:eastAsia="方正书宋_GBK"/>
              </w:rPr>
            </w:pPr>
            <w:r>
              <w:rPr>
                <w:rFonts w:ascii="方正书宋_GBK" w:eastAsia="方正书宋_GBK"/>
              </w:rPr>
              <w:t>24.00</w:t>
            </w: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rsidP="00882707">
            <w:pPr>
              <w:spacing w:line="300" w:lineRule="exact"/>
              <w:jc w:val="right"/>
              <w:rPr>
                <w:rFonts w:ascii="方正书宋_GBK" w:eastAsia="方正书宋_GBK"/>
              </w:rPr>
            </w:pPr>
            <w:r>
              <w:rPr>
                <w:rFonts w:ascii="方正书宋_GBK" w:eastAsia="方正书宋_GBK"/>
              </w:rPr>
              <w:t>24.00</w:t>
            </w: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rsidP="00882707">
            <w:pPr>
              <w:spacing w:line="300" w:lineRule="exact"/>
              <w:jc w:val="right"/>
              <w:rPr>
                <w:rFonts w:ascii="方正书宋_GBK" w:eastAsia="方正书宋_GBK"/>
              </w:rPr>
            </w:pPr>
            <w:r>
              <w:rPr>
                <w:rFonts w:ascii="方正书宋_GBK" w:eastAsia="方正书宋_GBK"/>
              </w:rPr>
              <w:t>24.00</w:t>
            </w:r>
          </w:p>
        </w:tc>
        <w:tc>
          <w:tcPr>
            <w:tcW w:w="330"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16"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r>
      <w:tr w:rsidR="00675582" w:rsidTr="00530E6E">
        <w:trPr>
          <w:jc w:val="center"/>
        </w:trPr>
        <w:tc>
          <w:tcPr>
            <w:tcW w:w="84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pPr>
              <w:rPr>
                <w:rFonts w:asciiTheme="minorHAnsi" w:eastAsiaTheme="minorEastAsia" w:hAnsiTheme="minorHAnsi" w:cstheme="minorBidi"/>
                <w:kern w:val="2"/>
                <w:sz w:val="21"/>
              </w:rPr>
            </w:pPr>
          </w:p>
        </w:tc>
        <w:tc>
          <w:tcPr>
            <w:tcW w:w="377"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4"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both"/>
              <w:rPr>
                <w:rFonts w:ascii="方正书宋_GBK" w:eastAsia="方正书宋_GBK" w:hAnsi="Calibri"/>
                <w:b/>
                <w:kern w:val="2"/>
                <w:sz w:val="21"/>
                <w:szCs w:val="24"/>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both"/>
              <w:rPr>
                <w:rFonts w:ascii="方正书宋_GBK" w:eastAsia="方正书宋_GBK" w:hAnsi="Calibri"/>
                <w:b/>
                <w:kern w:val="2"/>
                <w:sz w:val="21"/>
                <w:szCs w:val="24"/>
              </w:rPr>
            </w:pP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both"/>
              <w:rPr>
                <w:rFonts w:ascii="方正书宋_GBK" w:eastAsia="方正书宋_GBK" w:hAnsi="Calibri"/>
                <w:b/>
                <w:kern w:val="2"/>
                <w:sz w:val="21"/>
                <w:szCs w:val="24"/>
              </w:rPr>
            </w:pP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29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pPr>
              <w:rPr>
                <w:rFonts w:asciiTheme="minorHAnsi" w:eastAsiaTheme="minorEastAsia" w:hAnsiTheme="minorHAnsi" w:cstheme="minorBidi"/>
                <w:kern w:val="2"/>
                <w:sz w:val="21"/>
              </w:rPr>
            </w:pP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pPr>
              <w:rPr>
                <w:rFonts w:asciiTheme="minorHAnsi" w:eastAsiaTheme="minorEastAsia" w:hAnsiTheme="minorHAnsi" w:cstheme="minorBidi"/>
                <w:kern w:val="2"/>
                <w:sz w:val="21"/>
              </w:rPr>
            </w:pP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pPr>
              <w:rPr>
                <w:rFonts w:asciiTheme="minorHAnsi" w:eastAsiaTheme="minorEastAsia" w:hAnsiTheme="minorHAnsi" w:cstheme="minorBidi"/>
                <w:kern w:val="2"/>
                <w:sz w:val="21"/>
              </w:rPr>
            </w:pPr>
          </w:p>
        </w:tc>
        <w:tc>
          <w:tcPr>
            <w:tcW w:w="330"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16"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r>
      <w:tr w:rsidR="00675582" w:rsidTr="00530E6E">
        <w:trPr>
          <w:jc w:val="center"/>
        </w:trPr>
        <w:tc>
          <w:tcPr>
            <w:tcW w:w="84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pPr>
              <w:rPr>
                <w:rFonts w:asciiTheme="minorHAnsi" w:eastAsiaTheme="minorEastAsia" w:hAnsiTheme="minorHAnsi" w:cstheme="minorBidi"/>
                <w:kern w:val="2"/>
                <w:sz w:val="21"/>
              </w:rPr>
            </w:pPr>
          </w:p>
        </w:tc>
        <w:tc>
          <w:tcPr>
            <w:tcW w:w="377"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4"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both"/>
              <w:rPr>
                <w:rFonts w:ascii="方正书宋_GBK" w:eastAsia="方正书宋_GBK" w:hAnsi="Calibri"/>
                <w:b/>
                <w:kern w:val="2"/>
                <w:sz w:val="21"/>
                <w:szCs w:val="24"/>
              </w:rPr>
            </w:pPr>
          </w:p>
        </w:tc>
        <w:tc>
          <w:tcPr>
            <w:tcW w:w="338"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both"/>
              <w:rPr>
                <w:rFonts w:ascii="方正书宋_GBK" w:eastAsia="方正书宋_GBK" w:hAnsi="Calibri"/>
                <w:b/>
                <w:kern w:val="2"/>
                <w:sz w:val="21"/>
                <w:szCs w:val="24"/>
              </w:rPr>
            </w:pP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both"/>
              <w:rPr>
                <w:rFonts w:ascii="方正书宋_GBK" w:eastAsia="方正书宋_GBK" w:hAnsi="Calibri"/>
                <w:b/>
                <w:kern w:val="2"/>
                <w:sz w:val="21"/>
                <w:szCs w:val="24"/>
              </w:rPr>
            </w:pPr>
          </w:p>
        </w:tc>
        <w:tc>
          <w:tcPr>
            <w:tcW w:w="26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29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pPr>
              <w:rPr>
                <w:rFonts w:asciiTheme="minorHAnsi" w:eastAsiaTheme="minorEastAsia" w:hAnsiTheme="minorHAnsi" w:cstheme="minorBidi"/>
                <w:kern w:val="2"/>
                <w:sz w:val="21"/>
              </w:rPr>
            </w:pP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pPr>
              <w:rPr>
                <w:rFonts w:asciiTheme="minorHAnsi" w:eastAsiaTheme="minorEastAsia" w:hAnsiTheme="minorHAnsi" w:cstheme="minorBidi"/>
                <w:kern w:val="2"/>
                <w:sz w:val="21"/>
              </w:rPr>
            </w:pPr>
          </w:p>
        </w:tc>
        <w:tc>
          <w:tcPr>
            <w:tcW w:w="330" w:type="pct"/>
            <w:tcBorders>
              <w:top w:val="single" w:sz="6" w:space="0" w:color="000000"/>
              <w:left w:val="single" w:sz="6" w:space="0" w:color="000000"/>
              <w:bottom w:val="single" w:sz="6" w:space="0" w:color="000000"/>
              <w:right w:val="single" w:sz="6" w:space="0" w:color="000000"/>
            </w:tcBorders>
            <w:vAlign w:val="center"/>
            <w:hideMark/>
          </w:tcPr>
          <w:p w:rsidR="00675582" w:rsidRDefault="00675582">
            <w:pPr>
              <w:rPr>
                <w:rFonts w:asciiTheme="minorHAnsi" w:eastAsiaTheme="minorEastAsia" w:hAnsiTheme="minorHAnsi" w:cstheme="minorBidi"/>
                <w:kern w:val="2"/>
                <w:sz w:val="21"/>
              </w:rPr>
            </w:pPr>
          </w:p>
        </w:tc>
        <w:tc>
          <w:tcPr>
            <w:tcW w:w="330"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31"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c>
          <w:tcPr>
            <w:tcW w:w="316" w:type="pct"/>
            <w:tcBorders>
              <w:top w:val="single" w:sz="6" w:space="0" w:color="000000"/>
              <w:left w:val="single" w:sz="6" w:space="0" w:color="000000"/>
              <w:bottom w:val="single" w:sz="6" w:space="0" w:color="000000"/>
              <w:right w:val="single" w:sz="6" w:space="0" w:color="000000"/>
            </w:tcBorders>
            <w:vAlign w:val="center"/>
          </w:tcPr>
          <w:p w:rsidR="00675582" w:rsidRDefault="00675582">
            <w:pPr>
              <w:widowControl w:val="0"/>
              <w:spacing w:line="300" w:lineRule="exact"/>
              <w:jc w:val="right"/>
              <w:rPr>
                <w:rFonts w:ascii="方正书宋_GBK" w:eastAsia="方正书宋_GBK" w:hAnsi="Calibri"/>
                <w:b/>
                <w:kern w:val="2"/>
                <w:sz w:val="21"/>
                <w:szCs w:val="24"/>
              </w:rPr>
            </w:pPr>
          </w:p>
        </w:tc>
      </w:tr>
    </w:tbl>
    <w:p w:rsidR="00422B45" w:rsidRPr="009E6407" w:rsidRDefault="00FA56C9" w:rsidP="009E6407">
      <w:pPr>
        <w:adjustRightInd/>
        <w:snapToGrid/>
        <w:spacing w:after="0" w:line="600" w:lineRule="exact"/>
        <w:ind w:left="300" w:firstLine="480"/>
        <w:rPr>
          <w:rFonts w:ascii="黑体" w:eastAsia="黑体" w:hAnsi="黑体" w:cs="仿宋"/>
          <w:b/>
          <w:color w:val="333333"/>
          <w:sz w:val="32"/>
          <w:szCs w:val="32"/>
        </w:rPr>
      </w:pPr>
      <w:r w:rsidRPr="00FA56C9">
        <w:rPr>
          <w:rFonts w:ascii="黑体" w:eastAsia="黑体" w:hAnsi="黑体" w:cs="仿宋" w:hint="eastAsia"/>
          <w:b/>
          <w:color w:val="333333"/>
          <w:sz w:val="32"/>
          <w:szCs w:val="32"/>
        </w:rPr>
        <w:t>七、国有资产信息</w:t>
      </w:r>
    </w:p>
    <w:p w:rsidR="00422B45" w:rsidRPr="00405D44" w:rsidRDefault="00422B45" w:rsidP="00405D44">
      <w:pPr>
        <w:spacing w:line="600" w:lineRule="exact"/>
        <w:ind w:left="300" w:firstLine="480"/>
        <w:rPr>
          <w:rFonts w:ascii="仿宋_GB2312" w:eastAsia="仿宋_GB2312" w:hAnsi="仿宋" w:cs="仿宋"/>
          <w:sz w:val="32"/>
          <w:szCs w:val="32"/>
        </w:rPr>
      </w:pPr>
      <w:r w:rsidRPr="00405D44">
        <w:rPr>
          <w:rFonts w:ascii="仿宋_GB2312" w:eastAsia="仿宋_GB2312" w:hAnsi="仿宋" w:cs="仿宋" w:hint="eastAsia"/>
          <w:sz w:val="32"/>
          <w:szCs w:val="32"/>
        </w:rPr>
        <w:lastRenderedPageBreak/>
        <w:t>本部门上年末固定资产金额为</w:t>
      </w:r>
      <w:r w:rsidR="00405D44" w:rsidRPr="00405D44">
        <w:rPr>
          <w:rFonts w:ascii="仿宋_GB2312" w:eastAsia="仿宋_GB2312" w:hAnsi="仿宋" w:cs="仿宋" w:hint="eastAsia"/>
          <w:sz w:val="32"/>
          <w:szCs w:val="32"/>
        </w:rPr>
        <w:t>611.45</w:t>
      </w:r>
      <w:r w:rsidRPr="00405D44">
        <w:rPr>
          <w:rFonts w:ascii="仿宋_GB2312" w:eastAsia="仿宋_GB2312" w:hAnsi="仿宋" w:cs="仿宋" w:hint="eastAsia"/>
          <w:sz w:val="32"/>
          <w:szCs w:val="32"/>
        </w:rPr>
        <w:t>万元（详见下表），其中:房屋</w:t>
      </w:r>
      <w:r w:rsidR="00405D44" w:rsidRPr="00405D44">
        <w:rPr>
          <w:rFonts w:ascii="仿宋_GB2312" w:eastAsia="仿宋_GB2312" w:hAnsi="仿宋" w:cs="仿宋" w:hint="eastAsia"/>
          <w:sz w:val="32"/>
          <w:szCs w:val="32"/>
        </w:rPr>
        <w:t>41.61</w:t>
      </w:r>
      <w:r w:rsidRPr="00405D44">
        <w:rPr>
          <w:rFonts w:ascii="仿宋_GB2312" w:eastAsia="仿宋_GB2312" w:hAnsi="仿宋" w:cs="仿宋" w:hint="eastAsia"/>
          <w:sz w:val="32"/>
          <w:szCs w:val="32"/>
        </w:rPr>
        <w:t>万元；车辆保有量</w:t>
      </w:r>
      <w:r w:rsidR="00405D44" w:rsidRPr="00405D44">
        <w:rPr>
          <w:rFonts w:ascii="仿宋_GB2312" w:eastAsia="仿宋_GB2312" w:hAnsi="仿宋" w:cs="仿宋" w:hint="eastAsia"/>
          <w:sz w:val="32"/>
          <w:szCs w:val="32"/>
        </w:rPr>
        <w:t>18</w:t>
      </w:r>
      <w:r w:rsidRPr="00405D44">
        <w:rPr>
          <w:rFonts w:ascii="仿宋_GB2312" w:eastAsia="仿宋_GB2312" w:hAnsi="仿宋" w:cs="仿宋" w:hint="eastAsia"/>
          <w:sz w:val="32"/>
          <w:szCs w:val="32"/>
        </w:rPr>
        <w:t>辆</w:t>
      </w:r>
      <w:r w:rsidR="00657653">
        <w:rPr>
          <w:rFonts w:ascii="仿宋_GB2312" w:eastAsia="仿宋_GB2312" w:hAnsi="仿宋" w:cs="仿宋" w:hint="eastAsia"/>
          <w:sz w:val="32"/>
          <w:szCs w:val="32"/>
        </w:rPr>
        <w:t>2</w:t>
      </w:r>
      <w:r w:rsidR="00405D44" w:rsidRPr="00405D44">
        <w:rPr>
          <w:rFonts w:ascii="仿宋_GB2312" w:eastAsia="仿宋_GB2312" w:hAnsi="仿宋" w:cs="仿宋" w:hint="eastAsia"/>
          <w:sz w:val="32"/>
          <w:szCs w:val="32"/>
        </w:rPr>
        <w:t>65.42</w:t>
      </w:r>
      <w:r w:rsidRPr="00405D44">
        <w:rPr>
          <w:rFonts w:ascii="仿宋_GB2312" w:eastAsia="仿宋_GB2312" w:hAnsi="仿宋" w:cs="仿宋" w:hint="eastAsia"/>
          <w:sz w:val="32"/>
          <w:szCs w:val="32"/>
        </w:rPr>
        <w:t>万元；无单价在20万以上设备；其他固定资产</w:t>
      </w:r>
      <w:r w:rsidR="00405D44" w:rsidRPr="00405D44">
        <w:rPr>
          <w:rFonts w:ascii="仿宋_GB2312" w:eastAsia="仿宋_GB2312" w:hAnsi="仿宋" w:cs="仿宋" w:hint="eastAsia"/>
          <w:sz w:val="32"/>
          <w:szCs w:val="32"/>
        </w:rPr>
        <w:t>304.42</w:t>
      </w:r>
      <w:r w:rsidRPr="00405D44">
        <w:rPr>
          <w:rFonts w:ascii="仿宋_GB2312" w:eastAsia="仿宋_GB2312" w:hAnsi="仿宋" w:cs="仿宋" w:hint="eastAsia"/>
          <w:sz w:val="32"/>
          <w:szCs w:val="32"/>
        </w:rPr>
        <w:t>万元（包括通用设备</w:t>
      </w:r>
      <w:r w:rsidR="00405D44" w:rsidRPr="00405D44">
        <w:rPr>
          <w:rFonts w:ascii="仿宋_GB2312" w:eastAsia="仿宋_GB2312" w:hAnsi="仿宋" w:cs="仿宋" w:hint="eastAsia"/>
          <w:sz w:val="32"/>
          <w:szCs w:val="32"/>
        </w:rPr>
        <w:t>304.42</w:t>
      </w:r>
      <w:r w:rsidRPr="00405D44">
        <w:rPr>
          <w:rFonts w:ascii="仿宋_GB2312" w:eastAsia="仿宋_GB2312" w:hAnsi="仿宋" w:cs="仿宋" w:hint="eastAsia"/>
          <w:sz w:val="32"/>
          <w:szCs w:val="32"/>
        </w:rPr>
        <w:t>万元）；本年度拟购置固定资产总额为</w:t>
      </w:r>
      <w:r w:rsidR="00405D44" w:rsidRPr="00405D44">
        <w:rPr>
          <w:rFonts w:ascii="仿宋_GB2312" w:eastAsia="仿宋_GB2312" w:hAnsi="仿宋" w:cs="仿宋" w:hint="eastAsia"/>
          <w:sz w:val="32"/>
          <w:szCs w:val="32"/>
        </w:rPr>
        <w:t>5</w:t>
      </w:r>
      <w:r w:rsidRPr="00405D44">
        <w:rPr>
          <w:rFonts w:ascii="仿宋_GB2312" w:eastAsia="仿宋_GB2312" w:hAnsi="仿宋" w:cs="仿宋" w:hint="eastAsia"/>
          <w:sz w:val="32"/>
          <w:szCs w:val="32"/>
        </w:rPr>
        <w:t>万元。主要为</w:t>
      </w:r>
      <w:r w:rsidR="00405D44" w:rsidRPr="00405D44">
        <w:rPr>
          <w:rFonts w:ascii="仿宋_GB2312" w:eastAsia="仿宋_GB2312" w:hAnsi="仿宋" w:cs="仿宋" w:hint="eastAsia"/>
          <w:sz w:val="32"/>
          <w:szCs w:val="32"/>
        </w:rPr>
        <w:t>专业设备等资产</w:t>
      </w:r>
      <w:r w:rsidR="009E6407">
        <w:rPr>
          <w:rFonts w:ascii="仿宋_GB2312" w:eastAsia="仿宋_GB2312" w:hAnsi="仿宋" w:cs="仿宋" w:hint="eastAsia"/>
          <w:sz w:val="32"/>
          <w:szCs w:val="32"/>
        </w:rPr>
        <w:t>。</w:t>
      </w:r>
    </w:p>
    <w:p w:rsidR="00DE3883" w:rsidRDefault="00DE3883" w:rsidP="004724EB">
      <w:pPr>
        <w:spacing w:after="0" w:line="600" w:lineRule="exact"/>
        <w:jc w:val="center"/>
        <w:rPr>
          <w:rFonts w:ascii="仿宋_GB2312" w:eastAsia="仿宋_GB2312" w:hAnsi="宋体" w:cs="宋体"/>
          <w:bCs/>
          <w:color w:val="000000"/>
          <w:sz w:val="32"/>
          <w:szCs w:val="32"/>
        </w:rPr>
      </w:pPr>
      <w:r w:rsidRPr="004724EB">
        <w:rPr>
          <w:rFonts w:ascii="仿宋_GB2312" w:eastAsia="仿宋_GB2312" w:hAnsi="宋体" w:cs="宋体" w:hint="eastAsia"/>
          <w:bCs/>
          <w:color w:val="000000"/>
          <w:sz w:val="32"/>
          <w:szCs w:val="32"/>
        </w:rPr>
        <w:t>部门固定资产占用情况表</w:t>
      </w:r>
    </w:p>
    <w:tbl>
      <w:tblPr>
        <w:tblW w:w="12037" w:type="dxa"/>
        <w:tblInd w:w="964" w:type="dxa"/>
        <w:tblLayout w:type="fixed"/>
        <w:tblLook w:val="00A0"/>
      </w:tblPr>
      <w:tblGrid>
        <w:gridCol w:w="4012"/>
        <w:gridCol w:w="2006"/>
        <w:gridCol w:w="2006"/>
        <w:gridCol w:w="4013"/>
      </w:tblGrid>
      <w:tr w:rsidR="00DE3883" w:rsidRPr="004724EB" w:rsidTr="004724EB">
        <w:trPr>
          <w:trHeight w:val="110"/>
        </w:trPr>
        <w:tc>
          <w:tcPr>
            <w:tcW w:w="6018" w:type="dxa"/>
            <w:gridSpan w:val="2"/>
            <w:tcBorders>
              <w:top w:val="nil"/>
              <w:left w:val="nil"/>
              <w:bottom w:val="single" w:sz="4" w:space="0" w:color="auto"/>
              <w:right w:val="nil"/>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编制部门：</w:t>
            </w:r>
            <w:r w:rsidRPr="004724EB">
              <w:rPr>
                <w:rFonts w:asciiTheme="minorEastAsia" w:eastAsiaTheme="minorEastAsia" w:hAnsiTheme="minorEastAsia" w:cs="宋体" w:hint="eastAsia"/>
                <w:color w:val="333333"/>
                <w:sz w:val="24"/>
                <w:szCs w:val="24"/>
              </w:rPr>
              <w:t>北戴河区林业局</w:t>
            </w:r>
          </w:p>
        </w:tc>
        <w:tc>
          <w:tcPr>
            <w:tcW w:w="6019" w:type="dxa"/>
            <w:gridSpan w:val="2"/>
            <w:tcBorders>
              <w:top w:val="nil"/>
              <w:left w:val="nil"/>
              <w:bottom w:val="single" w:sz="4" w:space="0" w:color="auto"/>
              <w:right w:val="nil"/>
            </w:tcBorders>
          </w:tcPr>
          <w:p w:rsidR="00DE3883" w:rsidRPr="004724EB" w:rsidRDefault="00DE3883" w:rsidP="004724EB">
            <w:pPr>
              <w:spacing w:after="0"/>
              <w:ind w:firstLineChars="1050" w:firstLine="252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截止时间：2017年12月31日 </w:t>
            </w:r>
          </w:p>
        </w:tc>
      </w:tr>
      <w:tr w:rsidR="00DE3883" w:rsidRPr="004724EB" w:rsidTr="004724EB">
        <w:trPr>
          <w:trHeight w:val="110"/>
        </w:trPr>
        <w:tc>
          <w:tcPr>
            <w:tcW w:w="4012"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项 目 </w:t>
            </w:r>
          </w:p>
        </w:tc>
        <w:tc>
          <w:tcPr>
            <w:tcW w:w="4012" w:type="dxa"/>
            <w:gridSpan w:val="2"/>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数量 </w:t>
            </w:r>
          </w:p>
        </w:tc>
        <w:tc>
          <w:tcPr>
            <w:tcW w:w="4013"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价值（金额单位：万元） </w:t>
            </w:r>
          </w:p>
        </w:tc>
      </w:tr>
      <w:tr w:rsidR="00DE3883" w:rsidRPr="004724EB" w:rsidTr="004724EB">
        <w:trPr>
          <w:trHeight w:val="110"/>
        </w:trPr>
        <w:tc>
          <w:tcPr>
            <w:tcW w:w="4012"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资产总额 </w:t>
            </w:r>
          </w:p>
        </w:tc>
        <w:tc>
          <w:tcPr>
            <w:tcW w:w="4012" w:type="dxa"/>
            <w:gridSpan w:val="2"/>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 </w:t>
            </w:r>
          </w:p>
        </w:tc>
        <w:tc>
          <w:tcPr>
            <w:tcW w:w="4013" w:type="dxa"/>
            <w:tcBorders>
              <w:top w:val="single" w:sz="4" w:space="0" w:color="auto"/>
              <w:left w:val="single" w:sz="4" w:space="0" w:color="auto"/>
              <w:bottom w:val="single" w:sz="4" w:space="0" w:color="auto"/>
              <w:right w:val="single" w:sz="4" w:space="0" w:color="auto"/>
            </w:tcBorders>
          </w:tcPr>
          <w:p w:rsidR="00DE3883" w:rsidRPr="004724EB" w:rsidRDefault="00675582" w:rsidP="004724EB">
            <w:pPr>
              <w:spacing w:after="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611.45</w:t>
            </w:r>
          </w:p>
        </w:tc>
      </w:tr>
      <w:tr w:rsidR="00DE3883" w:rsidRPr="004724EB" w:rsidTr="004724EB">
        <w:trPr>
          <w:trHeight w:val="110"/>
        </w:trPr>
        <w:tc>
          <w:tcPr>
            <w:tcW w:w="4012"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1、房屋（平方米） </w:t>
            </w:r>
          </w:p>
        </w:tc>
        <w:tc>
          <w:tcPr>
            <w:tcW w:w="4012" w:type="dxa"/>
            <w:gridSpan w:val="2"/>
            <w:tcBorders>
              <w:top w:val="single" w:sz="4" w:space="0" w:color="auto"/>
              <w:left w:val="single" w:sz="4" w:space="0" w:color="auto"/>
              <w:bottom w:val="single" w:sz="4" w:space="0" w:color="auto"/>
              <w:right w:val="single" w:sz="4" w:space="0" w:color="auto"/>
            </w:tcBorders>
          </w:tcPr>
          <w:p w:rsidR="00DE3883" w:rsidRPr="004724EB" w:rsidRDefault="00675582" w:rsidP="004724EB">
            <w:pPr>
              <w:spacing w:after="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6</w:t>
            </w:r>
          </w:p>
        </w:tc>
        <w:tc>
          <w:tcPr>
            <w:tcW w:w="4013" w:type="dxa"/>
            <w:tcBorders>
              <w:top w:val="single" w:sz="4" w:space="0" w:color="auto"/>
              <w:left w:val="single" w:sz="4" w:space="0" w:color="auto"/>
              <w:bottom w:val="single" w:sz="4" w:space="0" w:color="auto"/>
              <w:right w:val="single" w:sz="4" w:space="0" w:color="auto"/>
            </w:tcBorders>
          </w:tcPr>
          <w:p w:rsidR="00DE3883" w:rsidRPr="004724EB" w:rsidRDefault="00675582" w:rsidP="004724EB">
            <w:pPr>
              <w:spacing w:after="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41.61</w:t>
            </w:r>
          </w:p>
        </w:tc>
      </w:tr>
      <w:tr w:rsidR="00DE3883" w:rsidRPr="004724EB" w:rsidTr="004724EB">
        <w:trPr>
          <w:trHeight w:val="110"/>
        </w:trPr>
        <w:tc>
          <w:tcPr>
            <w:tcW w:w="4012"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其中：办公用房（平方米） </w:t>
            </w:r>
          </w:p>
        </w:tc>
        <w:tc>
          <w:tcPr>
            <w:tcW w:w="4012" w:type="dxa"/>
            <w:gridSpan w:val="2"/>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0</w:t>
            </w:r>
          </w:p>
        </w:tc>
        <w:tc>
          <w:tcPr>
            <w:tcW w:w="4013"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0</w:t>
            </w:r>
          </w:p>
        </w:tc>
      </w:tr>
      <w:tr w:rsidR="00DE3883" w:rsidRPr="004724EB" w:rsidTr="004724EB">
        <w:trPr>
          <w:trHeight w:val="110"/>
        </w:trPr>
        <w:tc>
          <w:tcPr>
            <w:tcW w:w="4012"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2、车辆（台、辆） </w:t>
            </w:r>
          </w:p>
        </w:tc>
        <w:tc>
          <w:tcPr>
            <w:tcW w:w="4012" w:type="dxa"/>
            <w:gridSpan w:val="2"/>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1</w:t>
            </w:r>
            <w:r w:rsidR="00675582">
              <w:rPr>
                <w:rFonts w:asciiTheme="minorEastAsia" w:eastAsiaTheme="minorEastAsia" w:hAnsiTheme="minorEastAsia" w:cs="宋体" w:hint="eastAsia"/>
                <w:color w:val="000000"/>
                <w:sz w:val="24"/>
                <w:szCs w:val="24"/>
              </w:rPr>
              <w:t>8</w:t>
            </w:r>
          </w:p>
        </w:tc>
        <w:tc>
          <w:tcPr>
            <w:tcW w:w="4013" w:type="dxa"/>
            <w:tcBorders>
              <w:top w:val="single" w:sz="4" w:space="0" w:color="auto"/>
              <w:left w:val="single" w:sz="4" w:space="0" w:color="auto"/>
              <w:bottom w:val="single" w:sz="4" w:space="0" w:color="auto"/>
              <w:right w:val="single" w:sz="4" w:space="0" w:color="auto"/>
            </w:tcBorders>
          </w:tcPr>
          <w:p w:rsidR="00DE3883" w:rsidRPr="004724EB" w:rsidRDefault="00675582" w:rsidP="004724EB">
            <w:pPr>
              <w:spacing w:after="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265.42</w:t>
            </w:r>
          </w:p>
        </w:tc>
      </w:tr>
      <w:tr w:rsidR="00DE3883" w:rsidRPr="004724EB" w:rsidTr="004724EB">
        <w:trPr>
          <w:trHeight w:val="110"/>
        </w:trPr>
        <w:tc>
          <w:tcPr>
            <w:tcW w:w="4012"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3、单价在20万元以上的设备 </w:t>
            </w:r>
          </w:p>
        </w:tc>
        <w:tc>
          <w:tcPr>
            <w:tcW w:w="4012" w:type="dxa"/>
            <w:gridSpan w:val="2"/>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 </w:t>
            </w:r>
          </w:p>
        </w:tc>
        <w:tc>
          <w:tcPr>
            <w:tcW w:w="4013"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 </w:t>
            </w:r>
          </w:p>
        </w:tc>
      </w:tr>
      <w:tr w:rsidR="00DE3883" w:rsidRPr="004724EB" w:rsidTr="004724EB">
        <w:trPr>
          <w:trHeight w:val="110"/>
        </w:trPr>
        <w:tc>
          <w:tcPr>
            <w:tcW w:w="4012" w:type="dxa"/>
            <w:tcBorders>
              <w:top w:val="single" w:sz="4" w:space="0" w:color="auto"/>
              <w:left w:val="single" w:sz="4" w:space="0" w:color="auto"/>
              <w:bottom w:val="single" w:sz="4" w:space="0" w:color="auto"/>
              <w:right w:val="single" w:sz="4" w:space="0" w:color="auto"/>
            </w:tcBorders>
          </w:tcPr>
          <w:p w:rsidR="00DE3883" w:rsidRPr="004724EB" w:rsidRDefault="00DE3883" w:rsidP="004724EB">
            <w:pPr>
              <w:spacing w:after="0"/>
              <w:rPr>
                <w:rFonts w:asciiTheme="minorEastAsia" w:eastAsiaTheme="minorEastAsia" w:hAnsiTheme="minorEastAsia" w:cs="宋体"/>
                <w:color w:val="000000"/>
                <w:sz w:val="24"/>
                <w:szCs w:val="24"/>
              </w:rPr>
            </w:pPr>
            <w:r w:rsidRPr="004724EB">
              <w:rPr>
                <w:rFonts w:asciiTheme="minorEastAsia" w:eastAsiaTheme="minorEastAsia" w:hAnsiTheme="minorEastAsia" w:cs="宋体" w:hint="eastAsia"/>
                <w:color w:val="000000"/>
                <w:sz w:val="24"/>
                <w:szCs w:val="24"/>
              </w:rPr>
              <w:t xml:space="preserve">4、其他固定资产 </w:t>
            </w:r>
          </w:p>
        </w:tc>
        <w:tc>
          <w:tcPr>
            <w:tcW w:w="4012" w:type="dxa"/>
            <w:gridSpan w:val="2"/>
            <w:tcBorders>
              <w:top w:val="single" w:sz="4" w:space="0" w:color="auto"/>
              <w:left w:val="single" w:sz="4" w:space="0" w:color="auto"/>
              <w:bottom w:val="single" w:sz="4" w:space="0" w:color="auto"/>
              <w:right w:val="single" w:sz="4" w:space="0" w:color="auto"/>
            </w:tcBorders>
          </w:tcPr>
          <w:p w:rsidR="00DE3883" w:rsidRPr="004724EB" w:rsidRDefault="00675582" w:rsidP="004724EB">
            <w:pPr>
              <w:spacing w:after="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516</w:t>
            </w:r>
          </w:p>
        </w:tc>
        <w:tc>
          <w:tcPr>
            <w:tcW w:w="4013" w:type="dxa"/>
            <w:tcBorders>
              <w:top w:val="single" w:sz="4" w:space="0" w:color="auto"/>
              <w:left w:val="single" w:sz="4" w:space="0" w:color="auto"/>
              <w:bottom w:val="single" w:sz="4" w:space="0" w:color="auto"/>
              <w:right w:val="single" w:sz="4" w:space="0" w:color="auto"/>
            </w:tcBorders>
          </w:tcPr>
          <w:p w:rsidR="00DE3883" w:rsidRPr="004724EB" w:rsidRDefault="00675582" w:rsidP="004724EB">
            <w:pPr>
              <w:spacing w:after="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304.42</w:t>
            </w:r>
          </w:p>
        </w:tc>
      </w:tr>
    </w:tbl>
    <w:p w:rsidR="00DE3883" w:rsidRPr="00FA56C9" w:rsidRDefault="00DE3883" w:rsidP="004724EB">
      <w:pPr>
        <w:adjustRightInd/>
        <w:snapToGrid/>
        <w:spacing w:after="0" w:line="600" w:lineRule="exact"/>
        <w:ind w:left="300" w:firstLine="480"/>
        <w:rPr>
          <w:rFonts w:ascii="黑体" w:eastAsia="黑体" w:hAnsi="黑体" w:cs="仿宋"/>
          <w:b/>
          <w:color w:val="333333"/>
          <w:sz w:val="32"/>
          <w:szCs w:val="32"/>
        </w:rPr>
      </w:pPr>
      <w:r w:rsidRPr="00FA56C9">
        <w:rPr>
          <w:rFonts w:ascii="黑体" w:eastAsia="黑体" w:hAnsi="黑体" w:cs="仿宋" w:hint="eastAsia"/>
          <w:b/>
          <w:color w:val="333333"/>
          <w:sz w:val="32"/>
          <w:szCs w:val="32"/>
        </w:rPr>
        <w:t>八、名词解释</w:t>
      </w:r>
    </w:p>
    <w:p w:rsidR="00370E00" w:rsidRPr="003E227A" w:rsidRDefault="00370E00" w:rsidP="00370E00">
      <w:pPr>
        <w:spacing w:line="600" w:lineRule="exact"/>
        <w:ind w:left="300" w:firstLine="480"/>
        <w:rPr>
          <w:rFonts w:ascii="仿宋_GB2312" w:eastAsia="仿宋_GB2312" w:hAnsi="仿宋" w:cs="仿宋"/>
          <w:sz w:val="32"/>
          <w:szCs w:val="32"/>
        </w:rPr>
      </w:pPr>
      <w:r w:rsidRPr="003E227A">
        <w:rPr>
          <w:rFonts w:ascii="仿宋_GB2312" w:eastAsia="仿宋_GB2312" w:hAnsi="仿宋" w:cs="仿宋" w:hint="eastAsia"/>
          <w:sz w:val="32"/>
          <w:szCs w:val="32"/>
        </w:rPr>
        <w:t>1、一般公共预算拨款收入：指省级财政当年拨付的资金。</w:t>
      </w:r>
    </w:p>
    <w:p w:rsidR="00370E00" w:rsidRPr="003E227A" w:rsidRDefault="00370E00" w:rsidP="00370E00">
      <w:pPr>
        <w:spacing w:line="600" w:lineRule="exact"/>
        <w:ind w:left="300" w:firstLine="480"/>
        <w:rPr>
          <w:rFonts w:ascii="仿宋_GB2312" w:eastAsia="仿宋_GB2312" w:hAnsi="仿宋" w:cs="仿宋"/>
          <w:sz w:val="32"/>
          <w:szCs w:val="32"/>
        </w:rPr>
      </w:pPr>
      <w:r w:rsidRPr="003E227A">
        <w:rPr>
          <w:rFonts w:ascii="仿宋_GB2312" w:eastAsia="仿宋_GB2312" w:hAnsi="仿宋" w:cs="仿宋" w:hint="eastAsia"/>
          <w:sz w:val="32"/>
          <w:szCs w:val="32"/>
        </w:rPr>
        <w:t>2、事业收入：指事业单位开展专业业务活动及辅助活动所取得的收入。</w:t>
      </w:r>
    </w:p>
    <w:p w:rsidR="00370E00" w:rsidRPr="003E227A" w:rsidRDefault="00370E00" w:rsidP="00370E00">
      <w:pPr>
        <w:spacing w:line="600" w:lineRule="exact"/>
        <w:ind w:left="300" w:firstLine="480"/>
        <w:rPr>
          <w:rFonts w:ascii="仿宋_GB2312" w:eastAsia="仿宋_GB2312" w:hAnsi="仿宋" w:cs="仿宋"/>
          <w:sz w:val="32"/>
          <w:szCs w:val="32"/>
        </w:rPr>
      </w:pPr>
      <w:r w:rsidRPr="003E227A">
        <w:rPr>
          <w:rFonts w:ascii="仿宋_GB2312" w:eastAsia="仿宋_GB2312" w:hAnsi="仿宋" w:cs="仿宋" w:hint="eastAsia"/>
          <w:sz w:val="32"/>
          <w:szCs w:val="32"/>
        </w:rPr>
        <w:lastRenderedPageBreak/>
        <w:t>3、其他收入：指除“一般公共预算拨款收入”、“事业收入”等以外的收入。主要是按规定动用的租房收入、存款利息收入等。</w:t>
      </w:r>
    </w:p>
    <w:p w:rsidR="00370E00" w:rsidRPr="003E227A" w:rsidRDefault="00370E00" w:rsidP="00370E00">
      <w:pPr>
        <w:spacing w:line="600" w:lineRule="exact"/>
        <w:ind w:left="300" w:firstLine="480"/>
        <w:rPr>
          <w:rFonts w:ascii="仿宋_GB2312" w:eastAsia="仿宋_GB2312" w:hAnsi="仿宋" w:cs="仿宋"/>
          <w:sz w:val="32"/>
          <w:szCs w:val="32"/>
        </w:rPr>
      </w:pPr>
      <w:r w:rsidRPr="003E227A">
        <w:rPr>
          <w:rFonts w:ascii="仿宋_GB2312" w:eastAsia="仿宋_GB2312" w:hAnsi="仿宋" w:cs="仿宋" w:hint="eastAsia"/>
          <w:sz w:val="32"/>
          <w:szCs w:val="32"/>
        </w:rPr>
        <w:t>4、基本支出：指为保障机构正常运转、完成日常工作任务而发生的人员支出和公用支出。</w:t>
      </w:r>
    </w:p>
    <w:p w:rsidR="00370E00" w:rsidRPr="003E227A" w:rsidRDefault="00370E00" w:rsidP="00370E00">
      <w:pPr>
        <w:spacing w:line="600" w:lineRule="exact"/>
        <w:ind w:left="300" w:firstLine="480"/>
        <w:rPr>
          <w:rFonts w:ascii="仿宋_GB2312" w:eastAsia="仿宋_GB2312" w:hAnsi="仿宋" w:cs="仿宋"/>
          <w:sz w:val="32"/>
          <w:szCs w:val="32"/>
        </w:rPr>
      </w:pPr>
      <w:r w:rsidRPr="003E227A">
        <w:rPr>
          <w:rFonts w:ascii="仿宋_GB2312" w:eastAsia="仿宋_GB2312" w:hAnsi="仿宋" w:cs="仿宋" w:hint="eastAsia"/>
          <w:sz w:val="32"/>
          <w:szCs w:val="32"/>
        </w:rPr>
        <w:t>5、项目支出：指在基本支出之外为完成特定行政任务和事业发展目标所发生的支出。</w:t>
      </w:r>
    </w:p>
    <w:p w:rsidR="00370E00" w:rsidRPr="003E227A" w:rsidRDefault="00370E00" w:rsidP="00370E00">
      <w:pPr>
        <w:spacing w:line="600" w:lineRule="exact"/>
        <w:ind w:left="300" w:firstLine="480"/>
        <w:rPr>
          <w:rFonts w:ascii="仿宋_GB2312" w:eastAsia="仿宋_GB2312" w:hAnsi="仿宋" w:cs="仿宋"/>
          <w:sz w:val="32"/>
          <w:szCs w:val="32"/>
        </w:rPr>
      </w:pPr>
      <w:r w:rsidRPr="003E227A">
        <w:rPr>
          <w:rFonts w:ascii="仿宋_GB2312" w:eastAsia="仿宋_GB2312" w:hAnsi="仿宋" w:cs="仿宋" w:hint="eastAsia"/>
          <w:sz w:val="32"/>
          <w:szCs w:val="32"/>
        </w:rPr>
        <w:t>6、上缴上级支出：指下级单位上缴上级的支出。</w:t>
      </w:r>
    </w:p>
    <w:p w:rsidR="00370E00" w:rsidRPr="003E227A" w:rsidRDefault="00370E00" w:rsidP="00370E00">
      <w:pPr>
        <w:spacing w:line="600" w:lineRule="exact"/>
        <w:ind w:left="300" w:firstLine="480"/>
        <w:rPr>
          <w:rFonts w:ascii="仿宋_GB2312" w:eastAsia="仿宋_GB2312" w:hAnsi="仿宋" w:cs="仿宋"/>
          <w:sz w:val="32"/>
          <w:szCs w:val="32"/>
        </w:rPr>
      </w:pPr>
      <w:r w:rsidRPr="003E227A">
        <w:rPr>
          <w:rFonts w:ascii="仿宋_GB2312" w:eastAsia="仿宋_GB2312" w:hAnsi="仿宋" w:cs="仿宋" w:hint="eastAsia"/>
          <w:sz w:val="32"/>
          <w:szCs w:val="32"/>
        </w:rPr>
        <w:t>7、“三公”经费：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rsidR="00370E00" w:rsidRPr="003E227A" w:rsidRDefault="00370E00" w:rsidP="00370E00">
      <w:pPr>
        <w:spacing w:line="600" w:lineRule="exact"/>
        <w:ind w:left="300" w:firstLine="480"/>
        <w:rPr>
          <w:rFonts w:ascii="仿宋_GB2312" w:eastAsia="仿宋_GB2312" w:hAnsi="仿宋" w:cs="仿宋"/>
          <w:sz w:val="32"/>
          <w:szCs w:val="32"/>
        </w:rPr>
      </w:pPr>
      <w:r w:rsidRPr="003E227A">
        <w:rPr>
          <w:rFonts w:ascii="仿宋_GB2312" w:eastAsia="仿宋_GB2312" w:hAnsi="仿宋" w:cs="仿宋" w:hint="eastAsia"/>
          <w:sz w:val="32"/>
          <w:szCs w:val="32"/>
        </w:rPr>
        <w:lastRenderedPageBreak/>
        <w:t>8、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rsidR="00370E00" w:rsidRPr="003E227A" w:rsidRDefault="00370E00" w:rsidP="00370E00">
      <w:pPr>
        <w:spacing w:line="600" w:lineRule="exact"/>
        <w:ind w:left="300" w:firstLine="480"/>
        <w:rPr>
          <w:rFonts w:ascii="仿宋_GB2312" w:eastAsia="仿宋_GB2312" w:hAnsi="仿宋" w:cs="仿宋"/>
          <w:sz w:val="32"/>
          <w:szCs w:val="32"/>
        </w:rPr>
      </w:pPr>
      <w:r w:rsidRPr="003E227A">
        <w:rPr>
          <w:rFonts w:ascii="仿宋_GB2312" w:eastAsia="仿宋_GB2312" w:hAnsi="仿宋" w:cs="仿宋" w:hint="eastAsia"/>
          <w:sz w:val="32"/>
          <w:szCs w:val="32"/>
        </w:rPr>
        <w:t>9、上年结转：指以前年度尚未完成、结转到本年仍按原规定用途继续使用的资金。</w:t>
      </w:r>
    </w:p>
    <w:p w:rsidR="00DE3883" w:rsidRPr="00370E00" w:rsidRDefault="00370E00" w:rsidP="00370E00">
      <w:pPr>
        <w:ind w:firstLineChars="200" w:firstLine="640"/>
      </w:pPr>
      <w:r w:rsidRPr="003E227A">
        <w:rPr>
          <w:rFonts w:ascii="仿宋_GB2312" w:eastAsia="仿宋_GB2312" w:hAnsi="仿宋" w:cs="仿宋" w:hint="eastAsia"/>
          <w:sz w:val="32"/>
          <w:szCs w:val="32"/>
        </w:rPr>
        <w:t>10、事业单位经营支出：指事业单位在专业业务活动及其辅助活动之外开展非独立核算经营活动发生的支出。</w:t>
      </w:r>
    </w:p>
    <w:p w:rsidR="00DE3883" w:rsidRPr="00FA56C9" w:rsidRDefault="00DE3883" w:rsidP="004724EB">
      <w:pPr>
        <w:adjustRightInd/>
        <w:snapToGrid/>
        <w:spacing w:after="0" w:line="600" w:lineRule="exact"/>
        <w:ind w:left="300" w:firstLine="480"/>
        <w:rPr>
          <w:rFonts w:ascii="黑体" w:eastAsia="黑体" w:hAnsi="黑体" w:cs="仿宋"/>
          <w:b/>
          <w:color w:val="333333"/>
          <w:sz w:val="32"/>
          <w:szCs w:val="32"/>
        </w:rPr>
      </w:pPr>
      <w:r w:rsidRPr="00FA56C9">
        <w:rPr>
          <w:rFonts w:ascii="黑体" w:eastAsia="黑体" w:hAnsi="黑体" w:cs="仿宋" w:hint="eastAsia"/>
          <w:b/>
          <w:color w:val="333333"/>
          <w:sz w:val="32"/>
          <w:szCs w:val="32"/>
        </w:rPr>
        <w:t>九、其他需说明的事项</w:t>
      </w:r>
    </w:p>
    <w:p w:rsidR="00DE3883" w:rsidRPr="004724EB" w:rsidRDefault="00DE3883" w:rsidP="00FA56C9">
      <w:pPr>
        <w:adjustRightInd/>
        <w:snapToGrid/>
        <w:spacing w:after="0" w:line="600" w:lineRule="exact"/>
        <w:ind w:left="300" w:firstLine="480"/>
        <w:rPr>
          <w:rFonts w:ascii="仿宋_GB2312" w:eastAsia="仿宋_GB2312" w:hAnsi="仿宋" w:cs="仿宋"/>
          <w:color w:val="333333"/>
          <w:sz w:val="32"/>
          <w:szCs w:val="32"/>
        </w:rPr>
      </w:pPr>
      <w:r w:rsidRPr="004724EB">
        <w:rPr>
          <w:rFonts w:ascii="仿宋_GB2312" w:eastAsia="仿宋_GB2312" w:hAnsi="仿宋" w:cs="仿宋" w:hint="eastAsia"/>
          <w:color w:val="333333"/>
          <w:sz w:val="32"/>
          <w:szCs w:val="32"/>
        </w:rPr>
        <w:t>无其他需说明的事项。</w:t>
      </w:r>
    </w:p>
    <w:sectPr w:rsidR="00DE3883" w:rsidRPr="004724EB" w:rsidSect="00B2369B">
      <w:headerReference w:type="default" r:id="rId7"/>
      <w:pgSz w:w="16838" w:h="11906" w:orient="landscape"/>
      <w:pgMar w:top="1797" w:right="1440" w:bottom="1797"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CCC" w:rsidRDefault="00173CCC" w:rsidP="00B2369B">
      <w:pPr>
        <w:spacing w:after="0"/>
      </w:pPr>
      <w:r>
        <w:separator/>
      </w:r>
    </w:p>
  </w:endnote>
  <w:endnote w:type="continuationSeparator" w:id="1">
    <w:p w:rsidR="00173CCC" w:rsidRDefault="00173CCC" w:rsidP="00B2369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宋体"/>
    <w:charset w:val="86"/>
    <w:family w:val="roman"/>
    <w:pitch w:val="default"/>
    <w:sig w:usb0="00000000" w:usb1="00000000" w:usb2="00000000" w:usb3="00000000" w:csb0="00040001" w:csb1="00000000"/>
  </w:font>
  <w:font w:name="方正小标宋_GBK">
    <w:altName w:val="宋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CCC" w:rsidRDefault="00173CCC" w:rsidP="00B2369B">
      <w:pPr>
        <w:spacing w:after="0"/>
      </w:pPr>
      <w:r>
        <w:separator/>
      </w:r>
    </w:p>
  </w:footnote>
  <w:footnote w:type="continuationSeparator" w:id="1">
    <w:p w:rsidR="00173CCC" w:rsidRDefault="00173CCC" w:rsidP="00B2369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10A" w:rsidRDefault="0067110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050580"/>
    <w:multiLevelType w:val="singleLevel"/>
    <w:tmpl w:val="AD050580"/>
    <w:lvl w:ilvl="0">
      <w:start w:val="16"/>
      <w:numFmt w:val="decimal"/>
      <w:suff w:val="nothing"/>
      <w:lvlText w:val="（%1）"/>
      <w:lvlJc w:val="left"/>
      <w:rPr>
        <w:rFonts w:cs="Times New Roman"/>
      </w:rPr>
    </w:lvl>
  </w:abstractNum>
  <w:abstractNum w:abstractNumId="1">
    <w:nsid w:val="4DB1323D"/>
    <w:multiLevelType w:val="hybridMultilevel"/>
    <w:tmpl w:val="5740BD12"/>
    <w:lvl w:ilvl="0" w:tplc="ACC8FBB8">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720"/>
  <w:characterSpacingControl w:val="doNotCompress"/>
  <w:noLineBreaksAfter w:lang="zh-CN" w:val="$([{£¥·‘“〈《「『【〔〖〝﹙﹛﹝＄（．［｛￡￥"/>
  <w:noLineBreaksBefore w:lang="zh-CN" w:val="!%),.:;&gt;?]}¢¨°·ˇˉ―‖’”…‰′″›℃∶、。〃〉》」』】〕〗〞︶︺︾﹀﹄﹚﹜﹞！＂％＇），．：；？］｀｜｝～￠"/>
  <w:hdrShapeDefaults>
    <o:shapedefaults v:ext="edit" spidmax="2150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2017C"/>
    <w:rsid w:val="0006547B"/>
    <w:rsid w:val="000A2792"/>
    <w:rsid w:val="000C0EE1"/>
    <w:rsid w:val="001218E4"/>
    <w:rsid w:val="0012249C"/>
    <w:rsid w:val="001416DC"/>
    <w:rsid w:val="00173CCC"/>
    <w:rsid w:val="001C3F5E"/>
    <w:rsid w:val="001D121D"/>
    <w:rsid w:val="001D76BE"/>
    <w:rsid w:val="001F7A59"/>
    <w:rsid w:val="002925DB"/>
    <w:rsid w:val="00323B43"/>
    <w:rsid w:val="00370E00"/>
    <w:rsid w:val="00391721"/>
    <w:rsid w:val="0039401F"/>
    <w:rsid w:val="003D37D8"/>
    <w:rsid w:val="00405D44"/>
    <w:rsid w:val="00422B45"/>
    <w:rsid w:val="00426133"/>
    <w:rsid w:val="004358AB"/>
    <w:rsid w:val="00453944"/>
    <w:rsid w:val="00462B06"/>
    <w:rsid w:val="004724EB"/>
    <w:rsid w:val="00486752"/>
    <w:rsid w:val="0048761D"/>
    <w:rsid w:val="004D7881"/>
    <w:rsid w:val="00527E1A"/>
    <w:rsid w:val="00530E6E"/>
    <w:rsid w:val="00533D04"/>
    <w:rsid w:val="00573664"/>
    <w:rsid w:val="005966C6"/>
    <w:rsid w:val="005C768F"/>
    <w:rsid w:val="005F1B54"/>
    <w:rsid w:val="00606B35"/>
    <w:rsid w:val="00610728"/>
    <w:rsid w:val="006121DF"/>
    <w:rsid w:val="006341F0"/>
    <w:rsid w:val="0064621D"/>
    <w:rsid w:val="00657653"/>
    <w:rsid w:val="0067110A"/>
    <w:rsid w:val="00675582"/>
    <w:rsid w:val="006C2156"/>
    <w:rsid w:val="006D1FBA"/>
    <w:rsid w:val="00714250"/>
    <w:rsid w:val="0073360C"/>
    <w:rsid w:val="00753720"/>
    <w:rsid w:val="007B7E65"/>
    <w:rsid w:val="007D3A08"/>
    <w:rsid w:val="007E064B"/>
    <w:rsid w:val="0082525E"/>
    <w:rsid w:val="0084490B"/>
    <w:rsid w:val="0087294A"/>
    <w:rsid w:val="008A23D7"/>
    <w:rsid w:val="008B7726"/>
    <w:rsid w:val="008D2064"/>
    <w:rsid w:val="008F7C35"/>
    <w:rsid w:val="00932BC5"/>
    <w:rsid w:val="00940AD8"/>
    <w:rsid w:val="00995D1E"/>
    <w:rsid w:val="009E6407"/>
    <w:rsid w:val="00A0057D"/>
    <w:rsid w:val="00A228D5"/>
    <w:rsid w:val="00A256D9"/>
    <w:rsid w:val="00AD0656"/>
    <w:rsid w:val="00AE5D49"/>
    <w:rsid w:val="00B22BA8"/>
    <w:rsid w:val="00B22FD8"/>
    <w:rsid w:val="00B2369B"/>
    <w:rsid w:val="00B30F2E"/>
    <w:rsid w:val="00C031F7"/>
    <w:rsid w:val="00C07656"/>
    <w:rsid w:val="00C1530D"/>
    <w:rsid w:val="00C323AF"/>
    <w:rsid w:val="00C54A94"/>
    <w:rsid w:val="00C60348"/>
    <w:rsid w:val="00C7444A"/>
    <w:rsid w:val="00C913CA"/>
    <w:rsid w:val="00C925C7"/>
    <w:rsid w:val="00D037E2"/>
    <w:rsid w:val="00D10F90"/>
    <w:rsid w:val="00D1208C"/>
    <w:rsid w:val="00D31D50"/>
    <w:rsid w:val="00D43EBF"/>
    <w:rsid w:val="00D83955"/>
    <w:rsid w:val="00DB2D94"/>
    <w:rsid w:val="00DE3883"/>
    <w:rsid w:val="00E03632"/>
    <w:rsid w:val="00E655A2"/>
    <w:rsid w:val="00EF00BE"/>
    <w:rsid w:val="00EF52EC"/>
    <w:rsid w:val="00F052B8"/>
    <w:rsid w:val="00F632D9"/>
    <w:rsid w:val="00F64CF8"/>
    <w:rsid w:val="00F953BD"/>
    <w:rsid w:val="00FA120B"/>
    <w:rsid w:val="00FA5361"/>
    <w:rsid w:val="00FA56C9"/>
    <w:rsid w:val="00FE0256"/>
    <w:rsid w:val="19FC1412"/>
    <w:rsid w:val="2ADD0D87"/>
    <w:rsid w:val="319D3524"/>
    <w:rsid w:val="3CD479C3"/>
    <w:rsid w:val="417271D5"/>
    <w:rsid w:val="582A523C"/>
    <w:rsid w:val="5D2570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69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69B"/>
    <w:pPr>
      <w:tabs>
        <w:tab w:val="center" w:pos="4153"/>
        <w:tab w:val="right" w:pos="8306"/>
      </w:tabs>
    </w:pPr>
    <w:rPr>
      <w:sz w:val="18"/>
      <w:szCs w:val="18"/>
    </w:rPr>
  </w:style>
  <w:style w:type="character" w:customStyle="1" w:styleId="Char">
    <w:name w:val="页脚 Char"/>
    <w:basedOn w:val="a0"/>
    <w:link w:val="a3"/>
    <w:uiPriority w:val="99"/>
    <w:semiHidden/>
    <w:locked/>
    <w:rsid w:val="00B2369B"/>
    <w:rPr>
      <w:rFonts w:ascii="Tahoma" w:hAnsi="Tahoma" w:cs="Times New Roman"/>
      <w:kern w:val="0"/>
      <w:sz w:val="18"/>
      <w:szCs w:val="18"/>
    </w:rPr>
  </w:style>
  <w:style w:type="paragraph" w:styleId="a4">
    <w:name w:val="header"/>
    <w:basedOn w:val="a"/>
    <w:link w:val="Char0"/>
    <w:uiPriority w:val="99"/>
    <w:rsid w:val="00B2369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locked/>
    <w:rsid w:val="00B2369B"/>
    <w:rPr>
      <w:rFonts w:ascii="Tahoma" w:hAnsi="Tahoma" w:cs="Times New Roman"/>
      <w:kern w:val="0"/>
      <w:sz w:val="18"/>
      <w:szCs w:val="18"/>
    </w:rPr>
  </w:style>
  <w:style w:type="paragraph" w:styleId="a5">
    <w:name w:val="Normal (Web)"/>
    <w:basedOn w:val="a"/>
    <w:uiPriority w:val="99"/>
    <w:semiHidden/>
    <w:rsid w:val="00B2369B"/>
    <w:pPr>
      <w:adjustRightInd/>
      <w:snapToGrid/>
      <w:spacing w:before="100" w:beforeAutospacing="1" w:after="100" w:afterAutospacing="1"/>
    </w:pPr>
    <w:rPr>
      <w:rFonts w:ascii="宋体" w:eastAsia="宋体" w:hAnsi="宋体" w:cs="宋体"/>
      <w:sz w:val="24"/>
      <w:szCs w:val="24"/>
    </w:rPr>
  </w:style>
  <w:style w:type="character" w:styleId="a6">
    <w:name w:val="Hyperlink"/>
    <w:basedOn w:val="a0"/>
    <w:uiPriority w:val="99"/>
    <w:semiHidden/>
    <w:rsid w:val="00B2369B"/>
    <w:rPr>
      <w:rFonts w:cs="Times New Roman"/>
      <w:color w:val="0000FF"/>
      <w:u w:val="single"/>
    </w:rPr>
  </w:style>
  <w:style w:type="paragraph" w:styleId="a7">
    <w:name w:val="annotation text"/>
    <w:basedOn w:val="a"/>
    <w:link w:val="Char1"/>
    <w:rsid w:val="00610728"/>
    <w:pPr>
      <w:widowControl w:val="0"/>
      <w:adjustRightInd/>
      <w:snapToGrid/>
      <w:spacing w:after="0"/>
    </w:pPr>
    <w:rPr>
      <w:rFonts w:ascii="Times New Roman" w:eastAsia="宋体" w:hAnsi="Times New Roman"/>
      <w:kern w:val="2"/>
      <w:sz w:val="21"/>
      <w:szCs w:val="24"/>
    </w:rPr>
  </w:style>
  <w:style w:type="character" w:customStyle="1" w:styleId="Char1">
    <w:name w:val="批注文字 Char"/>
    <w:basedOn w:val="a0"/>
    <w:link w:val="a7"/>
    <w:rsid w:val="00610728"/>
    <w:rPr>
      <w:rFonts w:ascii="Times New Roman" w:eastAsia="宋体"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689994709">
      <w:bodyDiv w:val="1"/>
      <w:marLeft w:val="0"/>
      <w:marRight w:val="0"/>
      <w:marTop w:val="0"/>
      <w:marBottom w:val="0"/>
      <w:divBdr>
        <w:top w:val="none" w:sz="0" w:space="0" w:color="auto"/>
        <w:left w:val="none" w:sz="0" w:space="0" w:color="auto"/>
        <w:bottom w:val="none" w:sz="0" w:space="0" w:color="auto"/>
        <w:right w:val="none" w:sz="0" w:space="0" w:color="auto"/>
      </w:divBdr>
    </w:div>
    <w:div w:id="85068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35</Pages>
  <Words>2108</Words>
  <Characters>12018</Characters>
  <Application>Microsoft Office Word</Application>
  <DocSecurity>0</DocSecurity>
  <Lines>100</Lines>
  <Paragraphs>28</Paragraphs>
  <ScaleCrop>false</ScaleCrop>
  <Company/>
  <LinksUpToDate>false</LinksUpToDate>
  <CharactersWithSpaces>14098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预算编审中心</cp:lastModifiedBy>
  <cp:revision>35</cp:revision>
  <dcterms:created xsi:type="dcterms:W3CDTF">2008-09-11T17:20:00Z</dcterms:created>
  <dcterms:modified xsi:type="dcterms:W3CDTF">2021-05-14T05:54:00Z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