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4AD" w:rsidRPr="00951FDB" w:rsidRDefault="00DC64AD" w:rsidP="00951FDB">
      <w:pPr>
        <w:widowControl/>
        <w:spacing w:line="600" w:lineRule="exact"/>
        <w:jc w:val="center"/>
        <w:rPr>
          <w:rFonts w:asciiTheme="majorEastAsia" w:eastAsiaTheme="majorEastAsia" w:hAnsiTheme="majorEastAsia" w:cs="宋体"/>
          <w:color w:val="000000" w:themeColor="text1"/>
          <w:kern w:val="0"/>
          <w:sz w:val="44"/>
          <w:szCs w:val="44"/>
        </w:rPr>
      </w:pPr>
      <w:r w:rsidRPr="00951FDB">
        <w:rPr>
          <w:rFonts w:asciiTheme="majorEastAsia" w:eastAsiaTheme="majorEastAsia" w:hAnsiTheme="majorEastAsia" w:cs="宋体" w:hint="eastAsia"/>
          <w:color w:val="000000" w:themeColor="text1"/>
          <w:kern w:val="0"/>
          <w:sz w:val="44"/>
          <w:szCs w:val="44"/>
        </w:rPr>
        <w:t>秦皇岛市北戴河区统计局2019年部门预算</w:t>
      </w:r>
    </w:p>
    <w:p w:rsidR="00951FDB" w:rsidRDefault="00DC64AD" w:rsidP="0080464C">
      <w:pPr>
        <w:spacing w:line="600" w:lineRule="exact"/>
        <w:ind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按照《预算法》、《河北省预决算公开操作规程实施细则》和《秦皇岛市市级预算公开办法》规定，现将北戴河区统计局2019年部门预算公开如下：</w:t>
      </w:r>
    </w:p>
    <w:p w:rsidR="00951FDB" w:rsidRPr="00951FDB" w:rsidRDefault="00DC64AD" w:rsidP="00951FDB">
      <w:pPr>
        <w:spacing w:line="600" w:lineRule="exact"/>
        <w:ind w:leftChars="-7" w:left="-15" w:firstLineChars="200" w:firstLine="640"/>
        <w:rPr>
          <w:rFonts w:ascii="黑体" w:eastAsia="黑体" w:hAnsi="黑体"/>
          <w:color w:val="000000" w:themeColor="text1"/>
          <w:sz w:val="32"/>
          <w:szCs w:val="32"/>
        </w:rPr>
      </w:pPr>
      <w:r w:rsidRPr="00951FDB">
        <w:rPr>
          <w:rFonts w:ascii="黑体" w:eastAsia="黑体" w:hAnsi="黑体" w:cs="宋体" w:hint="eastAsia"/>
          <w:color w:val="000000" w:themeColor="text1"/>
          <w:kern w:val="0"/>
          <w:sz w:val="32"/>
          <w:szCs w:val="32"/>
        </w:rPr>
        <w:t>一、部门职责、机构设置情况</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部门职责：</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(一)承担组织领导和协调管理全区统计工作，确保统计数据真实、准确、及时。</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(二)依照国家、省和市颁布的法律、法规、政策和制度,监督、检查全区统计法律、 法规、 政策和制度的实施。</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(三)组织完成国家、省、市部署的国情国力普查及重要调查任务，研究提出重大区情区力普查和抽样调查计划并组织实施，汇总、整理和提供有关区情区力方面的统计数据。</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四)组织实施农林牧渔业、工业、能源、社会、人口、工资、科技、城镇劳动力、建筑业、固定资产投资、房地产开发、高新技术产业、批发和零售业、住宿和餐饮业、运输邮电业、其他服务业、服务业个体户、对外经济和旅游、民营经济、成品油流通、本区社会经济基本情况、乡村社会经济、企业(集团)、农村住户、经济社会重点问题等统计调查，收集、汇总、整理和提供统计数据。</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(五)组织实施社会发展水平、区域经济发展、节能降耗、干部考核、城镇化发展、全面小康及农村小康建设进程、农村贫困状况、妇女儿童发展等统计监测，参与收集、整理和提供统计数据。</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lastRenderedPageBreak/>
        <w:t>(六)综合整理和提供财政、金融、税收、文化教育、卫生、社会保障、公用事业、房屋、对外贸易、对内经济技术合作及引进内资等基本统计数据。</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(七)组织全区经济、社会、科技统计调查，统一核定、管理、公布全区性基本统计资料，定期发布全区国民经济和社会发展情况的统计信息，组织建立统计信息共享制度和发布制度。</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(八)对国民经济、社会发展、科技进步等情况进行统计分析、统计预测和统计监督，向区委、区政府及有关部门提供统计信息和咨询建议。</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(九)指导专业统计基础工作、统计基层业务和规范化建设；组织统计信息规范性管理，建立健全统计数据质量审核、监控和评估制度，开展对重要统计数据的审核、监控和评估。</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(十)指导全区统计信息化系统建设。贯彻执行省、市统计信息库和网络的基本标准和运行规则；管理和维护全区统计信息网络。</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（十一）指导全区统计专业技术队伍建设，配合市统计局组织管理统计从业资格认定和持证上岗工作，协助有关部门组织管理统计专业技术资格考试、职务评聘工作。</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(十二)承办区政府交办的其他事项。</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机构设置：</w:t>
      </w:r>
    </w:p>
    <w:p w:rsidR="00DC64AD" w:rsidRPr="00951FDB" w:rsidRDefault="00DC64AD" w:rsidP="00951FDB">
      <w:pPr>
        <w:spacing w:line="600" w:lineRule="exact"/>
        <w:ind w:leftChars="-7" w:left="-15" w:firstLineChars="200" w:firstLine="640"/>
        <w:rPr>
          <w:rFonts w:ascii="仿宋_GB2312" w:eastAsia="仿宋_GB2312" w:hAnsi="仿宋"/>
          <w:color w:val="000000" w:themeColor="text1"/>
          <w:sz w:val="32"/>
          <w:szCs w:val="32"/>
        </w:rPr>
      </w:pPr>
      <w:r w:rsidRPr="00951FDB">
        <w:rPr>
          <w:rFonts w:ascii="仿宋_GB2312" w:eastAsia="仿宋_GB2312" w:hAnsi="仿宋" w:hint="eastAsia"/>
          <w:color w:val="000000" w:themeColor="text1"/>
          <w:sz w:val="32"/>
          <w:szCs w:val="32"/>
        </w:rPr>
        <w:t>纳入秦皇岛市北戴河区统计局2019年度部门预算编制范围的独立核算单位共1个，单位名称为秦皇岛市北戴河区统计局，单位性质为行政机构。内设机构2个：办公室、综合股。纳入北戴河区统计</w:t>
      </w:r>
      <w:r w:rsidRPr="00951FDB">
        <w:rPr>
          <w:rFonts w:ascii="仿宋_GB2312" w:eastAsia="仿宋_GB2312" w:hAnsi="仿宋" w:hint="eastAsia"/>
          <w:color w:val="000000" w:themeColor="text1"/>
          <w:sz w:val="32"/>
          <w:szCs w:val="32"/>
        </w:rPr>
        <w:lastRenderedPageBreak/>
        <w:t>局2019年度部门预算编制范围的二级预算单位包括：秦皇岛市北戴河区统计局机关、秦皇岛市北戴河区普查中心、北戴河区调查队。</w:t>
      </w:r>
    </w:p>
    <w:p w:rsidR="00DC64AD" w:rsidRPr="00951FDB" w:rsidRDefault="00DC64AD" w:rsidP="00A44B84">
      <w:pPr>
        <w:widowControl/>
        <w:spacing w:line="600" w:lineRule="exact"/>
        <w:ind w:firstLineChars="200" w:firstLine="640"/>
        <w:jc w:val="left"/>
        <w:rPr>
          <w:rFonts w:ascii="黑体" w:eastAsia="黑体" w:hAnsi="黑体" w:cs="宋体"/>
          <w:color w:val="000000" w:themeColor="text1"/>
          <w:kern w:val="0"/>
          <w:sz w:val="32"/>
          <w:szCs w:val="32"/>
        </w:rPr>
      </w:pPr>
      <w:r w:rsidRPr="00951FDB">
        <w:rPr>
          <w:rFonts w:ascii="黑体" w:eastAsia="黑体" w:hAnsi="黑体" w:cs="宋体" w:hint="eastAsia"/>
          <w:color w:val="000000" w:themeColor="text1"/>
          <w:kern w:val="0"/>
          <w:sz w:val="32"/>
          <w:szCs w:val="32"/>
        </w:rPr>
        <w:t>二、部门预算安排的总体情况</w:t>
      </w:r>
    </w:p>
    <w:p w:rsidR="00DC64AD" w:rsidRPr="00951FDB" w:rsidRDefault="00DC64AD" w:rsidP="00A44B84">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按照预算管理有关规定，目前我区部门预算的编制实行综合预算管理，即全部收入和支出都反映在预算中。秦皇岛市北戴河区统计局的收支都包含在部门预算中。</w:t>
      </w:r>
    </w:p>
    <w:p w:rsidR="00DC64AD" w:rsidRPr="00951FDB" w:rsidRDefault="00DC64AD" w:rsidP="00A44B84">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1、收入说明</w:t>
      </w:r>
    </w:p>
    <w:p w:rsidR="00DC64AD" w:rsidRPr="00951FDB" w:rsidRDefault="00DC64AD" w:rsidP="00A44B84">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反映本部门当年全部收入。2019年度预算收入365.92万元，其中：一般公共预算收入365.92万元，事业收入0万元，其他收入0万元。</w:t>
      </w:r>
    </w:p>
    <w:p w:rsidR="00951FDB" w:rsidRDefault="00DC64AD" w:rsidP="00A44B84">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2、支出说明</w:t>
      </w:r>
    </w:p>
    <w:p w:rsidR="00DC64AD" w:rsidRPr="00951FDB" w:rsidRDefault="00DC64AD" w:rsidP="00A44B84">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收支预算总表支出栏、基本支出表、项目支出表按经济分类和支出功能分类科目编制，反映年度部门预算中支出预算的总体情况。2019年度预算总体安排365.92万元，其中基本支出298.33万元，包括人员经费271.8万和日常公用经费26.53万元，项目支出67.59万元。项目支出：（1）人事代理经费10.13万元；(2)统计抽样调查12.46万元；(3) 经济普查41.5万元；（4）统计专网建设3.5万元。</w:t>
      </w:r>
    </w:p>
    <w:p w:rsidR="00DC64AD" w:rsidRPr="00951FDB" w:rsidRDefault="00DC64AD" w:rsidP="00A44B84">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3、比上年增减情况</w:t>
      </w:r>
    </w:p>
    <w:p w:rsidR="00DC64AD" w:rsidRPr="00951FDB" w:rsidRDefault="00DC64AD" w:rsidP="00A44B84">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lastRenderedPageBreak/>
        <w:t>2019年度预算总体安排365.92万元，较2018年预算353.01万元增加12.91万元，其中基本支出增加11.42万元，主要原因为增加人员经费支出；项目支出增加1.49万元，主要原因是人事代理经费由基本支出调整为项目支出，压减2019年项目经费。</w:t>
      </w:r>
    </w:p>
    <w:p w:rsidR="00DC64AD" w:rsidRPr="00951FDB" w:rsidRDefault="00DC64AD" w:rsidP="00A44B84">
      <w:pPr>
        <w:widowControl/>
        <w:spacing w:line="600" w:lineRule="exact"/>
        <w:ind w:firstLineChars="200" w:firstLine="640"/>
        <w:jc w:val="left"/>
        <w:rPr>
          <w:rFonts w:ascii="黑体" w:eastAsia="黑体" w:hAnsi="黑体" w:cs="宋体"/>
          <w:color w:val="000000" w:themeColor="text1"/>
          <w:kern w:val="0"/>
          <w:sz w:val="32"/>
          <w:szCs w:val="32"/>
        </w:rPr>
      </w:pPr>
      <w:r w:rsidRPr="00951FDB">
        <w:rPr>
          <w:rFonts w:ascii="黑体" w:eastAsia="黑体" w:hAnsi="黑体" w:cs="宋体" w:hint="eastAsia"/>
          <w:color w:val="000000" w:themeColor="text1"/>
          <w:kern w:val="0"/>
          <w:sz w:val="32"/>
          <w:szCs w:val="32"/>
        </w:rPr>
        <w:t>三、机关运行经费支安排情况</w:t>
      </w:r>
    </w:p>
    <w:p w:rsidR="00DC64AD" w:rsidRP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2019年秦皇岛市北戴河区统计局机关运行经费支出26.53万元，主要用于保证机关正常与转的办公及印刷费、邮电费、差旅费、会议费、福利费、专用材料及一般设备购置费、日常维修费、公务用车运行维护费等支出。其中办公</w:t>
      </w:r>
      <w:r w:rsidR="00D9360A">
        <w:rPr>
          <w:rFonts w:ascii="仿宋_GB2312" w:eastAsia="仿宋_GB2312" w:hAnsi="仿宋" w:cs="仿宋" w:hint="eastAsia"/>
          <w:color w:val="000000" w:themeColor="text1"/>
          <w:kern w:val="0"/>
          <w:sz w:val="32"/>
          <w:szCs w:val="32"/>
        </w:rPr>
        <w:t>费</w:t>
      </w:r>
      <w:r w:rsidRPr="00951FDB">
        <w:rPr>
          <w:rFonts w:ascii="仿宋_GB2312" w:eastAsia="仿宋_GB2312" w:hAnsi="仿宋" w:cs="仿宋" w:hint="eastAsia"/>
          <w:color w:val="000000" w:themeColor="text1"/>
          <w:kern w:val="0"/>
          <w:sz w:val="32"/>
          <w:szCs w:val="32"/>
        </w:rPr>
        <w:t>6.2万元、邮电费5.34万元、差旅费1万元、公务用车运行维护费2.5万元、离退休干部经费0.54万元、公务交通补贴6.06万元、培训费1.56万元、工会经费2.08万元、福利费1.25万元。</w:t>
      </w:r>
    </w:p>
    <w:p w:rsidR="00DC64AD" w:rsidRPr="00951FDB" w:rsidRDefault="00DC64AD" w:rsidP="00386D2C">
      <w:pPr>
        <w:widowControl/>
        <w:spacing w:line="600" w:lineRule="exact"/>
        <w:ind w:firstLineChars="200" w:firstLine="640"/>
        <w:jc w:val="left"/>
        <w:rPr>
          <w:rFonts w:ascii="黑体" w:eastAsia="黑体" w:hAnsi="黑体" w:cs="宋体"/>
          <w:color w:val="000000" w:themeColor="text1"/>
          <w:kern w:val="0"/>
          <w:sz w:val="32"/>
          <w:szCs w:val="32"/>
        </w:rPr>
      </w:pPr>
      <w:r w:rsidRPr="00951FDB">
        <w:rPr>
          <w:rFonts w:ascii="黑体" w:eastAsia="黑体" w:hAnsi="黑体" w:cs="宋体" w:hint="eastAsia"/>
          <w:color w:val="000000" w:themeColor="text1"/>
          <w:kern w:val="0"/>
          <w:sz w:val="32"/>
          <w:szCs w:val="32"/>
        </w:rPr>
        <w:t>四、财政拨款“三公”经费预算情况及增减变化情况</w:t>
      </w:r>
    </w:p>
    <w:p w:rsidR="00DC64AD" w:rsidRP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秦皇岛市北戴河区统计局2019年度“三公”经费财政拨款支出预算为2.5万元，其中：因公出国费我单位未安排此项支出；公务用车购置及运行费2.5万元（其中：公务用车购置费0万元，公务用车运行费2.5万元）；公务接待费我单位未安排此项支出。“三公”经费与上年持平，无增减变化。</w:t>
      </w:r>
    </w:p>
    <w:p w:rsid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秦皇岛市北戴河区统计局2019年度“三公”经费预算支出与上年持平的主要原因：一是严格落实党政机关厉行节约、反对浪费条例规定，加强支出管理，强化预算约束，节约了经费开支；二是贯彻落实公务用车制度改革精神，尽量压缩公务用车运行维护费。</w:t>
      </w:r>
    </w:p>
    <w:p w:rsidR="00951FDB" w:rsidRPr="00951FDB" w:rsidRDefault="00DC64AD" w:rsidP="00386D2C">
      <w:pPr>
        <w:widowControl/>
        <w:spacing w:line="600" w:lineRule="exact"/>
        <w:ind w:firstLineChars="200" w:firstLine="640"/>
        <w:jc w:val="left"/>
        <w:rPr>
          <w:rFonts w:ascii="黑体" w:eastAsia="黑体" w:hAnsi="黑体" w:cs="仿宋"/>
          <w:color w:val="000000" w:themeColor="text1"/>
          <w:kern w:val="0"/>
          <w:sz w:val="32"/>
          <w:szCs w:val="32"/>
        </w:rPr>
      </w:pPr>
      <w:r w:rsidRPr="00951FDB">
        <w:rPr>
          <w:rFonts w:ascii="黑体" w:eastAsia="黑体" w:hAnsi="黑体" w:cs="仿宋" w:hint="eastAsia"/>
          <w:color w:val="000000" w:themeColor="text1"/>
          <w:kern w:val="0"/>
          <w:sz w:val="32"/>
          <w:szCs w:val="32"/>
        </w:rPr>
        <w:lastRenderedPageBreak/>
        <w:t>五、绩效预算信</w:t>
      </w:r>
      <w:r w:rsidRPr="00951FDB">
        <w:rPr>
          <w:rFonts w:ascii="黑体" w:eastAsia="黑体" w:hAnsi="黑体" w:cs="宋体" w:hint="eastAsia"/>
          <w:color w:val="000000" w:themeColor="text1"/>
          <w:kern w:val="0"/>
          <w:sz w:val="32"/>
          <w:szCs w:val="32"/>
        </w:rPr>
        <w:t>息</w:t>
      </w:r>
    </w:p>
    <w:p w:rsid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宋体" w:cs="宋体" w:hint="eastAsia"/>
          <w:color w:val="000000" w:themeColor="text1"/>
          <w:kern w:val="0"/>
          <w:sz w:val="32"/>
          <w:szCs w:val="32"/>
        </w:rPr>
        <w:t>总体目标：</w:t>
      </w:r>
    </w:p>
    <w:p w:rsid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宋体" w:cs="宋体" w:hint="eastAsia"/>
          <w:color w:val="000000" w:themeColor="text1"/>
          <w:kern w:val="0"/>
          <w:sz w:val="32"/>
          <w:szCs w:val="32"/>
        </w:rPr>
        <w:t>组织工业、农业、社会、教育、节能、卫生等涉及相关行业的专项统计调查监测和国情国力普查，收集、整理统计数据，提供咨询建议。完成全区各行业统计调查，收集、汇总、整理和提供统计数据，定期发布统计信息和统计分析，为经济决策提供重要依据。健全统计专网，完善基本单位名录库。保障统计执法、统计人员上岗资格认定、职称考试等全市统计专业技术队伍建设。</w:t>
      </w:r>
    </w:p>
    <w:p w:rsid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宋体" w:cs="宋体" w:hint="eastAsia"/>
          <w:color w:val="000000" w:themeColor="text1"/>
          <w:kern w:val="0"/>
          <w:sz w:val="32"/>
          <w:szCs w:val="32"/>
        </w:rPr>
        <w:t>职责分类绩效目标：</w:t>
      </w:r>
    </w:p>
    <w:p w:rsidR="006239B8"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宋体" w:cs="宋体" w:hint="eastAsia"/>
          <w:color w:val="000000" w:themeColor="text1"/>
          <w:kern w:val="0"/>
          <w:sz w:val="32"/>
          <w:szCs w:val="32"/>
        </w:rPr>
        <w:t>1、统计抽样调查的绩效目标是组织开展专项抽样调查工作，了解基层情况和动态提供统计信息和咨询建议。</w:t>
      </w:r>
    </w:p>
    <w:p w:rsid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宋体" w:cs="宋体" w:hint="eastAsia"/>
          <w:color w:val="000000" w:themeColor="text1"/>
          <w:kern w:val="0"/>
          <w:sz w:val="32"/>
          <w:szCs w:val="32"/>
        </w:rPr>
        <w:t>2、国情国力普查的绩效目标是按照国家统计局、财政部关于印发《关于统计部门周期性普查和大型调查经费开支规定》，分年度完成普查工作，确保普查的顺利完成。</w:t>
      </w:r>
    </w:p>
    <w:p w:rsid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宋体" w:cs="宋体" w:hint="eastAsia"/>
          <w:color w:val="000000" w:themeColor="text1"/>
          <w:kern w:val="0"/>
          <w:sz w:val="32"/>
          <w:szCs w:val="32"/>
        </w:rPr>
        <w:t>3、专项统计调查的绩效目标是组织开展专项统计调查工作，了解基层情况和动态提供统计信息和咨询建议。</w:t>
      </w:r>
    </w:p>
    <w:p w:rsid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宋体" w:cs="宋体" w:hint="eastAsia"/>
          <w:color w:val="000000" w:themeColor="text1"/>
          <w:kern w:val="0"/>
          <w:sz w:val="32"/>
          <w:szCs w:val="32"/>
        </w:rPr>
        <w:t>4、统计专网建设的绩效目标是保障统计专网正常运行，基本单位名录库及时更新。</w:t>
      </w:r>
    </w:p>
    <w:p w:rsid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宋体" w:cs="宋体" w:hint="eastAsia"/>
          <w:color w:val="000000" w:themeColor="text1"/>
          <w:kern w:val="0"/>
          <w:sz w:val="32"/>
          <w:szCs w:val="32"/>
        </w:rPr>
        <w:lastRenderedPageBreak/>
        <w:t>5、统计政务管理的绩效目标是保障机关正常运转。开展统计执法检查和培训工作，防范统计违法现象的发生；拟定全区统计教育培训制度、规划等，统一归口管理指导全区统计教育培训工作； 开展全区统计专业技术人员职称资格考试和评定工作。</w:t>
      </w:r>
    </w:p>
    <w:p w:rsidR="00DC64AD" w:rsidRPr="00951FDB" w:rsidRDefault="00DC64AD" w:rsidP="00386D2C">
      <w:pPr>
        <w:widowControl/>
        <w:spacing w:line="600" w:lineRule="exact"/>
        <w:ind w:firstLineChars="200" w:firstLine="640"/>
        <w:jc w:val="left"/>
        <w:rPr>
          <w:rFonts w:ascii="仿宋_GB2312" w:eastAsia="仿宋_GB2312" w:hAnsi="仿宋" w:cs="仿宋"/>
          <w:color w:val="000000" w:themeColor="text1"/>
          <w:kern w:val="0"/>
          <w:sz w:val="32"/>
          <w:szCs w:val="32"/>
        </w:rPr>
      </w:pPr>
      <w:r w:rsidRPr="00951FDB">
        <w:rPr>
          <w:rFonts w:ascii="仿宋_GB2312" w:eastAsia="仿宋_GB2312" w:hAnsi="宋体" w:cs="宋体" w:hint="eastAsia"/>
          <w:color w:val="000000" w:themeColor="text1"/>
          <w:kern w:val="0"/>
          <w:sz w:val="32"/>
          <w:szCs w:val="32"/>
        </w:rPr>
        <w:t>实现年度发展规划目标的保障措施</w:t>
      </w:r>
    </w:p>
    <w:p w:rsidR="00DC64AD" w:rsidRPr="00951FDB" w:rsidRDefault="00DC64AD" w:rsidP="00386D2C">
      <w:pPr>
        <w:widowControl/>
        <w:spacing w:line="600" w:lineRule="exact"/>
        <w:ind w:firstLineChars="200" w:firstLine="640"/>
        <w:jc w:val="left"/>
        <w:rPr>
          <w:rFonts w:ascii="仿宋_GB2312" w:eastAsia="仿宋_GB2312" w:hAnsi="宋体" w:cs="宋体"/>
          <w:color w:val="000000" w:themeColor="text1"/>
          <w:kern w:val="0"/>
          <w:sz w:val="32"/>
          <w:szCs w:val="32"/>
        </w:rPr>
      </w:pPr>
      <w:r w:rsidRPr="00951FDB">
        <w:rPr>
          <w:rFonts w:ascii="仿宋_GB2312" w:eastAsia="仿宋_GB2312" w:hAnsi="宋体" w:cs="宋体" w:hint="eastAsia"/>
          <w:color w:val="000000" w:themeColor="text1"/>
          <w:kern w:val="0"/>
          <w:sz w:val="32"/>
          <w:szCs w:val="32"/>
        </w:rPr>
        <w:t>一是加强统计法制宣传。创新宣传形式，丰富宣传内容，利用好普查宣传、法制宣传月、统计信息网等宣传平台，不断扩充完善统计法制宣传阵地。</w:t>
      </w:r>
    </w:p>
    <w:p w:rsidR="00DC64AD" w:rsidRPr="00951FDB" w:rsidRDefault="00DC64AD" w:rsidP="00386D2C">
      <w:pPr>
        <w:widowControl/>
        <w:spacing w:line="600" w:lineRule="exact"/>
        <w:ind w:firstLineChars="200" w:firstLine="640"/>
        <w:jc w:val="left"/>
        <w:rPr>
          <w:rFonts w:ascii="仿宋_GB2312" w:eastAsia="仿宋_GB2312" w:hAnsi="宋体" w:cs="宋体"/>
          <w:color w:val="000000" w:themeColor="text1"/>
          <w:kern w:val="0"/>
          <w:sz w:val="32"/>
          <w:szCs w:val="32"/>
        </w:rPr>
      </w:pPr>
      <w:r w:rsidRPr="00951FDB">
        <w:rPr>
          <w:rFonts w:ascii="仿宋_GB2312" w:eastAsia="仿宋_GB2312" w:hAnsi="宋体" w:cs="宋体" w:hint="eastAsia"/>
          <w:color w:val="000000" w:themeColor="text1"/>
          <w:kern w:val="0"/>
          <w:sz w:val="32"/>
          <w:szCs w:val="32"/>
        </w:rPr>
        <w:t>二是强化数据质量，加强统计执法力度。依法重点对全区四上“企业”开展一次统计调查和督导检查，严肃查处调查单位在联网直报中弄虚作假和瞒报、拒报统计资料等违法行为，确保源头统计数据客观真实。</w:t>
      </w:r>
    </w:p>
    <w:p w:rsidR="00DC64AD" w:rsidRPr="00951FDB" w:rsidRDefault="00DC64AD" w:rsidP="00386D2C">
      <w:pPr>
        <w:widowControl/>
        <w:spacing w:line="600" w:lineRule="exact"/>
        <w:ind w:firstLineChars="200" w:firstLine="640"/>
        <w:jc w:val="left"/>
        <w:rPr>
          <w:rFonts w:ascii="仿宋_GB2312" w:eastAsia="仿宋_GB2312" w:hAnsi="宋体" w:cs="宋体"/>
          <w:color w:val="000000" w:themeColor="text1"/>
          <w:kern w:val="0"/>
          <w:sz w:val="32"/>
          <w:szCs w:val="32"/>
        </w:rPr>
      </w:pPr>
      <w:r w:rsidRPr="00951FDB">
        <w:rPr>
          <w:rFonts w:ascii="仿宋_GB2312" w:eastAsia="仿宋_GB2312" w:hAnsi="宋体" w:cs="宋体" w:hint="eastAsia"/>
          <w:color w:val="000000" w:themeColor="text1"/>
          <w:kern w:val="0"/>
          <w:sz w:val="32"/>
          <w:szCs w:val="32"/>
        </w:rPr>
        <w:t>三是加强网络安全建设。加强对全区网络运行的安全管理，在统计内、外网络接入端完成防火墙的部署和应用，确保主干网络的高效、安全、稳定，申请专项资金维护统计专网。</w:t>
      </w:r>
    </w:p>
    <w:p w:rsidR="00DC64AD" w:rsidRPr="00951FDB" w:rsidRDefault="00DC64AD" w:rsidP="00386D2C">
      <w:pPr>
        <w:widowControl/>
        <w:spacing w:line="600" w:lineRule="exact"/>
        <w:ind w:firstLineChars="200" w:firstLine="640"/>
        <w:jc w:val="left"/>
        <w:rPr>
          <w:rFonts w:ascii="仿宋_GB2312" w:eastAsia="仿宋_GB2312" w:hAnsi="宋体" w:cs="宋体"/>
          <w:color w:val="000000" w:themeColor="text1"/>
          <w:kern w:val="0"/>
          <w:sz w:val="32"/>
          <w:szCs w:val="32"/>
        </w:rPr>
      </w:pPr>
      <w:r w:rsidRPr="00951FDB">
        <w:rPr>
          <w:rFonts w:ascii="仿宋_GB2312" w:eastAsia="仿宋_GB2312" w:hAnsi="宋体" w:cs="宋体" w:hint="eastAsia"/>
          <w:color w:val="000000" w:themeColor="text1"/>
          <w:kern w:val="0"/>
          <w:sz w:val="32"/>
          <w:szCs w:val="32"/>
        </w:rPr>
        <w:t>四是加强基层应用培训。加大基层统计人员计算机业务培训力度，强化统计人员信息网络安全意识，提高信息应用和数据处理水平，造就一支既懂计算机又懂统计业务的复合型统计人才队伍。</w:t>
      </w:r>
    </w:p>
    <w:p w:rsidR="00DC64AD" w:rsidRPr="00951FDB" w:rsidRDefault="00DC64AD" w:rsidP="00386D2C">
      <w:pPr>
        <w:widowControl/>
        <w:spacing w:line="600" w:lineRule="exact"/>
        <w:ind w:firstLineChars="200" w:firstLine="640"/>
        <w:jc w:val="left"/>
        <w:rPr>
          <w:rFonts w:ascii="仿宋_GB2312" w:eastAsia="仿宋_GB2312" w:hAnsi="宋体" w:cs="宋体"/>
          <w:color w:val="000000" w:themeColor="text1"/>
          <w:kern w:val="0"/>
          <w:sz w:val="32"/>
          <w:szCs w:val="32"/>
        </w:rPr>
      </w:pPr>
      <w:r w:rsidRPr="00951FDB">
        <w:rPr>
          <w:rFonts w:ascii="仿宋_GB2312" w:eastAsia="仿宋_GB2312" w:hAnsi="宋体" w:cs="宋体" w:hint="eastAsia"/>
          <w:color w:val="000000" w:themeColor="text1"/>
          <w:kern w:val="0"/>
          <w:sz w:val="32"/>
          <w:szCs w:val="32"/>
        </w:rPr>
        <w:t>五是组织完成国家部署的国情国力普查，计划并组织实施，汇总、整理和提供有关方面的统计数据，成立普查办公室，组织专人负责，从其他单位抽调大量人员协助完成普查，通过多种媒体方式积极宣传普查，并向财政申请资金支持。</w:t>
      </w:r>
    </w:p>
    <w:p w:rsidR="00DC64AD" w:rsidRPr="00951FDB" w:rsidRDefault="00DC64AD" w:rsidP="00386D2C">
      <w:pPr>
        <w:widowControl/>
        <w:spacing w:line="600" w:lineRule="exact"/>
        <w:ind w:firstLineChars="200" w:firstLine="640"/>
        <w:jc w:val="left"/>
        <w:rPr>
          <w:rFonts w:ascii="仿宋_GB2312" w:eastAsia="仿宋_GB2312" w:hAnsi="宋体" w:cs="宋体"/>
          <w:color w:val="000000" w:themeColor="text1"/>
          <w:kern w:val="0"/>
          <w:sz w:val="32"/>
          <w:szCs w:val="32"/>
        </w:rPr>
      </w:pPr>
      <w:r w:rsidRPr="00951FDB">
        <w:rPr>
          <w:rFonts w:ascii="仿宋_GB2312" w:eastAsia="仿宋_GB2312" w:hAnsi="宋体" w:cs="宋体" w:hint="eastAsia"/>
          <w:color w:val="000000" w:themeColor="text1"/>
          <w:kern w:val="0"/>
          <w:sz w:val="32"/>
          <w:szCs w:val="32"/>
        </w:rPr>
        <w:lastRenderedPageBreak/>
        <w:t>部门职责及工作活动绩效目标：</w:t>
      </w:r>
    </w:p>
    <w:p w:rsidR="00DC64AD" w:rsidRPr="00951FDB" w:rsidRDefault="00DC64AD" w:rsidP="00951FDB">
      <w:pPr>
        <w:spacing w:line="600" w:lineRule="exact"/>
        <w:jc w:val="center"/>
        <w:outlineLvl w:val="0"/>
        <w:rPr>
          <w:rFonts w:ascii="仿宋_GB2312" w:eastAsia="仿宋_GB2312"/>
          <w:color w:val="000000" w:themeColor="text1"/>
          <w:sz w:val="32"/>
          <w:szCs w:val="32"/>
        </w:rPr>
      </w:pPr>
      <w:bookmarkStart w:id="0" w:name="_Toc536811803"/>
      <w:r w:rsidRPr="00951FDB">
        <w:rPr>
          <w:rFonts w:ascii="仿宋_GB2312" w:eastAsia="仿宋_GB2312" w:hint="eastAsia"/>
          <w:color w:val="000000" w:themeColor="text1"/>
          <w:sz w:val="32"/>
          <w:szCs w:val="32"/>
        </w:rPr>
        <w:t>部门职责-工作活动绩效目标</w:t>
      </w:r>
      <w:r w:rsidRPr="00951FDB">
        <w:rPr>
          <w:rStyle w:val="a5"/>
          <w:rFonts w:ascii="仿宋_GB2312" w:eastAsia="仿宋_GB2312" w:hint="eastAsia"/>
          <w:color w:val="000000" w:themeColor="text1"/>
          <w:sz w:val="32"/>
          <w:szCs w:val="32"/>
        </w:rPr>
        <w:footnoteReference w:customMarkFollows="1" w:id="2"/>
        <w:sym w:font="Symbol" w:char="F020"/>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DC64AD" w:rsidRPr="00951FDB" w:rsidTr="00E71CB6">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410统计</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单位：万元</w:t>
            </w:r>
          </w:p>
        </w:tc>
      </w:tr>
      <w:tr w:rsidR="00DC64AD" w:rsidRPr="00951FDB" w:rsidTr="00E71CB6">
        <w:trPr>
          <w:trHeight w:val="227"/>
          <w:tblHeader/>
          <w:jc w:val="center"/>
        </w:trPr>
        <w:tc>
          <w:tcPr>
            <w:tcW w:w="2341" w:type="dxa"/>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职责活动</w:t>
            </w:r>
          </w:p>
        </w:tc>
        <w:tc>
          <w:tcPr>
            <w:tcW w:w="1276" w:type="dxa"/>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年度预算数</w:t>
            </w:r>
          </w:p>
        </w:tc>
        <w:tc>
          <w:tcPr>
            <w:tcW w:w="2976" w:type="dxa"/>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内容描述</w:t>
            </w:r>
          </w:p>
        </w:tc>
        <w:tc>
          <w:tcPr>
            <w:tcW w:w="2976" w:type="dxa"/>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绩效目标</w:t>
            </w:r>
          </w:p>
        </w:tc>
        <w:tc>
          <w:tcPr>
            <w:tcW w:w="1417" w:type="dxa"/>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绩效指标</w:t>
            </w:r>
          </w:p>
        </w:tc>
        <w:tc>
          <w:tcPr>
            <w:tcW w:w="2948" w:type="dxa"/>
            <w:gridSpan w:val="4"/>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评价标准</w:t>
            </w:r>
          </w:p>
        </w:tc>
      </w:tr>
      <w:tr w:rsidR="00DC64AD" w:rsidRPr="00951FDB" w:rsidTr="00E71CB6">
        <w:trPr>
          <w:trHeight w:val="227"/>
          <w:tblHeader/>
          <w:jc w:val="center"/>
        </w:trPr>
        <w:tc>
          <w:tcPr>
            <w:tcW w:w="2341" w:type="dxa"/>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1276" w:type="dxa"/>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1417" w:type="dxa"/>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优</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良</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中</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差</w:t>
            </w:r>
          </w:p>
        </w:tc>
      </w:tr>
      <w:tr w:rsidR="00DC64AD" w:rsidRPr="00951FDB" w:rsidTr="00E71CB6">
        <w:trPr>
          <w:trHeight w:val="227"/>
          <w:jc w:val="center"/>
        </w:trPr>
        <w:tc>
          <w:tcPr>
            <w:tcW w:w="2341" w:type="dxa"/>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一、人事劳资管理</w:t>
            </w:r>
          </w:p>
        </w:tc>
        <w:tc>
          <w:tcPr>
            <w:tcW w:w="12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10.13</w:t>
            </w:r>
          </w:p>
        </w:tc>
        <w:tc>
          <w:tcPr>
            <w:tcW w:w="29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用于本单位人事代理工作人员的工资补贴待遇发放、公用经费的管理。</w:t>
            </w:r>
          </w:p>
        </w:tc>
        <w:tc>
          <w:tcPr>
            <w:tcW w:w="29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保障落实机关人事代理工作人员的工资补贴待遇和公用经费的管理。</w:t>
            </w: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r>
      <w:tr w:rsidR="00DC64AD" w:rsidRPr="00951FDB" w:rsidTr="00E71CB6">
        <w:trPr>
          <w:trHeight w:val="227"/>
          <w:jc w:val="center"/>
        </w:trPr>
        <w:tc>
          <w:tcPr>
            <w:tcW w:w="2341" w:type="dxa"/>
            <w:vMerge w:val="restart"/>
            <w:shd w:val="clear" w:color="auto" w:fill="auto"/>
            <w:vAlign w:val="center"/>
          </w:tcPr>
          <w:p w:rsidR="00DC64AD" w:rsidRPr="00975F80" w:rsidRDefault="00107A93" w:rsidP="00975F80">
            <w:pPr>
              <w:jc w:val="left"/>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 xml:space="preserve">　</w:t>
            </w:r>
            <w:r w:rsidR="00DC64AD" w:rsidRPr="00975F80">
              <w:rPr>
                <w:rFonts w:asciiTheme="minorEastAsia" w:eastAsiaTheme="minorEastAsia" w:hAnsiTheme="minorEastAsia" w:hint="eastAsia"/>
                <w:b/>
                <w:color w:val="000000" w:themeColor="text1"/>
                <w:sz w:val="24"/>
              </w:rPr>
              <w:t>1、人事代理经费</w:t>
            </w:r>
          </w:p>
        </w:tc>
        <w:tc>
          <w:tcPr>
            <w:tcW w:w="12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10.13</w:t>
            </w:r>
          </w:p>
        </w:tc>
        <w:tc>
          <w:tcPr>
            <w:tcW w:w="29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保障落实机关人事代理工作日分页的工资补贴待遇和公用经费的管理</w:t>
            </w:r>
          </w:p>
        </w:tc>
        <w:tc>
          <w:tcPr>
            <w:tcW w:w="29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保障落实机关人事代理工作人员的工资补贴待遇和公用经费的管理</w:t>
            </w: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人事代理人员工资待遇保障率</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100%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90%及以上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80%及以上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80%以下</w:t>
            </w:r>
          </w:p>
        </w:tc>
      </w:tr>
      <w:tr w:rsidR="00DC64AD" w:rsidRPr="00951FDB" w:rsidTr="00E71CB6">
        <w:trPr>
          <w:trHeight w:val="227"/>
          <w:jc w:val="center"/>
        </w:trPr>
        <w:tc>
          <w:tcPr>
            <w:tcW w:w="2341" w:type="dxa"/>
            <w:vMerge/>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12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人事代理工作完成率</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100%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85%及以上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75%及以上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75%以下</w:t>
            </w:r>
          </w:p>
        </w:tc>
      </w:tr>
      <w:tr w:rsidR="00DC64AD" w:rsidRPr="00951FDB" w:rsidTr="00E71CB6">
        <w:trPr>
          <w:trHeight w:val="227"/>
          <w:jc w:val="center"/>
        </w:trPr>
        <w:tc>
          <w:tcPr>
            <w:tcW w:w="2341" w:type="dxa"/>
            <w:vMerge/>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12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业务工作满意度</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100%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85%及以上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75%及以上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75%以下</w:t>
            </w:r>
          </w:p>
        </w:tc>
      </w:tr>
      <w:tr w:rsidR="00DC64AD" w:rsidRPr="00951FDB" w:rsidTr="00E71CB6">
        <w:trPr>
          <w:trHeight w:val="227"/>
          <w:jc w:val="center"/>
        </w:trPr>
        <w:tc>
          <w:tcPr>
            <w:tcW w:w="2341" w:type="dxa"/>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二、统计抽样调查</w:t>
            </w:r>
          </w:p>
        </w:tc>
        <w:tc>
          <w:tcPr>
            <w:tcW w:w="12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12.46</w:t>
            </w:r>
          </w:p>
        </w:tc>
        <w:tc>
          <w:tcPr>
            <w:tcW w:w="29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开展城乡一体化调查，规下工业调查，居民消费价格调查，工业品价格调查，游客问卷调查，车流量监测，人口和劳动力调查，满意度调查，1%人口抽样调查等调查任务。组织开展各项抽样统计调查工作,了解基层情况和动态提供统计信息和咨</w:t>
            </w:r>
            <w:r w:rsidRPr="00975F80">
              <w:rPr>
                <w:rFonts w:asciiTheme="minorEastAsia" w:eastAsiaTheme="minorEastAsia" w:hAnsiTheme="minorEastAsia" w:hint="eastAsia"/>
                <w:color w:val="000000" w:themeColor="text1"/>
                <w:sz w:val="24"/>
              </w:rPr>
              <w:lastRenderedPageBreak/>
              <w:t>询建议。</w:t>
            </w:r>
          </w:p>
        </w:tc>
        <w:tc>
          <w:tcPr>
            <w:tcW w:w="29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lastRenderedPageBreak/>
              <w:t>完成抽样调查工作并必要分析，对相关经济决策提供重要依据。</w:t>
            </w: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r>
      <w:tr w:rsidR="00DC64AD" w:rsidRPr="00951FDB" w:rsidTr="00E71CB6">
        <w:trPr>
          <w:trHeight w:val="227"/>
          <w:jc w:val="center"/>
        </w:trPr>
        <w:tc>
          <w:tcPr>
            <w:tcW w:w="2341" w:type="dxa"/>
            <w:vMerge w:val="restart"/>
            <w:shd w:val="clear" w:color="auto" w:fill="auto"/>
            <w:vAlign w:val="center"/>
          </w:tcPr>
          <w:p w:rsidR="00DC64AD" w:rsidRPr="00975F80" w:rsidRDefault="00107A93" w:rsidP="00975F80">
            <w:pPr>
              <w:jc w:val="left"/>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lastRenderedPageBreak/>
              <w:t xml:space="preserve">　</w:t>
            </w:r>
            <w:r w:rsidR="00DC64AD" w:rsidRPr="00975F80">
              <w:rPr>
                <w:rFonts w:asciiTheme="minorEastAsia" w:eastAsiaTheme="minorEastAsia" w:hAnsiTheme="minorEastAsia" w:hint="eastAsia"/>
                <w:b/>
                <w:color w:val="000000" w:themeColor="text1"/>
                <w:sz w:val="24"/>
              </w:rPr>
              <w:t>1、统计抽样调查</w:t>
            </w:r>
          </w:p>
        </w:tc>
        <w:tc>
          <w:tcPr>
            <w:tcW w:w="12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12.46</w:t>
            </w:r>
          </w:p>
        </w:tc>
        <w:tc>
          <w:tcPr>
            <w:tcW w:w="29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开展城乡一体化调查，规下工业调查，居民消费价格调查，工业品价格调查，游客问卷调查，车流量监测，人口和劳动力调查，满意度调查，1%人口抽样调查等调查任务。</w:t>
            </w:r>
          </w:p>
        </w:tc>
        <w:tc>
          <w:tcPr>
            <w:tcW w:w="29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人口变动情况抽样调查补贴，根据秦皇岛市人民政府《关于转发河北省人民政府办公厅&lt;关于印发河北省人口变动情况抽样调查组织实施方案的通知&gt;和&lt;关于建立全省劳动力调查制度的通知&gt;的通知》（秦政办[2006]64号）文件精神，从2006年开始，开展全省人口变动情况抽样调查，</w:t>
            </w: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调查户比例</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90%以上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70%-90%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50%-70%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50%以下</w:t>
            </w:r>
          </w:p>
        </w:tc>
      </w:tr>
      <w:tr w:rsidR="00DC64AD" w:rsidRPr="00951FDB" w:rsidTr="00E71CB6">
        <w:trPr>
          <w:trHeight w:val="227"/>
          <w:jc w:val="center"/>
        </w:trPr>
        <w:tc>
          <w:tcPr>
            <w:tcW w:w="2341" w:type="dxa"/>
            <w:vMerge/>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12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调查表比例</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90%以上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70%-90%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50%-70%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50%以下</w:t>
            </w:r>
          </w:p>
        </w:tc>
      </w:tr>
      <w:tr w:rsidR="00DC64AD" w:rsidRPr="00951FDB" w:rsidTr="00E71CB6">
        <w:trPr>
          <w:trHeight w:val="227"/>
          <w:jc w:val="center"/>
        </w:trPr>
        <w:tc>
          <w:tcPr>
            <w:tcW w:w="2341" w:type="dxa"/>
            <w:vMerge/>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12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调查表抽样调查率</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90%以上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70%-90%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50%-70%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50%以下</w:t>
            </w:r>
          </w:p>
        </w:tc>
      </w:tr>
      <w:tr w:rsidR="00DC64AD" w:rsidRPr="00951FDB" w:rsidTr="00E71CB6">
        <w:trPr>
          <w:trHeight w:val="227"/>
          <w:jc w:val="center"/>
        </w:trPr>
        <w:tc>
          <w:tcPr>
            <w:tcW w:w="2341" w:type="dxa"/>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三、国情国力普查</w:t>
            </w:r>
          </w:p>
        </w:tc>
        <w:tc>
          <w:tcPr>
            <w:tcW w:w="12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41.50</w:t>
            </w:r>
          </w:p>
        </w:tc>
        <w:tc>
          <w:tcPr>
            <w:tcW w:w="29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组织国情国力普查，收集、整理统计数据，完成对普查的资料进行开发应用和分析</w:t>
            </w:r>
          </w:p>
        </w:tc>
        <w:tc>
          <w:tcPr>
            <w:tcW w:w="29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研究制定资料开发应用计划，进行业务培训，组织开展深层次课题研究，发布普查主要数据公报，完成普查工作总结和表彰。</w:t>
            </w: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r>
      <w:tr w:rsidR="00DC64AD" w:rsidRPr="00951FDB" w:rsidTr="00E71CB6">
        <w:trPr>
          <w:trHeight w:val="227"/>
          <w:jc w:val="center"/>
        </w:trPr>
        <w:tc>
          <w:tcPr>
            <w:tcW w:w="2341" w:type="dxa"/>
            <w:vMerge w:val="restart"/>
            <w:shd w:val="clear" w:color="auto" w:fill="auto"/>
            <w:vAlign w:val="center"/>
          </w:tcPr>
          <w:p w:rsidR="00DC64AD" w:rsidRPr="00975F80" w:rsidRDefault="00107A93" w:rsidP="00975F80">
            <w:pPr>
              <w:jc w:val="left"/>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 xml:space="preserve">　</w:t>
            </w:r>
            <w:r w:rsidR="00DC64AD" w:rsidRPr="00975F80">
              <w:rPr>
                <w:rFonts w:asciiTheme="minorEastAsia" w:eastAsiaTheme="minorEastAsia" w:hAnsiTheme="minorEastAsia" w:hint="eastAsia"/>
                <w:b/>
                <w:color w:val="000000" w:themeColor="text1"/>
                <w:sz w:val="24"/>
              </w:rPr>
              <w:t>1、国情国力普查</w:t>
            </w:r>
          </w:p>
        </w:tc>
        <w:tc>
          <w:tcPr>
            <w:tcW w:w="12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41.50</w:t>
            </w:r>
          </w:p>
        </w:tc>
        <w:tc>
          <w:tcPr>
            <w:tcW w:w="29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组织完成国家部署的人口普查，经济普查，农业普查，投入产出调查，计划并组织实施，汇总、整理和提供有关方面的统计数据。按照国家统计局、财政部关于印发《关于统计部门周期性普查和大型调查经费开支规定》，分年度完成普查工作，确保普查的顺利完成。</w:t>
            </w:r>
          </w:p>
        </w:tc>
        <w:tc>
          <w:tcPr>
            <w:tcW w:w="29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组织完成国家部署的人口普查，经济普查，农业普查，投入产出调查，计划并组织实施，汇总、整理和提供有关方面的统计数据。</w:t>
            </w: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业务保障能力提升率</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90%以上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70%-90%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50%-70%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50%以下</w:t>
            </w:r>
          </w:p>
        </w:tc>
      </w:tr>
      <w:tr w:rsidR="00DC64AD" w:rsidRPr="00951FDB" w:rsidTr="00E71CB6">
        <w:trPr>
          <w:trHeight w:val="227"/>
          <w:jc w:val="center"/>
        </w:trPr>
        <w:tc>
          <w:tcPr>
            <w:tcW w:w="2341" w:type="dxa"/>
            <w:vMerge/>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12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参加培训覆盖率</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90%以上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70%-90%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50%-70%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50%以下</w:t>
            </w:r>
          </w:p>
        </w:tc>
      </w:tr>
      <w:tr w:rsidR="00DC64AD" w:rsidRPr="00951FDB" w:rsidTr="00E71CB6">
        <w:trPr>
          <w:trHeight w:val="227"/>
          <w:jc w:val="center"/>
        </w:trPr>
        <w:tc>
          <w:tcPr>
            <w:tcW w:w="2341" w:type="dxa"/>
            <w:vMerge/>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12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清查对象覆盖率</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90%以上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70%-90%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50%-70%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50%以下</w:t>
            </w:r>
          </w:p>
        </w:tc>
      </w:tr>
      <w:tr w:rsidR="00DC64AD" w:rsidRPr="00951FDB" w:rsidTr="00E71CB6">
        <w:trPr>
          <w:trHeight w:val="227"/>
          <w:jc w:val="center"/>
        </w:trPr>
        <w:tc>
          <w:tcPr>
            <w:tcW w:w="2341" w:type="dxa"/>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四、统计专网建设</w:t>
            </w:r>
          </w:p>
        </w:tc>
        <w:tc>
          <w:tcPr>
            <w:tcW w:w="12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3.50</w:t>
            </w:r>
          </w:p>
        </w:tc>
        <w:tc>
          <w:tcPr>
            <w:tcW w:w="29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指导全区统计信息化系统</w:t>
            </w:r>
            <w:r w:rsidRPr="00975F80">
              <w:rPr>
                <w:rFonts w:asciiTheme="minorEastAsia" w:eastAsiaTheme="minorEastAsia" w:hAnsiTheme="minorEastAsia" w:hint="eastAsia"/>
                <w:color w:val="000000" w:themeColor="text1"/>
                <w:sz w:val="24"/>
              </w:rPr>
              <w:lastRenderedPageBreak/>
              <w:t>建设，建设基本单位名录库 。保障统计专网正常运行，基本单位名录库及时更新。贯彻执行省、市统计信息库和网络的基本标准和运行规则，管理和维护全区统计信息网络，组织基本单位名录库登记和完善工作。</w:t>
            </w:r>
          </w:p>
        </w:tc>
        <w:tc>
          <w:tcPr>
            <w:tcW w:w="29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lastRenderedPageBreak/>
              <w:t>健全统计调查网络，完善基</w:t>
            </w:r>
            <w:r w:rsidRPr="00975F80">
              <w:rPr>
                <w:rFonts w:asciiTheme="minorEastAsia" w:eastAsiaTheme="minorEastAsia" w:hAnsiTheme="minorEastAsia" w:hint="eastAsia"/>
                <w:color w:val="000000" w:themeColor="text1"/>
                <w:sz w:val="24"/>
              </w:rPr>
              <w:lastRenderedPageBreak/>
              <w:t>本单位名录库</w:t>
            </w: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r>
      <w:tr w:rsidR="00DC64AD" w:rsidRPr="00951FDB" w:rsidTr="00E71CB6">
        <w:trPr>
          <w:trHeight w:val="227"/>
          <w:jc w:val="center"/>
        </w:trPr>
        <w:tc>
          <w:tcPr>
            <w:tcW w:w="2341" w:type="dxa"/>
            <w:vMerge w:val="restart"/>
            <w:shd w:val="clear" w:color="auto" w:fill="auto"/>
            <w:vAlign w:val="center"/>
          </w:tcPr>
          <w:p w:rsidR="00DC64AD" w:rsidRPr="00975F80" w:rsidRDefault="00107A93" w:rsidP="00975F80">
            <w:pPr>
              <w:jc w:val="left"/>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lastRenderedPageBreak/>
              <w:t xml:space="preserve">　</w:t>
            </w:r>
            <w:r w:rsidR="00DC64AD" w:rsidRPr="00975F80">
              <w:rPr>
                <w:rFonts w:asciiTheme="minorEastAsia" w:eastAsiaTheme="minorEastAsia" w:hAnsiTheme="minorEastAsia" w:hint="eastAsia"/>
                <w:b/>
                <w:color w:val="000000" w:themeColor="text1"/>
                <w:sz w:val="24"/>
              </w:rPr>
              <w:t>1、统计专网建设</w:t>
            </w:r>
          </w:p>
        </w:tc>
        <w:tc>
          <w:tcPr>
            <w:tcW w:w="12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3.50</w:t>
            </w:r>
          </w:p>
        </w:tc>
        <w:tc>
          <w:tcPr>
            <w:tcW w:w="29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贯彻执行省、市统计信息库和网络的基本标准和运行规则，管理和维护全区统计信息网络，组织基本单位名录库登记和完善工作。</w:t>
            </w:r>
          </w:p>
        </w:tc>
        <w:tc>
          <w:tcPr>
            <w:tcW w:w="2976" w:type="dxa"/>
            <w:vMerge w:val="restar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保障一套表网络畅通，完成各种统计报表的催报、审核、汇总等工作</w:t>
            </w: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名录库维护情况达标率</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90%以上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70%-90%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50%-70%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50%以下</w:t>
            </w:r>
          </w:p>
        </w:tc>
      </w:tr>
      <w:tr w:rsidR="00DC64AD" w:rsidRPr="00951FDB" w:rsidTr="00E71CB6">
        <w:trPr>
          <w:trHeight w:val="227"/>
          <w:jc w:val="center"/>
        </w:trPr>
        <w:tc>
          <w:tcPr>
            <w:tcW w:w="2341" w:type="dxa"/>
            <w:vMerge/>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12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视频系统运行情况达标率</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90%以上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70%-90%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50%-70%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50%以下</w:t>
            </w:r>
          </w:p>
        </w:tc>
      </w:tr>
      <w:tr w:rsidR="00DC64AD" w:rsidRPr="00951FDB" w:rsidTr="00E71CB6">
        <w:trPr>
          <w:trHeight w:val="227"/>
          <w:jc w:val="center"/>
        </w:trPr>
        <w:tc>
          <w:tcPr>
            <w:tcW w:w="2341" w:type="dxa"/>
            <w:vMerge/>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12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vMerge/>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一套表网络平台运行情况达标率</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90%以上</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70%-90%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50%-70%</w:t>
            </w: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50%以下</w:t>
            </w:r>
          </w:p>
        </w:tc>
      </w:tr>
      <w:tr w:rsidR="00DC64AD" w:rsidRPr="00951FDB" w:rsidTr="00E71CB6">
        <w:trPr>
          <w:trHeight w:val="227"/>
          <w:jc w:val="center"/>
        </w:trPr>
        <w:tc>
          <w:tcPr>
            <w:tcW w:w="2341" w:type="dxa"/>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五、统计政务管理</w:t>
            </w:r>
          </w:p>
        </w:tc>
        <w:tc>
          <w:tcPr>
            <w:tcW w:w="12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9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保障机关日常运转，健全全区统计法制建设，指导全市统计专业技术队伍建设。</w:t>
            </w:r>
          </w:p>
        </w:tc>
        <w:tc>
          <w:tcPr>
            <w:tcW w:w="2976"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保障统计执法、统计人员上岗资格认定、职称考试等全市统计专业技术队伍建设。</w:t>
            </w:r>
          </w:p>
        </w:tc>
        <w:tc>
          <w:tcPr>
            <w:tcW w:w="1417" w:type="dxa"/>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c>
          <w:tcPr>
            <w:tcW w:w="737" w:type="dxa"/>
            <w:shd w:val="clear" w:color="auto" w:fill="auto"/>
            <w:vAlign w:val="center"/>
          </w:tcPr>
          <w:p w:rsidR="00DC64AD" w:rsidRPr="00975F80" w:rsidRDefault="00DC64AD" w:rsidP="00975F80">
            <w:pPr>
              <w:jc w:val="center"/>
              <w:rPr>
                <w:rFonts w:asciiTheme="minorEastAsia" w:eastAsiaTheme="minorEastAsia" w:hAnsiTheme="minorEastAsia"/>
                <w:color w:val="000000" w:themeColor="text1"/>
                <w:sz w:val="24"/>
              </w:rPr>
            </w:pPr>
          </w:p>
        </w:tc>
      </w:tr>
    </w:tbl>
    <w:p w:rsidR="00DC64AD" w:rsidRPr="00951FDB" w:rsidRDefault="00DC64AD" w:rsidP="00951FDB">
      <w:pPr>
        <w:spacing w:line="600" w:lineRule="exact"/>
        <w:jc w:val="left"/>
        <w:outlineLvl w:val="0"/>
        <w:rPr>
          <w:rFonts w:ascii="仿宋_GB2312" w:eastAsia="仿宋_GB2312"/>
          <w:color w:val="000000" w:themeColor="text1"/>
          <w:sz w:val="32"/>
          <w:szCs w:val="32"/>
        </w:rPr>
        <w:sectPr w:rsidR="00DC64AD" w:rsidRPr="00951FDB" w:rsidSect="00C84A48">
          <w:pgSz w:w="16839" w:h="11907" w:orient="landscape"/>
          <w:pgMar w:top="1020" w:right="1361" w:bottom="1020" w:left="1361" w:header="851" w:footer="992" w:gutter="0"/>
          <w:cols w:space="425"/>
          <w:docGrid w:type="lines" w:linePitch="312"/>
        </w:sectPr>
      </w:pPr>
    </w:p>
    <w:p w:rsidR="006239B8" w:rsidRDefault="00DC64AD" w:rsidP="006239B8">
      <w:pPr>
        <w:widowControl/>
        <w:spacing w:line="600" w:lineRule="exact"/>
        <w:ind w:firstLine="480"/>
        <w:jc w:val="left"/>
        <w:rPr>
          <w:rFonts w:ascii="黑体" w:eastAsia="黑体" w:hAnsi="黑体" w:cs="宋体"/>
          <w:b/>
          <w:color w:val="000000" w:themeColor="text1"/>
          <w:kern w:val="0"/>
          <w:sz w:val="32"/>
          <w:szCs w:val="32"/>
        </w:rPr>
      </w:pPr>
      <w:r w:rsidRPr="006239B8">
        <w:rPr>
          <w:rFonts w:ascii="黑体" w:eastAsia="黑体" w:hAnsi="黑体" w:cs="宋体" w:hint="eastAsia"/>
          <w:color w:val="000000" w:themeColor="text1"/>
          <w:kern w:val="0"/>
          <w:sz w:val="32"/>
          <w:szCs w:val="32"/>
        </w:rPr>
        <w:lastRenderedPageBreak/>
        <w:t>六、政府采购预算情况</w:t>
      </w:r>
    </w:p>
    <w:p w:rsidR="00DC64AD"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秦皇岛市北戴河区统计局2019年本部门预算没有此项公开内容。</w:t>
      </w:r>
      <w:bookmarkStart w:id="1" w:name="_Toc511236196"/>
      <w:r w:rsidRPr="00951FDB">
        <w:rPr>
          <w:rFonts w:ascii="仿宋_GB2312" w:eastAsia="仿宋_GB2312" w:hAnsi="仿宋" w:cs="仿宋" w:hint="eastAsia"/>
          <w:color w:val="000000" w:themeColor="text1"/>
          <w:kern w:val="0"/>
          <w:sz w:val="32"/>
          <w:szCs w:val="32"/>
        </w:rPr>
        <w:t>以空表列示说明。</w:t>
      </w:r>
    </w:p>
    <w:p w:rsidR="00DC64AD" w:rsidRPr="00951FDB" w:rsidRDefault="00DC64AD" w:rsidP="00951FDB">
      <w:pPr>
        <w:spacing w:line="600" w:lineRule="exact"/>
        <w:jc w:val="center"/>
        <w:outlineLvl w:val="0"/>
        <w:rPr>
          <w:rFonts w:ascii="仿宋_GB2312" w:eastAsia="仿宋_GB2312"/>
          <w:color w:val="000000" w:themeColor="text1"/>
          <w:sz w:val="32"/>
          <w:szCs w:val="32"/>
        </w:rPr>
      </w:pPr>
      <w:r w:rsidRPr="00951FDB">
        <w:rPr>
          <w:rFonts w:ascii="仿宋_GB2312" w:eastAsia="仿宋_GB2312" w:hint="eastAsia"/>
          <w:color w:val="000000" w:themeColor="text1"/>
          <w:sz w:val="32"/>
          <w:szCs w:val="32"/>
        </w:rPr>
        <w:t>部门政府采购预算</w:t>
      </w:r>
      <w:bookmarkEnd w:id="1"/>
    </w:p>
    <w:tbl>
      <w:tblPr>
        <w:tblW w:w="485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309"/>
        <w:gridCol w:w="1037"/>
        <w:gridCol w:w="919"/>
        <w:gridCol w:w="930"/>
        <w:gridCol w:w="718"/>
        <w:gridCol w:w="718"/>
        <w:gridCol w:w="800"/>
        <w:gridCol w:w="908"/>
        <w:gridCol w:w="908"/>
        <w:gridCol w:w="908"/>
        <w:gridCol w:w="908"/>
        <w:gridCol w:w="910"/>
        <w:gridCol w:w="910"/>
        <w:gridCol w:w="869"/>
      </w:tblGrid>
      <w:tr w:rsidR="00DC64AD" w:rsidRPr="00975F80" w:rsidTr="00444363">
        <w:trPr>
          <w:tblHeader/>
          <w:jc w:val="center"/>
        </w:trPr>
        <w:tc>
          <w:tcPr>
            <w:tcW w:w="2702" w:type="pct"/>
            <w:gridSpan w:val="7"/>
            <w:tcBorders>
              <w:top w:val="single" w:sz="6" w:space="0" w:color="FFFFFF"/>
              <w:left w:val="single" w:sz="6" w:space="0" w:color="FFFFFF"/>
              <w:right w:val="single" w:sz="6" w:space="0" w:color="FFFFFF"/>
            </w:tcBorders>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410统计</w:t>
            </w:r>
          </w:p>
          <w:p w:rsidR="00DC64AD" w:rsidRPr="00975F80" w:rsidRDefault="00DC64AD" w:rsidP="00975F80">
            <w:pPr>
              <w:jc w:val="left"/>
              <w:rPr>
                <w:rFonts w:asciiTheme="minorEastAsia" w:eastAsiaTheme="minorEastAsia" w:hAnsiTheme="minorEastAsia"/>
                <w:color w:val="000000" w:themeColor="text1"/>
                <w:sz w:val="24"/>
              </w:rPr>
            </w:pPr>
          </w:p>
        </w:tc>
        <w:tc>
          <w:tcPr>
            <w:tcW w:w="2298" w:type="pct"/>
            <w:gridSpan w:val="7"/>
            <w:tcBorders>
              <w:top w:val="single" w:sz="6" w:space="0" w:color="FFFFFF"/>
              <w:left w:val="single" w:sz="6" w:space="0" w:color="FFFFFF"/>
              <w:right w:val="single" w:sz="6" w:space="0" w:color="FFFFFF"/>
            </w:tcBorders>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r w:rsidRPr="00975F80">
              <w:rPr>
                <w:rFonts w:asciiTheme="minorEastAsia" w:eastAsiaTheme="minorEastAsia" w:hAnsiTheme="minorEastAsia" w:hint="eastAsia"/>
                <w:color w:val="000000" w:themeColor="text1"/>
                <w:sz w:val="24"/>
              </w:rPr>
              <w:t>单位：万元</w:t>
            </w:r>
          </w:p>
        </w:tc>
      </w:tr>
      <w:tr w:rsidR="00DC64AD" w:rsidRPr="00975F80" w:rsidTr="00444363">
        <w:trPr>
          <w:tblHeader/>
          <w:jc w:val="center"/>
        </w:trPr>
        <w:tc>
          <w:tcPr>
            <w:tcW w:w="1217" w:type="pct"/>
            <w:gridSpan w:val="2"/>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政府采购项目来源</w:t>
            </w:r>
          </w:p>
        </w:tc>
        <w:tc>
          <w:tcPr>
            <w:tcW w:w="334" w:type="pct"/>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采购物品名称</w:t>
            </w:r>
          </w:p>
        </w:tc>
        <w:tc>
          <w:tcPr>
            <w:tcW w:w="338" w:type="pct"/>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政府采购目录序号</w:t>
            </w:r>
          </w:p>
        </w:tc>
        <w:tc>
          <w:tcPr>
            <w:tcW w:w="261" w:type="pct"/>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数量  单位</w:t>
            </w:r>
          </w:p>
        </w:tc>
        <w:tc>
          <w:tcPr>
            <w:tcW w:w="261" w:type="pct"/>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数量</w:t>
            </w:r>
          </w:p>
        </w:tc>
        <w:tc>
          <w:tcPr>
            <w:tcW w:w="291" w:type="pct"/>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单价</w:t>
            </w:r>
          </w:p>
        </w:tc>
        <w:tc>
          <w:tcPr>
            <w:tcW w:w="2298" w:type="pct"/>
            <w:gridSpan w:val="7"/>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政府采购金额</w:t>
            </w:r>
          </w:p>
        </w:tc>
      </w:tr>
      <w:tr w:rsidR="00DC64AD" w:rsidRPr="00975F80" w:rsidTr="00444363">
        <w:trPr>
          <w:tblHeader/>
          <w:jc w:val="center"/>
        </w:trPr>
        <w:tc>
          <w:tcPr>
            <w:tcW w:w="840" w:type="pct"/>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项目名称</w:t>
            </w:r>
          </w:p>
        </w:tc>
        <w:tc>
          <w:tcPr>
            <w:tcW w:w="377" w:type="pct"/>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预算资金</w:t>
            </w:r>
          </w:p>
        </w:tc>
        <w:tc>
          <w:tcPr>
            <w:tcW w:w="334"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338"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261"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261"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291"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330" w:type="pct"/>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总计</w:t>
            </w:r>
          </w:p>
        </w:tc>
        <w:tc>
          <w:tcPr>
            <w:tcW w:w="1652" w:type="pct"/>
            <w:gridSpan w:val="5"/>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当年部门预算安排资金</w:t>
            </w:r>
          </w:p>
        </w:tc>
        <w:tc>
          <w:tcPr>
            <w:tcW w:w="316" w:type="pct"/>
            <w:vMerge w:val="restar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其他渠道资金</w:t>
            </w:r>
          </w:p>
        </w:tc>
      </w:tr>
      <w:tr w:rsidR="00DC64AD" w:rsidRPr="00975F80" w:rsidTr="00444363">
        <w:trPr>
          <w:tblHeader/>
          <w:jc w:val="center"/>
        </w:trPr>
        <w:tc>
          <w:tcPr>
            <w:tcW w:w="840"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377"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334"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338"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261"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261"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291"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330"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c>
          <w:tcPr>
            <w:tcW w:w="330" w:type="pc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合计</w:t>
            </w:r>
          </w:p>
        </w:tc>
        <w:tc>
          <w:tcPr>
            <w:tcW w:w="330" w:type="pc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一般公共预算拨款</w:t>
            </w:r>
          </w:p>
        </w:tc>
        <w:tc>
          <w:tcPr>
            <w:tcW w:w="330" w:type="pc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基金预算拨款</w:t>
            </w:r>
          </w:p>
        </w:tc>
        <w:tc>
          <w:tcPr>
            <w:tcW w:w="331" w:type="pc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财政专户核拨</w:t>
            </w:r>
          </w:p>
        </w:tc>
        <w:tc>
          <w:tcPr>
            <w:tcW w:w="331" w:type="pc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r w:rsidRPr="00975F80">
              <w:rPr>
                <w:rFonts w:asciiTheme="minorEastAsia" w:eastAsiaTheme="minorEastAsia" w:hAnsiTheme="minorEastAsia" w:hint="eastAsia"/>
                <w:b/>
                <w:color w:val="000000" w:themeColor="text1"/>
                <w:sz w:val="24"/>
              </w:rPr>
              <w:t>其他来源收入</w:t>
            </w:r>
          </w:p>
        </w:tc>
        <w:tc>
          <w:tcPr>
            <w:tcW w:w="316" w:type="pct"/>
            <w:vMerge/>
            <w:shd w:val="clear" w:color="auto" w:fill="auto"/>
            <w:vAlign w:val="center"/>
          </w:tcPr>
          <w:p w:rsidR="00DC64AD" w:rsidRPr="00975F80" w:rsidRDefault="00DC64AD" w:rsidP="00975F80">
            <w:pPr>
              <w:jc w:val="left"/>
              <w:outlineLvl w:val="0"/>
              <w:rPr>
                <w:rFonts w:asciiTheme="minorEastAsia" w:eastAsiaTheme="minorEastAsia" w:hAnsiTheme="minorEastAsia"/>
                <w:color w:val="000000" w:themeColor="text1"/>
                <w:sz w:val="24"/>
              </w:rPr>
            </w:pPr>
          </w:p>
        </w:tc>
      </w:tr>
      <w:tr w:rsidR="00DC64AD" w:rsidRPr="00975F80" w:rsidTr="00444363">
        <w:trPr>
          <w:jc w:val="center"/>
        </w:trPr>
        <w:tc>
          <w:tcPr>
            <w:tcW w:w="840" w:type="pc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p>
        </w:tc>
        <w:tc>
          <w:tcPr>
            <w:tcW w:w="377"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4" w:type="pct"/>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338" w:type="pct"/>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261" w:type="pct"/>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261"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291"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1"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1"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16"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r>
      <w:tr w:rsidR="00DC64AD" w:rsidRPr="00975F80" w:rsidTr="00444363">
        <w:trPr>
          <w:jc w:val="center"/>
        </w:trPr>
        <w:tc>
          <w:tcPr>
            <w:tcW w:w="840" w:type="pct"/>
            <w:shd w:val="clear" w:color="auto" w:fill="auto"/>
            <w:vAlign w:val="center"/>
          </w:tcPr>
          <w:p w:rsidR="00DC64AD" w:rsidRPr="00975F80" w:rsidRDefault="00DC64AD" w:rsidP="00975F80">
            <w:pPr>
              <w:jc w:val="center"/>
              <w:rPr>
                <w:rFonts w:asciiTheme="minorEastAsia" w:eastAsiaTheme="minorEastAsia" w:hAnsiTheme="minorEastAsia"/>
                <w:b/>
                <w:color w:val="000000" w:themeColor="text1"/>
                <w:sz w:val="24"/>
              </w:rPr>
            </w:pPr>
          </w:p>
        </w:tc>
        <w:tc>
          <w:tcPr>
            <w:tcW w:w="377"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4" w:type="pct"/>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338" w:type="pct"/>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261" w:type="pct"/>
            <w:shd w:val="clear" w:color="auto" w:fill="auto"/>
            <w:vAlign w:val="center"/>
          </w:tcPr>
          <w:p w:rsidR="00DC64AD" w:rsidRPr="00975F80" w:rsidRDefault="00DC64AD" w:rsidP="00975F80">
            <w:pPr>
              <w:jc w:val="left"/>
              <w:rPr>
                <w:rFonts w:asciiTheme="minorEastAsia" w:eastAsiaTheme="minorEastAsia" w:hAnsiTheme="minorEastAsia"/>
                <w:b/>
                <w:color w:val="000000" w:themeColor="text1"/>
                <w:sz w:val="24"/>
              </w:rPr>
            </w:pPr>
          </w:p>
        </w:tc>
        <w:tc>
          <w:tcPr>
            <w:tcW w:w="261"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291"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1"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31"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c>
          <w:tcPr>
            <w:tcW w:w="316" w:type="pct"/>
            <w:shd w:val="clear" w:color="auto" w:fill="auto"/>
            <w:vAlign w:val="center"/>
          </w:tcPr>
          <w:p w:rsidR="00DC64AD" w:rsidRPr="00975F80" w:rsidRDefault="00DC64AD" w:rsidP="00975F80">
            <w:pPr>
              <w:jc w:val="right"/>
              <w:rPr>
                <w:rFonts w:asciiTheme="minorEastAsia" w:eastAsiaTheme="minorEastAsia" w:hAnsiTheme="minorEastAsia"/>
                <w:b/>
                <w:color w:val="000000" w:themeColor="text1"/>
                <w:sz w:val="24"/>
              </w:rPr>
            </w:pPr>
          </w:p>
        </w:tc>
      </w:tr>
      <w:tr w:rsidR="00DC64AD" w:rsidRPr="00975F80" w:rsidTr="00444363">
        <w:trPr>
          <w:jc w:val="center"/>
        </w:trPr>
        <w:tc>
          <w:tcPr>
            <w:tcW w:w="840" w:type="pc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377"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4" w:type="pc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338" w:type="pc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61" w:type="pc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61"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291"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1"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1"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16"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r>
      <w:tr w:rsidR="00DC64AD" w:rsidRPr="00975F80" w:rsidTr="00444363">
        <w:trPr>
          <w:jc w:val="center"/>
        </w:trPr>
        <w:tc>
          <w:tcPr>
            <w:tcW w:w="840" w:type="pc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377"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4" w:type="pc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338" w:type="pc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61" w:type="pct"/>
            <w:shd w:val="clear" w:color="auto" w:fill="auto"/>
            <w:vAlign w:val="center"/>
          </w:tcPr>
          <w:p w:rsidR="00DC64AD" w:rsidRPr="00975F80" w:rsidRDefault="00DC64AD" w:rsidP="00975F80">
            <w:pPr>
              <w:jc w:val="left"/>
              <w:rPr>
                <w:rFonts w:asciiTheme="minorEastAsia" w:eastAsiaTheme="minorEastAsia" w:hAnsiTheme="minorEastAsia"/>
                <w:color w:val="000000" w:themeColor="text1"/>
                <w:sz w:val="24"/>
              </w:rPr>
            </w:pPr>
          </w:p>
        </w:tc>
        <w:tc>
          <w:tcPr>
            <w:tcW w:w="261"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291"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0"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1"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31"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c>
          <w:tcPr>
            <w:tcW w:w="316" w:type="pct"/>
            <w:shd w:val="clear" w:color="auto" w:fill="auto"/>
            <w:vAlign w:val="center"/>
          </w:tcPr>
          <w:p w:rsidR="00DC64AD" w:rsidRPr="00975F80" w:rsidRDefault="00DC64AD" w:rsidP="00975F80">
            <w:pPr>
              <w:jc w:val="right"/>
              <w:rPr>
                <w:rFonts w:asciiTheme="minorEastAsia" w:eastAsiaTheme="minorEastAsia" w:hAnsiTheme="minorEastAsia"/>
                <w:color w:val="000000" w:themeColor="text1"/>
                <w:sz w:val="24"/>
              </w:rPr>
            </w:pPr>
          </w:p>
        </w:tc>
      </w:tr>
    </w:tbl>
    <w:p w:rsidR="00DC64AD" w:rsidRPr="006239B8" w:rsidRDefault="00DC64AD" w:rsidP="00951FDB">
      <w:pPr>
        <w:widowControl/>
        <w:spacing w:line="600" w:lineRule="exact"/>
        <w:ind w:firstLineChars="196" w:firstLine="627"/>
        <w:jc w:val="left"/>
        <w:rPr>
          <w:rFonts w:ascii="黑体" w:eastAsia="黑体" w:hAnsi="黑体" w:cs="宋体"/>
          <w:color w:val="000000" w:themeColor="text1"/>
          <w:kern w:val="0"/>
          <w:sz w:val="32"/>
          <w:szCs w:val="32"/>
        </w:rPr>
      </w:pPr>
      <w:r w:rsidRPr="006239B8">
        <w:rPr>
          <w:rFonts w:ascii="黑体" w:eastAsia="黑体" w:hAnsi="黑体" w:cs="宋体" w:hint="eastAsia"/>
          <w:color w:val="000000" w:themeColor="text1"/>
          <w:kern w:val="0"/>
          <w:sz w:val="32"/>
          <w:szCs w:val="32"/>
        </w:rPr>
        <w:t>七、国有资产信息</w:t>
      </w:r>
    </w:p>
    <w:p w:rsidR="00DC64AD" w:rsidRPr="00951FDB"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本部门上年末固定资产金额为65.23万元（详见下表），其中:房屋0万元；车辆保有量2辆31.44万元；无单价在20万以上设备；其他固定资产33.79万元（包括通用设备32.62万元、专用设备0万元、家具用具等1.17万元）；本年度拟购置固定资产总额为5.2万元。主要为计算机设备。</w:t>
      </w:r>
    </w:p>
    <w:p w:rsidR="00DC64AD" w:rsidRPr="00951FDB" w:rsidRDefault="00DC64AD" w:rsidP="00951FDB">
      <w:pPr>
        <w:spacing w:line="600" w:lineRule="exact"/>
        <w:jc w:val="center"/>
        <w:rPr>
          <w:rFonts w:ascii="仿宋_GB2312" w:eastAsia="仿宋_GB2312"/>
          <w:color w:val="000000" w:themeColor="text1"/>
          <w:sz w:val="32"/>
          <w:szCs w:val="32"/>
        </w:rPr>
      </w:pPr>
      <w:r w:rsidRPr="00951FDB">
        <w:rPr>
          <w:rFonts w:ascii="仿宋_GB2312" w:eastAsia="仿宋_GB2312" w:hAnsi="宋体" w:hint="eastAsia"/>
          <w:bCs/>
          <w:color w:val="000000" w:themeColor="text1"/>
          <w:sz w:val="32"/>
          <w:szCs w:val="32"/>
        </w:rPr>
        <w:lastRenderedPageBreak/>
        <w:t>部门固定资产占用情况表</w:t>
      </w:r>
    </w:p>
    <w:tbl>
      <w:tblPr>
        <w:tblW w:w="0" w:type="auto"/>
        <w:tblInd w:w="964" w:type="dxa"/>
        <w:tblLayout w:type="fixed"/>
        <w:tblLook w:val="0000"/>
      </w:tblPr>
      <w:tblGrid>
        <w:gridCol w:w="4012"/>
        <w:gridCol w:w="2006"/>
        <w:gridCol w:w="2006"/>
        <w:gridCol w:w="4013"/>
      </w:tblGrid>
      <w:tr w:rsidR="00DC64AD" w:rsidRPr="00975F80" w:rsidTr="00E71CB6">
        <w:trPr>
          <w:trHeight w:val="110"/>
        </w:trPr>
        <w:tc>
          <w:tcPr>
            <w:tcW w:w="6018" w:type="dxa"/>
            <w:gridSpan w:val="2"/>
            <w:tcBorders>
              <w:top w:val="nil"/>
              <w:left w:val="nil"/>
              <w:bottom w:val="single" w:sz="4" w:space="0" w:color="auto"/>
              <w:right w:val="nil"/>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编制部门：北戴河区统计局</w:t>
            </w:r>
          </w:p>
        </w:tc>
        <w:tc>
          <w:tcPr>
            <w:tcW w:w="6019" w:type="dxa"/>
            <w:gridSpan w:val="2"/>
            <w:tcBorders>
              <w:top w:val="nil"/>
              <w:left w:val="nil"/>
              <w:bottom w:val="single" w:sz="4" w:space="0" w:color="auto"/>
              <w:right w:val="nil"/>
            </w:tcBorders>
          </w:tcPr>
          <w:p w:rsidR="00DC64AD" w:rsidRPr="00975F80" w:rsidRDefault="00DC64AD" w:rsidP="00975F80">
            <w:pPr>
              <w:ind w:firstLineChars="450" w:firstLine="1080"/>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 xml:space="preserve">截止时间：2018年12月31日 </w:t>
            </w:r>
          </w:p>
        </w:tc>
      </w:tr>
      <w:tr w:rsidR="00DC64AD" w:rsidRPr="00975F80" w:rsidTr="00E71CB6">
        <w:trPr>
          <w:trHeight w:val="110"/>
        </w:trPr>
        <w:tc>
          <w:tcPr>
            <w:tcW w:w="4012"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黑体"/>
                <w:color w:val="000000" w:themeColor="text1"/>
                <w:sz w:val="24"/>
              </w:rPr>
            </w:pPr>
            <w:r w:rsidRPr="00975F80">
              <w:rPr>
                <w:rFonts w:asciiTheme="minorEastAsia" w:eastAsiaTheme="minorEastAsia" w:hAnsiTheme="minorEastAsia" w:cs="黑体" w:hint="eastAsia"/>
                <w:color w:val="000000" w:themeColor="text1"/>
                <w:sz w:val="24"/>
              </w:rPr>
              <w:t xml:space="preserve">项 目 </w:t>
            </w:r>
          </w:p>
        </w:tc>
        <w:tc>
          <w:tcPr>
            <w:tcW w:w="4012" w:type="dxa"/>
            <w:gridSpan w:val="2"/>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黑体"/>
                <w:color w:val="000000" w:themeColor="text1"/>
                <w:sz w:val="24"/>
              </w:rPr>
            </w:pPr>
            <w:r w:rsidRPr="00975F80">
              <w:rPr>
                <w:rFonts w:asciiTheme="minorEastAsia" w:eastAsiaTheme="minorEastAsia" w:hAnsiTheme="minorEastAsia" w:cs="黑体" w:hint="eastAsia"/>
                <w:color w:val="000000" w:themeColor="text1"/>
                <w:sz w:val="24"/>
              </w:rPr>
              <w:t xml:space="preserve">数量 </w:t>
            </w:r>
          </w:p>
        </w:tc>
        <w:tc>
          <w:tcPr>
            <w:tcW w:w="4013"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黑体"/>
                <w:color w:val="000000" w:themeColor="text1"/>
                <w:sz w:val="24"/>
              </w:rPr>
            </w:pPr>
            <w:r w:rsidRPr="00975F80">
              <w:rPr>
                <w:rFonts w:asciiTheme="minorEastAsia" w:eastAsiaTheme="minorEastAsia" w:hAnsiTheme="minorEastAsia" w:cs="黑体" w:hint="eastAsia"/>
                <w:color w:val="000000" w:themeColor="text1"/>
                <w:sz w:val="24"/>
              </w:rPr>
              <w:t xml:space="preserve">价值（金额单位：万元） </w:t>
            </w:r>
          </w:p>
        </w:tc>
      </w:tr>
      <w:tr w:rsidR="00DC64AD" w:rsidRPr="00975F80" w:rsidTr="00E71CB6">
        <w:trPr>
          <w:trHeight w:val="110"/>
        </w:trPr>
        <w:tc>
          <w:tcPr>
            <w:tcW w:w="4012"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 xml:space="preserve">资产总额 </w:t>
            </w:r>
          </w:p>
        </w:tc>
        <w:tc>
          <w:tcPr>
            <w:tcW w:w="4012" w:type="dxa"/>
            <w:gridSpan w:val="2"/>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 xml:space="preserve">—— </w:t>
            </w:r>
          </w:p>
        </w:tc>
        <w:tc>
          <w:tcPr>
            <w:tcW w:w="4013"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65.23</w:t>
            </w:r>
          </w:p>
        </w:tc>
      </w:tr>
      <w:tr w:rsidR="00DC64AD" w:rsidRPr="00975F80" w:rsidTr="00E71CB6">
        <w:trPr>
          <w:trHeight w:val="110"/>
        </w:trPr>
        <w:tc>
          <w:tcPr>
            <w:tcW w:w="4012"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 xml:space="preserve">1、房屋（平方米） </w:t>
            </w:r>
          </w:p>
        </w:tc>
        <w:tc>
          <w:tcPr>
            <w:tcW w:w="4012" w:type="dxa"/>
            <w:gridSpan w:val="2"/>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0</w:t>
            </w:r>
          </w:p>
        </w:tc>
        <w:tc>
          <w:tcPr>
            <w:tcW w:w="4013"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0</w:t>
            </w:r>
          </w:p>
        </w:tc>
      </w:tr>
      <w:tr w:rsidR="00DC64AD" w:rsidRPr="00975F80" w:rsidTr="00E71CB6">
        <w:trPr>
          <w:trHeight w:val="110"/>
        </w:trPr>
        <w:tc>
          <w:tcPr>
            <w:tcW w:w="4012"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 xml:space="preserve">其中：办公用房（平方米） </w:t>
            </w:r>
          </w:p>
        </w:tc>
        <w:tc>
          <w:tcPr>
            <w:tcW w:w="4012" w:type="dxa"/>
            <w:gridSpan w:val="2"/>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0</w:t>
            </w:r>
          </w:p>
        </w:tc>
        <w:tc>
          <w:tcPr>
            <w:tcW w:w="4013"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0</w:t>
            </w:r>
          </w:p>
        </w:tc>
      </w:tr>
      <w:tr w:rsidR="00DC64AD" w:rsidRPr="00975F80" w:rsidTr="00E71CB6">
        <w:trPr>
          <w:trHeight w:val="110"/>
        </w:trPr>
        <w:tc>
          <w:tcPr>
            <w:tcW w:w="4012"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 xml:space="preserve">2、车辆（台、辆） </w:t>
            </w:r>
          </w:p>
        </w:tc>
        <w:tc>
          <w:tcPr>
            <w:tcW w:w="4012" w:type="dxa"/>
            <w:gridSpan w:val="2"/>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2</w:t>
            </w:r>
          </w:p>
        </w:tc>
        <w:tc>
          <w:tcPr>
            <w:tcW w:w="4013"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31.44</w:t>
            </w:r>
          </w:p>
        </w:tc>
      </w:tr>
      <w:tr w:rsidR="00DC64AD" w:rsidRPr="00975F80" w:rsidTr="00E71CB6">
        <w:trPr>
          <w:trHeight w:val="110"/>
        </w:trPr>
        <w:tc>
          <w:tcPr>
            <w:tcW w:w="4012"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 xml:space="preserve">3、单价在20万元以上的设备 </w:t>
            </w:r>
          </w:p>
        </w:tc>
        <w:tc>
          <w:tcPr>
            <w:tcW w:w="4012" w:type="dxa"/>
            <w:gridSpan w:val="2"/>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 xml:space="preserve">—— </w:t>
            </w:r>
          </w:p>
        </w:tc>
        <w:tc>
          <w:tcPr>
            <w:tcW w:w="4013"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 xml:space="preserve">—— </w:t>
            </w:r>
          </w:p>
        </w:tc>
      </w:tr>
      <w:tr w:rsidR="00DC64AD" w:rsidRPr="00975F80" w:rsidTr="00E71CB6">
        <w:trPr>
          <w:trHeight w:val="110"/>
        </w:trPr>
        <w:tc>
          <w:tcPr>
            <w:tcW w:w="4012"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 xml:space="preserve">4、其他固定资产 </w:t>
            </w:r>
          </w:p>
        </w:tc>
        <w:tc>
          <w:tcPr>
            <w:tcW w:w="4012" w:type="dxa"/>
            <w:gridSpan w:val="2"/>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121</w:t>
            </w:r>
          </w:p>
        </w:tc>
        <w:tc>
          <w:tcPr>
            <w:tcW w:w="4013" w:type="dxa"/>
            <w:tcBorders>
              <w:top w:val="single" w:sz="4" w:space="0" w:color="auto"/>
              <w:left w:val="single" w:sz="4" w:space="0" w:color="auto"/>
              <w:bottom w:val="single" w:sz="4" w:space="0" w:color="auto"/>
              <w:right w:val="single" w:sz="4" w:space="0" w:color="auto"/>
            </w:tcBorders>
          </w:tcPr>
          <w:p w:rsidR="00DC64AD" w:rsidRPr="00975F80" w:rsidRDefault="00DC64AD" w:rsidP="00975F80">
            <w:pPr>
              <w:jc w:val="left"/>
              <w:rPr>
                <w:rFonts w:asciiTheme="minorEastAsia" w:eastAsiaTheme="minorEastAsia" w:hAnsiTheme="minorEastAsia" w:cs="仿宋"/>
                <w:color w:val="000000" w:themeColor="text1"/>
                <w:sz w:val="24"/>
              </w:rPr>
            </w:pPr>
            <w:r w:rsidRPr="00975F80">
              <w:rPr>
                <w:rFonts w:asciiTheme="minorEastAsia" w:eastAsiaTheme="minorEastAsia" w:hAnsiTheme="minorEastAsia" w:cs="仿宋" w:hint="eastAsia"/>
                <w:color w:val="000000" w:themeColor="text1"/>
                <w:sz w:val="24"/>
              </w:rPr>
              <w:t>33.79</w:t>
            </w:r>
          </w:p>
        </w:tc>
      </w:tr>
    </w:tbl>
    <w:p w:rsidR="00DC64AD" w:rsidRPr="006239B8" w:rsidRDefault="00DC64AD" w:rsidP="00951FDB">
      <w:pPr>
        <w:widowControl/>
        <w:spacing w:line="600" w:lineRule="exact"/>
        <w:ind w:firstLineChars="196" w:firstLine="627"/>
        <w:jc w:val="left"/>
        <w:rPr>
          <w:rFonts w:ascii="黑体" w:eastAsia="黑体" w:hAnsi="黑体" w:cs="宋体"/>
          <w:color w:val="000000" w:themeColor="text1"/>
          <w:kern w:val="0"/>
          <w:sz w:val="32"/>
          <w:szCs w:val="32"/>
        </w:rPr>
      </w:pPr>
      <w:r w:rsidRPr="006239B8">
        <w:rPr>
          <w:rFonts w:ascii="黑体" w:eastAsia="黑体" w:hAnsi="黑体" w:cs="宋体" w:hint="eastAsia"/>
          <w:color w:val="000000" w:themeColor="text1"/>
          <w:kern w:val="0"/>
          <w:sz w:val="32"/>
          <w:szCs w:val="32"/>
        </w:rPr>
        <w:t>八、名词解释</w:t>
      </w:r>
    </w:p>
    <w:p w:rsidR="00DC64AD" w:rsidRPr="00951FDB"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1、一般公共预算拨款收入：指省级财政当年拨付的资金。</w:t>
      </w:r>
    </w:p>
    <w:p w:rsidR="00DC64AD" w:rsidRPr="00951FDB"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2、事业收入：指事业单位开展专业业务活动及辅助活动所取得的收入。</w:t>
      </w:r>
    </w:p>
    <w:p w:rsidR="00DC64AD" w:rsidRPr="00951FDB"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3、其他收入：指除“一般公共预算拨款收入”、“事业收入”等以外的收入。主要是按规定动用的租房收入、存款利息收入等。</w:t>
      </w:r>
    </w:p>
    <w:p w:rsidR="00DC64AD" w:rsidRPr="00951FDB"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4、基本支出：指为保障机构正常运转、完成日常工作任务而发生的人员支出和公用支出。</w:t>
      </w:r>
    </w:p>
    <w:p w:rsidR="00DC64AD" w:rsidRPr="00951FDB"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5、项目支出：指在基本支出之外为完成特定行政任务和事业发展目标所发生的支出。</w:t>
      </w:r>
    </w:p>
    <w:p w:rsidR="00DC64AD" w:rsidRPr="00951FDB"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6、上缴上级支出：指下级单位上缴上级的支出。</w:t>
      </w:r>
    </w:p>
    <w:p w:rsidR="00DC64AD" w:rsidRPr="00951FDB"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lastRenderedPageBreak/>
        <w:t>7、“三公”经费：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DC64AD" w:rsidRPr="00951FDB"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8、机关运行费：是指各部门的公用经费，包括办公及印刷费、邮电费、差旅费、会议费、福利费、日常维修费、专用材料及一般设备购置费、办公用房水电费、办公用房取暖费、办公用房物业管理费、公务用车运行维护费以及其他费用。</w:t>
      </w:r>
    </w:p>
    <w:p w:rsidR="00DC64AD" w:rsidRPr="00951FDB" w:rsidRDefault="00DC64AD" w:rsidP="006239B8">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9、上年结转：指以前年度尚未完成、结转到本年仍按原规定用途继续使用的资金。</w:t>
      </w:r>
    </w:p>
    <w:p w:rsidR="00FE6D63" w:rsidRDefault="00DC64AD" w:rsidP="00FE6D63">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10、事业单位经营支出：指事业单位在专业业务活动及其辅助活动之外开展非独立核算经营活动发生的支出。</w:t>
      </w:r>
    </w:p>
    <w:p w:rsidR="00DC64AD" w:rsidRPr="00FE6D63" w:rsidRDefault="00DC64AD" w:rsidP="00FE6D63">
      <w:pPr>
        <w:widowControl/>
        <w:spacing w:line="600" w:lineRule="exact"/>
        <w:ind w:firstLine="480"/>
        <w:jc w:val="left"/>
        <w:rPr>
          <w:rFonts w:ascii="黑体" w:eastAsia="黑体" w:hAnsi="黑体" w:cs="仿宋"/>
          <w:color w:val="000000" w:themeColor="text1"/>
          <w:kern w:val="0"/>
          <w:sz w:val="32"/>
          <w:szCs w:val="32"/>
        </w:rPr>
      </w:pPr>
      <w:r w:rsidRPr="00FE6D63">
        <w:rPr>
          <w:rFonts w:ascii="黑体" w:eastAsia="黑体" w:hAnsi="黑体" w:cs="宋体" w:hint="eastAsia"/>
          <w:color w:val="000000" w:themeColor="text1"/>
          <w:kern w:val="0"/>
          <w:sz w:val="32"/>
          <w:szCs w:val="32"/>
        </w:rPr>
        <w:t>九、其他需说明的事项</w:t>
      </w:r>
    </w:p>
    <w:p w:rsidR="008B7CAA" w:rsidRPr="00975F80" w:rsidRDefault="00DC64AD" w:rsidP="00975F80">
      <w:pPr>
        <w:widowControl/>
        <w:spacing w:line="600" w:lineRule="exact"/>
        <w:ind w:firstLine="480"/>
        <w:jc w:val="left"/>
        <w:rPr>
          <w:rFonts w:ascii="仿宋_GB2312" w:eastAsia="仿宋_GB2312" w:hAnsi="仿宋" w:cs="仿宋"/>
          <w:color w:val="000000" w:themeColor="text1"/>
          <w:kern w:val="0"/>
          <w:sz w:val="32"/>
          <w:szCs w:val="32"/>
        </w:rPr>
      </w:pPr>
      <w:r w:rsidRPr="00951FDB">
        <w:rPr>
          <w:rFonts w:ascii="仿宋_GB2312" w:eastAsia="仿宋_GB2312" w:hAnsi="仿宋" w:cs="仿宋" w:hint="eastAsia"/>
          <w:color w:val="000000" w:themeColor="text1"/>
          <w:kern w:val="0"/>
          <w:sz w:val="32"/>
          <w:szCs w:val="32"/>
        </w:rPr>
        <w:t>无其他需说明的事项。</w:t>
      </w:r>
    </w:p>
    <w:sectPr w:rsidR="008B7CAA" w:rsidRPr="00975F80" w:rsidSect="00C63118">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9C7" w:rsidRDefault="00ED19C7" w:rsidP="00DC64AD">
      <w:r>
        <w:separator/>
      </w:r>
    </w:p>
  </w:endnote>
  <w:endnote w:type="continuationSeparator" w:id="1">
    <w:p w:rsidR="00ED19C7" w:rsidRDefault="00ED19C7" w:rsidP="00DC64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方正楷体_GBK">
    <w:altName w:val="宋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9C7" w:rsidRDefault="00ED19C7" w:rsidP="00DC64AD">
      <w:r>
        <w:separator/>
      </w:r>
    </w:p>
  </w:footnote>
  <w:footnote w:type="continuationSeparator" w:id="1">
    <w:p w:rsidR="00ED19C7" w:rsidRDefault="00ED19C7" w:rsidP="00DC64AD">
      <w:r>
        <w:continuationSeparator/>
      </w:r>
    </w:p>
  </w:footnote>
  <w:footnote w:id="2">
    <w:p w:rsidR="00DC64AD" w:rsidRDefault="00DC64AD" w:rsidP="00DC64AD">
      <w:pPr>
        <w:pStyle w:val="a6"/>
      </w:pPr>
      <w:r w:rsidRPr="00503579">
        <w:rPr>
          <w:rStyle w:val="a5"/>
        </w:rPr>
        <w:sym w:font="Symbol" w:char="F020"/>
      </w:r>
      <w:r w:rsidRPr="00503579">
        <w:rPr>
          <w:rFonts w:ascii="方正楷体_GBK" w:eastAsia="方正楷体_GBK" w:hint="eastAsia"/>
          <w:sz w:val="24"/>
        </w:rPr>
        <w:t>备注：表中的年度预算数为项目支出，部门工作活动虽未安排项目支出，但由基本支出保障，由于基本支出无法拆分到相应的工作活动，因此部分工作活动没有列示年度预算数。</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64AD"/>
    <w:rsid w:val="00107A93"/>
    <w:rsid w:val="00117FE7"/>
    <w:rsid w:val="001C0F7D"/>
    <w:rsid w:val="001D27D4"/>
    <w:rsid w:val="00275B55"/>
    <w:rsid w:val="00290D92"/>
    <w:rsid w:val="00386D2C"/>
    <w:rsid w:val="00444363"/>
    <w:rsid w:val="00497C92"/>
    <w:rsid w:val="005C191E"/>
    <w:rsid w:val="006239B8"/>
    <w:rsid w:val="006B0B30"/>
    <w:rsid w:val="0080464C"/>
    <w:rsid w:val="00951FDB"/>
    <w:rsid w:val="00975F80"/>
    <w:rsid w:val="00A44B84"/>
    <w:rsid w:val="00D9360A"/>
    <w:rsid w:val="00DB3AA3"/>
    <w:rsid w:val="00DC64AD"/>
    <w:rsid w:val="00E11995"/>
    <w:rsid w:val="00ED19C7"/>
    <w:rsid w:val="00F73929"/>
    <w:rsid w:val="00FE6D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4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DC64AD"/>
    <w:rPr>
      <w:sz w:val="21"/>
      <w:szCs w:val="21"/>
    </w:rPr>
  </w:style>
  <w:style w:type="paragraph" w:styleId="a4">
    <w:name w:val="annotation text"/>
    <w:basedOn w:val="a"/>
    <w:link w:val="Char"/>
    <w:rsid w:val="00DC64AD"/>
    <w:pPr>
      <w:jc w:val="left"/>
    </w:pPr>
  </w:style>
  <w:style w:type="character" w:customStyle="1" w:styleId="Char">
    <w:name w:val="批注文字 Char"/>
    <w:basedOn w:val="a0"/>
    <w:link w:val="a4"/>
    <w:rsid w:val="00DC64AD"/>
    <w:rPr>
      <w:rFonts w:ascii="Times New Roman" w:eastAsia="宋体" w:hAnsi="Times New Roman" w:cs="Times New Roman"/>
      <w:szCs w:val="24"/>
    </w:rPr>
  </w:style>
  <w:style w:type="character" w:styleId="a5">
    <w:name w:val="footnote reference"/>
    <w:basedOn w:val="a0"/>
    <w:rsid w:val="00DC64AD"/>
    <w:rPr>
      <w:vertAlign w:val="superscript"/>
    </w:rPr>
  </w:style>
  <w:style w:type="paragraph" w:styleId="a6">
    <w:name w:val="footnote text"/>
    <w:basedOn w:val="a"/>
    <w:link w:val="Char0"/>
    <w:rsid w:val="00DC64AD"/>
    <w:pPr>
      <w:snapToGrid w:val="0"/>
      <w:jc w:val="left"/>
    </w:pPr>
    <w:rPr>
      <w:sz w:val="18"/>
      <w:szCs w:val="18"/>
    </w:rPr>
  </w:style>
  <w:style w:type="character" w:customStyle="1" w:styleId="Char0">
    <w:name w:val="脚注文本 Char"/>
    <w:basedOn w:val="a0"/>
    <w:link w:val="a6"/>
    <w:rsid w:val="00DC64AD"/>
    <w:rPr>
      <w:rFonts w:ascii="Times New Roman" w:eastAsia="宋体" w:hAnsi="Times New Roman" w:cs="Times New Roman"/>
      <w:sz w:val="18"/>
      <w:szCs w:val="18"/>
    </w:rPr>
  </w:style>
  <w:style w:type="paragraph" w:styleId="a7">
    <w:name w:val="Balloon Text"/>
    <w:basedOn w:val="a"/>
    <w:link w:val="Char1"/>
    <w:uiPriority w:val="99"/>
    <w:semiHidden/>
    <w:unhideWhenUsed/>
    <w:rsid w:val="00DC64AD"/>
    <w:rPr>
      <w:sz w:val="18"/>
      <w:szCs w:val="18"/>
    </w:rPr>
  </w:style>
  <w:style w:type="character" w:customStyle="1" w:styleId="Char1">
    <w:name w:val="批注框文本 Char"/>
    <w:basedOn w:val="a0"/>
    <w:link w:val="a7"/>
    <w:uiPriority w:val="99"/>
    <w:semiHidden/>
    <w:rsid w:val="00DC64AD"/>
    <w:rPr>
      <w:rFonts w:ascii="Times New Roman" w:eastAsia="宋体" w:hAnsi="Times New Roman" w:cs="Times New Roman"/>
      <w:sz w:val="18"/>
      <w:szCs w:val="18"/>
    </w:rPr>
  </w:style>
  <w:style w:type="paragraph" w:styleId="a8">
    <w:name w:val="header"/>
    <w:basedOn w:val="a"/>
    <w:link w:val="Char2"/>
    <w:uiPriority w:val="99"/>
    <w:semiHidden/>
    <w:unhideWhenUsed/>
    <w:rsid w:val="00D9360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D9360A"/>
    <w:rPr>
      <w:rFonts w:ascii="Times New Roman" w:eastAsia="宋体" w:hAnsi="Times New Roman" w:cs="Times New Roman"/>
      <w:sz w:val="18"/>
      <w:szCs w:val="18"/>
    </w:rPr>
  </w:style>
  <w:style w:type="paragraph" w:styleId="a9">
    <w:name w:val="footer"/>
    <w:basedOn w:val="a"/>
    <w:link w:val="Char3"/>
    <w:uiPriority w:val="99"/>
    <w:semiHidden/>
    <w:unhideWhenUsed/>
    <w:rsid w:val="00D9360A"/>
    <w:pPr>
      <w:tabs>
        <w:tab w:val="center" w:pos="4153"/>
        <w:tab w:val="right" w:pos="8306"/>
      </w:tabs>
      <w:snapToGrid w:val="0"/>
      <w:jc w:val="left"/>
    </w:pPr>
    <w:rPr>
      <w:sz w:val="18"/>
      <w:szCs w:val="18"/>
    </w:rPr>
  </w:style>
  <w:style w:type="character" w:customStyle="1" w:styleId="Char3">
    <w:name w:val="页脚 Char"/>
    <w:basedOn w:val="a0"/>
    <w:link w:val="a9"/>
    <w:uiPriority w:val="99"/>
    <w:semiHidden/>
    <w:rsid w:val="00D9360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910</Words>
  <Characters>5190</Characters>
  <Application>Microsoft Office Word</Application>
  <DocSecurity>0</DocSecurity>
  <Lines>43</Lines>
  <Paragraphs>12</Paragraphs>
  <ScaleCrop>false</ScaleCrop>
  <Company/>
  <LinksUpToDate>false</LinksUpToDate>
  <CharactersWithSpaces>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预算编审中心</cp:lastModifiedBy>
  <cp:revision>16</cp:revision>
  <dcterms:created xsi:type="dcterms:W3CDTF">2019-02-13T01:03:00Z</dcterms:created>
  <dcterms:modified xsi:type="dcterms:W3CDTF">2021-05-14T05:09:00Z</dcterms:modified>
</cp:coreProperties>
</file>