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bookmarkStart w:id="20" w:name="_GoBack"/>
      <w:bookmarkEnd w:id="20"/>
      <w:r>
        <w:tab/>
      </w:r>
      <w:r>
        <w:fldChar w:fldCharType="begin"/>
      </w:r>
      <w:r>
        <w:instrText xml:space="preserve">PAGEREF _Toc_2_2_0000000005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281党校</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92.25</w:t>
            </w:r>
          </w:p>
        </w:tc>
        <w:tc>
          <w:tcPr>
            <w:tcW w:w="4535" w:type="dxa"/>
            <w:vAlign w:val="center"/>
          </w:tcPr>
          <w:p>
            <w:pPr>
              <w:pStyle w:val="12"/>
            </w:pPr>
            <w:r>
              <w:t>一、一般公共服务支出</w:t>
            </w:r>
          </w:p>
        </w:tc>
        <w:tc>
          <w:tcPr>
            <w:tcW w:w="2126" w:type="dxa"/>
            <w:vAlign w:val="center"/>
          </w:tcPr>
          <w:p>
            <w:pPr>
              <w:pStyle w:val="11"/>
            </w:pPr>
            <w:r>
              <w:t>65.77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92.25</w:t>
            </w:r>
          </w:p>
        </w:tc>
        <w:tc>
          <w:tcPr>
            <w:tcW w:w="4535" w:type="dxa"/>
            <w:vAlign w:val="center"/>
          </w:tcPr>
          <w:p>
            <w:pPr>
              <w:pStyle w:val="14"/>
            </w:pPr>
            <w:r>
              <w:t>本年支出合计</w:t>
            </w:r>
          </w:p>
        </w:tc>
        <w:tc>
          <w:tcPr>
            <w:tcW w:w="2126" w:type="dxa"/>
            <w:vAlign w:val="center"/>
          </w:tcPr>
          <w:p>
            <w:pPr>
              <w:pStyle w:val="15"/>
            </w:pPr>
            <w:r>
              <w:t>92.25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92.25</w:t>
            </w:r>
          </w:p>
        </w:tc>
        <w:tc>
          <w:tcPr>
            <w:tcW w:w="4535" w:type="dxa"/>
            <w:vAlign w:val="center"/>
          </w:tcPr>
          <w:p>
            <w:pPr>
              <w:pStyle w:val="14"/>
            </w:pPr>
            <w:r>
              <w:t>支出总计</w:t>
            </w:r>
          </w:p>
        </w:tc>
        <w:tc>
          <w:tcPr>
            <w:tcW w:w="2126" w:type="dxa"/>
            <w:vAlign w:val="center"/>
          </w:tcPr>
          <w:p>
            <w:pPr>
              <w:pStyle w:val="15"/>
            </w:pPr>
            <w:r>
              <w:t>92.25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281党校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92.25</w:t>
            </w:r>
          </w:p>
        </w:tc>
        <w:tc>
          <w:tcPr>
            <w:tcW w:w="1134" w:type="dxa"/>
            <w:vAlign w:val="center"/>
          </w:tcPr>
          <w:p>
            <w:pPr>
              <w:pStyle w:val="15"/>
            </w:pPr>
            <w:r>
              <w:t>92.25</w:t>
            </w:r>
          </w:p>
        </w:tc>
        <w:tc>
          <w:tcPr>
            <w:tcW w:w="1134" w:type="dxa"/>
            <w:vAlign w:val="center"/>
          </w:tcPr>
          <w:p>
            <w:pPr>
              <w:pStyle w:val="15"/>
            </w:pPr>
            <w:r>
              <w:t>92.25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65.77</w:t>
            </w:r>
          </w:p>
        </w:tc>
        <w:tc>
          <w:tcPr>
            <w:tcW w:w="1134" w:type="dxa"/>
            <w:vAlign w:val="center"/>
          </w:tcPr>
          <w:p>
            <w:pPr>
              <w:pStyle w:val="11"/>
            </w:pPr>
            <w:r>
              <w:t>65.77</w:t>
            </w:r>
          </w:p>
        </w:tc>
        <w:tc>
          <w:tcPr>
            <w:tcW w:w="1134" w:type="dxa"/>
            <w:vAlign w:val="center"/>
          </w:tcPr>
          <w:p>
            <w:pPr>
              <w:pStyle w:val="11"/>
            </w:pPr>
            <w:r>
              <w:t>65.77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65.77</w:t>
            </w:r>
          </w:p>
        </w:tc>
        <w:tc>
          <w:tcPr>
            <w:tcW w:w="1134" w:type="dxa"/>
            <w:vAlign w:val="center"/>
          </w:tcPr>
          <w:p>
            <w:pPr>
              <w:pStyle w:val="11"/>
            </w:pPr>
            <w:r>
              <w:t>65.77</w:t>
            </w:r>
          </w:p>
        </w:tc>
        <w:tc>
          <w:tcPr>
            <w:tcW w:w="1134" w:type="dxa"/>
            <w:vAlign w:val="center"/>
          </w:tcPr>
          <w:p>
            <w:pPr>
              <w:pStyle w:val="11"/>
            </w:pPr>
            <w:r>
              <w:t>65.77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63.51</w:t>
            </w:r>
          </w:p>
        </w:tc>
        <w:tc>
          <w:tcPr>
            <w:tcW w:w="1134" w:type="dxa"/>
            <w:vAlign w:val="center"/>
          </w:tcPr>
          <w:p>
            <w:pPr>
              <w:pStyle w:val="11"/>
            </w:pPr>
            <w:r>
              <w:t>63.51</w:t>
            </w:r>
          </w:p>
        </w:tc>
        <w:tc>
          <w:tcPr>
            <w:tcW w:w="1134" w:type="dxa"/>
            <w:vAlign w:val="center"/>
          </w:tcPr>
          <w:p>
            <w:pPr>
              <w:pStyle w:val="11"/>
            </w:pPr>
            <w:r>
              <w:t>63.51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2013199</w:t>
            </w:r>
          </w:p>
        </w:tc>
        <w:tc>
          <w:tcPr>
            <w:tcW w:w="1559" w:type="dxa"/>
            <w:vAlign w:val="center"/>
          </w:tcPr>
          <w:p>
            <w:pPr>
              <w:pStyle w:val="12"/>
            </w:pPr>
            <w:r>
              <w:t>其他党委办公厅（室）及相关机构事务支出</w:t>
            </w:r>
          </w:p>
        </w:tc>
        <w:tc>
          <w:tcPr>
            <w:tcW w:w="1134" w:type="dxa"/>
            <w:vAlign w:val="center"/>
          </w:tcPr>
          <w:p>
            <w:pPr>
              <w:pStyle w:val="11"/>
            </w:pPr>
            <w:r>
              <w:t>2.26</w:t>
            </w:r>
          </w:p>
        </w:tc>
        <w:tc>
          <w:tcPr>
            <w:tcW w:w="1134" w:type="dxa"/>
            <w:vAlign w:val="center"/>
          </w:tcPr>
          <w:p>
            <w:pPr>
              <w:pStyle w:val="11"/>
            </w:pPr>
            <w:r>
              <w:t>2.26</w:t>
            </w:r>
          </w:p>
        </w:tc>
        <w:tc>
          <w:tcPr>
            <w:tcW w:w="1134" w:type="dxa"/>
            <w:vAlign w:val="center"/>
          </w:tcPr>
          <w:p>
            <w:pPr>
              <w:pStyle w:val="11"/>
            </w:pPr>
            <w:r>
              <w:t>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13.33</w:t>
            </w:r>
          </w:p>
        </w:tc>
        <w:tc>
          <w:tcPr>
            <w:tcW w:w="1134" w:type="dxa"/>
            <w:vAlign w:val="center"/>
          </w:tcPr>
          <w:p>
            <w:pPr>
              <w:pStyle w:val="11"/>
            </w:pPr>
            <w:r>
              <w:t>13.33</w:t>
            </w:r>
          </w:p>
        </w:tc>
        <w:tc>
          <w:tcPr>
            <w:tcW w:w="1134" w:type="dxa"/>
            <w:vAlign w:val="center"/>
          </w:tcPr>
          <w:p>
            <w:pPr>
              <w:pStyle w:val="11"/>
            </w:pPr>
            <w:r>
              <w:t>13.33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13.33</w:t>
            </w:r>
          </w:p>
        </w:tc>
        <w:tc>
          <w:tcPr>
            <w:tcW w:w="1134" w:type="dxa"/>
            <w:vAlign w:val="center"/>
          </w:tcPr>
          <w:p>
            <w:pPr>
              <w:pStyle w:val="11"/>
            </w:pPr>
            <w:r>
              <w:t>13.33</w:t>
            </w:r>
          </w:p>
        </w:tc>
        <w:tc>
          <w:tcPr>
            <w:tcW w:w="1134" w:type="dxa"/>
            <w:vAlign w:val="center"/>
          </w:tcPr>
          <w:p>
            <w:pPr>
              <w:pStyle w:val="11"/>
            </w:pPr>
            <w:r>
              <w:t>13.33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7.50</w:t>
            </w:r>
          </w:p>
        </w:tc>
        <w:tc>
          <w:tcPr>
            <w:tcW w:w="1134" w:type="dxa"/>
            <w:vAlign w:val="center"/>
          </w:tcPr>
          <w:p>
            <w:pPr>
              <w:pStyle w:val="11"/>
            </w:pPr>
            <w:r>
              <w:t>7.50</w:t>
            </w:r>
          </w:p>
        </w:tc>
        <w:tc>
          <w:tcPr>
            <w:tcW w:w="1134" w:type="dxa"/>
            <w:vAlign w:val="center"/>
          </w:tcPr>
          <w:p>
            <w:pPr>
              <w:pStyle w:val="11"/>
            </w:pPr>
            <w:r>
              <w:t>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7.12</w:t>
            </w:r>
          </w:p>
        </w:tc>
        <w:tc>
          <w:tcPr>
            <w:tcW w:w="1134" w:type="dxa"/>
            <w:vAlign w:val="center"/>
          </w:tcPr>
          <w:p>
            <w:pPr>
              <w:pStyle w:val="11"/>
            </w:pPr>
            <w:r>
              <w:t>7.12</w:t>
            </w:r>
          </w:p>
        </w:tc>
        <w:tc>
          <w:tcPr>
            <w:tcW w:w="1134" w:type="dxa"/>
            <w:vAlign w:val="center"/>
          </w:tcPr>
          <w:p>
            <w:pPr>
              <w:pStyle w:val="11"/>
            </w:pPr>
            <w:r>
              <w:t>7.12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7.12</w:t>
            </w:r>
          </w:p>
        </w:tc>
        <w:tc>
          <w:tcPr>
            <w:tcW w:w="1134" w:type="dxa"/>
            <w:vAlign w:val="center"/>
          </w:tcPr>
          <w:p>
            <w:pPr>
              <w:pStyle w:val="11"/>
            </w:pPr>
            <w:r>
              <w:t>7.12</w:t>
            </w:r>
          </w:p>
        </w:tc>
        <w:tc>
          <w:tcPr>
            <w:tcW w:w="1134" w:type="dxa"/>
            <w:vAlign w:val="center"/>
          </w:tcPr>
          <w:p>
            <w:pPr>
              <w:pStyle w:val="11"/>
            </w:pPr>
            <w:r>
              <w:t>7.12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2.91</w:t>
            </w:r>
          </w:p>
        </w:tc>
        <w:tc>
          <w:tcPr>
            <w:tcW w:w="1134" w:type="dxa"/>
            <w:vAlign w:val="center"/>
          </w:tcPr>
          <w:p>
            <w:pPr>
              <w:pStyle w:val="11"/>
            </w:pPr>
            <w:r>
              <w:t>2.91</w:t>
            </w:r>
          </w:p>
        </w:tc>
        <w:tc>
          <w:tcPr>
            <w:tcW w:w="1134" w:type="dxa"/>
            <w:vAlign w:val="center"/>
          </w:tcPr>
          <w:p>
            <w:pPr>
              <w:pStyle w:val="11"/>
            </w:pPr>
            <w:r>
              <w:t>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4.21</w:t>
            </w:r>
          </w:p>
        </w:tc>
        <w:tc>
          <w:tcPr>
            <w:tcW w:w="1134" w:type="dxa"/>
            <w:vAlign w:val="center"/>
          </w:tcPr>
          <w:p>
            <w:pPr>
              <w:pStyle w:val="11"/>
            </w:pPr>
            <w:r>
              <w:t>4.21</w:t>
            </w:r>
          </w:p>
        </w:tc>
        <w:tc>
          <w:tcPr>
            <w:tcW w:w="1134" w:type="dxa"/>
            <w:vAlign w:val="center"/>
          </w:tcPr>
          <w:p>
            <w:pPr>
              <w:pStyle w:val="11"/>
            </w:pPr>
            <w:r>
              <w:t>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r>
              <w:t>6.03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281党校</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92.25</w:t>
            </w:r>
          </w:p>
        </w:tc>
        <w:tc>
          <w:tcPr>
            <w:tcW w:w="1361" w:type="dxa"/>
            <w:vAlign w:val="center"/>
          </w:tcPr>
          <w:p>
            <w:pPr>
              <w:pStyle w:val="15"/>
            </w:pPr>
            <w:r>
              <w:t>89.99</w:t>
            </w:r>
          </w:p>
        </w:tc>
        <w:tc>
          <w:tcPr>
            <w:tcW w:w="1361" w:type="dxa"/>
            <w:vAlign w:val="center"/>
          </w:tcPr>
          <w:p>
            <w:pPr>
              <w:pStyle w:val="15"/>
            </w:pPr>
            <w:r>
              <w:t>2.26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65.77</w:t>
            </w:r>
          </w:p>
        </w:tc>
        <w:tc>
          <w:tcPr>
            <w:tcW w:w="1361" w:type="dxa"/>
            <w:vAlign w:val="center"/>
          </w:tcPr>
          <w:p>
            <w:pPr>
              <w:pStyle w:val="11"/>
            </w:pPr>
            <w:r>
              <w:t>63.51</w:t>
            </w:r>
          </w:p>
        </w:tc>
        <w:tc>
          <w:tcPr>
            <w:tcW w:w="1361" w:type="dxa"/>
            <w:vAlign w:val="center"/>
          </w:tcPr>
          <w:p>
            <w:pPr>
              <w:pStyle w:val="11"/>
            </w:pPr>
            <w:r>
              <w:t>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65.77</w:t>
            </w:r>
          </w:p>
        </w:tc>
        <w:tc>
          <w:tcPr>
            <w:tcW w:w="1361" w:type="dxa"/>
            <w:vAlign w:val="center"/>
          </w:tcPr>
          <w:p>
            <w:pPr>
              <w:pStyle w:val="11"/>
            </w:pPr>
            <w:r>
              <w:t>63.51</w:t>
            </w:r>
          </w:p>
        </w:tc>
        <w:tc>
          <w:tcPr>
            <w:tcW w:w="1361" w:type="dxa"/>
            <w:vAlign w:val="center"/>
          </w:tcPr>
          <w:p>
            <w:pPr>
              <w:pStyle w:val="11"/>
            </w:pPr>
            <w:r>
              <w:t>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63.51</w:t>
            </w:r>
          </w:p>
        </w:tc>
        <w:tc>
          <w:tcPr>
            <w:tcW w:w="1361" w:type="dxa"/>
            <w:vAlign w:val="center"/>
          </w:tcPr>
          <w:p>
            <w:pPr>
              <w:pStyle w:val="11"/>
            </w:pPr>
            <w:r>
              <w:t>63.51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2013199</w:t>
            </w:r>
          </w:p>
        </w:tc>
        <w:tc>
          <w:tcPr>
            <w:tcW w:w="4535" w:type="dxa"/>
            <w:vAlign w:val="center"/>
          </w:tcPr>
          <w:p>
            <w:pPr>
              <w:pStyle w:val="12"/>
            </w:pPr>
            <w:r>
              <w:t>其他党委办公厅（室）及相关机构事务支出</w:t>
            </w:r>
          </w:p>
        </w:tc>
        <w:tc>
          <w:tcPr>
            <w:tcW w:w="1361" w:type="dxa"/>
            <w:vAlign w:val="center"/>
          </w:tcPr>
          <w:p>
            <w:pPr>
              <w:pStyle w:val="11"/>
            </w:pPr>
            <w:r>
              <w:t>2.26</w:t>
            </w:r>
          </w:p>
        </w:tc>
        <w:tc>
          <w:tcPr>
            <w:tcW w:w="1361" w:type="dxa"/>
            <w:vAlign w:val="center"/>
          </w:tcPr>
          <w:p>
            <w:pPr>
              <w:pStyle w:val="11"/>
            </w:pPr>
          </w:p>
        </w:tc>
        <w:tc>
          <w:tcPr>
            <w:tcW w:w="1361" w:type="dxa"/>
            <w:vAlign w:val="center"/>
          </w:tcPr>
          <w:p>
            <w:pPr>
              <w:pStyle w:val="11"/>
            </w:pPr>
            <w:r>
              <w:t>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13.33</w:t>
            </w:r>
          </w:p>
        </w:tc>
        <w:tc>
          <w:tcPr>
            <w:tcW w:w="1361" w:type="dxa"/>
            <w:vAlign w:val="center"/>
          </w:tcPr>
          <w:p>
            <w:pPr>
              <w:pStyle w:val="11"/>
            </w:pPr>
            <w:r>
              <w:t>13.33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13.33</w:t>
            </w:r>
          </w:p>
        </w:tc>
        <w:tc>
          <w:tcPr>
            <w:tcW w:w="1361" w:type="dxa"/>
            <w:vAlign w:val="center"/>
          </w:tcPr>
          <w:p>
            <w:pPr>
              <w:pStyle w:val="11"/>
            </w:pPr>
            <w:r>
              <w:t>13.33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5.83</w:t>
            </w:r>
          </w:p>
        </w:tc>
        <w:tc>
          <w:tcPr>
            <w:tcW w:w="1361" w:type="dxa"/>
            <w:vAlign w:val="center"/>
          </w:tcPr>
          <w:p>
            <w:pPr>
              <w:pStyle w:val="11"/>
            </w:pPr>
            <w:r>
              <w:t>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7.50</w:t>
            </w:r>
          </w:p>
        </w:tc>
        <w:tc>
          <w:tcPr>
            <w:tcW w:w="1361" w:type="dxa"/>
            <w:vAlign w:val="center"/>
          </w:tcPr>
          <w:p>
            <w:pPr>
              <w:pStyle w:val="11"/>
            </w:pPr>
            <w:r>
              <w:t>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7.12</w:t>
            </w:r>
          </w:p>
        </w:tc>
        <w:tc>
          <w:tcPr>
            <w:tcW w:w="1361" w:type="dxa"/>
            <w:vAlign w:val="center"/>
          </w:tcPr>
          <w:p>
            <w:pPr>
              <w:pStyle w:val="11"/>
            </w:pPr>
            <w:r>
              <w:t>7.12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7.12</w:t>
            </w:r>
          </w:p>
        </w:tc>
        <w:tc>
          <w:tcPr>
            <w:tcW w:w="1361" w:type="dxa"/>
            <w:vAlign w:val="center"/>
          </w:tcPr>
          <w:p>
            <w:pPr>
              <w:pStyle w:val="11"/>
            </w:pPr>
            <w:r>
              <w:t>7.12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2.91</w:t>
            </w:r>
          </w:p>
        </w:tc>
        <w:tc>
          <w:tcPr>
            <w:tcW w:w="1361" w:type="dxa"/>
            <w:vAlign w:val="center"/>
          </w:tcPr>
          <w:p>
            <w:pPr>
              <w:pStyle w:val="11"/>
            </w:pPr>
            <w:r>
              <w:t>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4.21</w:t>
            </w:r>
          </w:p>
        </w:tc>
        <w:tc>
          <w:tcPr>
            <w:tcW w:w="1361" w:type="dxa"/>
            <w:vAlign w:val="center"/>
          </w:tcPr>
          <w:p>
            <w:pPr>
              <w:pStyle w:val="11"/>
            </w:pPr>
            <w:r>
              <w:t>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6.03</w:t>
            </w:r>
          </w:p>
        </w:tc>
        <w:tc>
          <w:tcPr>
            <w:tcW w:w="1361" w:type="dxa"/>
            <w:vAlign w:val="center"/>
          </w:tcPr>
          <w:p>
            <w:pPr>
              <w:pStyle w:val="11"/>
            </w:pPr>
            <w:r>
              <w:t>6.03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6.03</w:t>
            </w:r>
          </w:p>
        </w:tc>
        <w:tc>
          <w:tcPr>
            <w:tcW w:w="1361" w:type="dxa"/>
            <w:vAlign w:val="center"/>
          </w:tcPr>
          <w:p>
            <w:pPr>
              <w:pStyle w:val="11"/>
            </w:pPr>
            <w:r>
              <w:t>6.03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6.03</w:t>
            </w:r>
          </w:p>
        </w:tc>
        <w:tc>
          <w:tcPr>
            <w:tcW w:w="1361" w:type="dxa"/>
            <w:vAlign w:val="center"/>
          </w:tcPr>
          <w:p>
            <w:pPr>
              <w:pStyle w:val="11"/>
            </w:pPr>
            <w:r>
              <w:t>6.03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281党校</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92.25</w:t>
            </w:r>
          </w:p>
        </w:tc>
        <w:tc>
          <w:tcPr>
            <w:tcW w:w="3402" w:type="dxa"/>
            <w:vAlign w:val="center"/>
          </w:tcPr>
          <w:p>
            <w:pPr>
              <w:pStyle w:val="12"/>
            </w:pPr>
            <w:r>
              <w:t>一、一般公共服务支出</w:t>
            </w:r>
          </w:p>
        </w:tc>
        <w:tc>
          <w:tcPr>
            <w:tcW w:w="1474" w:type="dxa"/>
            <w:vAlign w:val="center"/>
          </w:tcPr>
          <w:p>
            <w:pPr>
              <w:pStyle w:val="11"/>
            </w:pPr>
            <w:r>
              <w:t>65.77</w:t>
            </w:r>
          </w:p>
        </w:tc>
        <w:tc>
          <w:tcPr>
            <w:tcW w:w="1474" w:type="dxa"/>
            <w:vAlign w:val="center"/>
          </w:tcPr>
          <w:p>
            <w:pPr>
              <w:pStyle w:val="11"/>
            </w:pPr>
            <w:r>
              <w:t>65.77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13.33</w:t>
            </w:r>
          </w:p>
        </w:tc>
        <w:tc>
          <w:tcPr>
            <w:tcW w:w="1474" w:type="dxa"/>
            <w:vAlign w:val="center"/>
          </w:tcPr>
          <w:p>
            <w:pPr>
              <w:pStyle w:val="11"/>
            </w:pPr>
            <w:r>
              <w:t>13.33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7.12</w:t>
            </w:r>
          </w:p>
        </w:tc>
        <w:tc>
          <w:tcPr>
            <w:tcW w:w="1474" w:type="dxa"/>
            <w:vAlign w:val="center"/>
          </w:tcPr>
          <w:p>
            <w:pPr>
              <w:pStyle w:val="11"/>
            </w:pPr>
            <w:r>
              <w:t>7.12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6.03</w:t>
            </w:r>
          </w:p>
        </w:tc>
        <w:tc>
          <w:tcPr>
            <w:tcW w:w="1474" w:type="dxa"/>
            <w:vAlign w:val="center"/>
          </w:tcPr>
          <w:p>
            <w:pPr>
              <w:pStyle w:val="11"/>
            </w:pPr>
            <w:r>
              <w:t>6.03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92.25</w:t>
            </w:r>
          </w:p>
        </w:tc>
        <w:tc>
          <w:tcPr>
            <w:tcW w:w="3402" w:type="dxa"/>
            <w:vAlign w:val="center"/>
          </w:tcPr>
          <w:p>
            <w:pPr>
              <w:pStyle w:val="14"/>
            </w:pPr>
            <w:r>
              <w:t>本年支出合计</w:t>
            </w:r>
          </w:p>
        </w:tc>
        <w:tc>
          <w:tcPr>
            <w:tcW w:w="1474" w:type="dxa"/>
            <w:vAlign w:val="center"/>
          </w:tcPr>
          <w:p>
            <w:pPr>
              <w:pStyle w:val="15"/>
            </w:pPr>
            <w:r>
              <w:t>92.25</w:t>
            </w:r>
          </w:p>
        </w:tc>
        <w:tc>
          <w:tcPr>
            <w:tcW w:w="1474" w:type="dxa"/>
            <w:vAlign w:val="center"/>
          </w:tcPr>
          <w:p>
            <w:pPr>
              <w:pStyle w:val="15"/>
            </w:pPr>
            <w:r>
              <w:t>92.25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92.25</w:t>
            </w:r>
          </w:p>
        </w:tc>
        <w:tc>
          <w:tcPr>
            <w:tcW w:w="3402" w:type="dxa"/>
            <w:vAlign w:val="center"/>
          </w:tcPr>
          <w:p>
            <w:pPr>
              <w:pStyle w:val="14"/>
            </w:pPr>
            <w:r>
              <w:t>支出总计</w:t>
            </w:r>
          </w:p>
        </w:tc>
        <w:tc>
          <w:tcPr>
            <w:tcW w:w="1474" w:type="dxa"/>
            <w:vAlign w:val="center"/>
          </w:tcPr>
          <w:p>
            <w:pPr>
              <w:pStyle w:val="15"/>
            </w:pPr>
            <w:r>
              <w:t>92.25</w:t>
            </w:r>
          </w:p>
        </w:tc>
        <w:tc>
          <w:tcPr>
            <w:tcW w:w="1474" w:type="dxa"/>
            <w:vAlign w:val="center"/>
          </w:tcPr>
          <w:p>
            <w:pPr>
              <w:pStyle w:val="15"/>
            </w:pPr>
            <w:r>
              <w:t>92.25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92.25</w:t>
            </w:r>
          </w:p>
        </w:tc>
        <w:tc>
          <w:tcPr>
            <w:tcW w:w="2551" w:type="dxa"/>
            <w:vAlign w:val="center"/>
          </w:tcPr>
          <w:p>
            <w:pPr>
              <w:pStyle w:val="15"/>
            </w:pPr>
            <w:r>
              <w:t>89.99</w:t>
            </w:r>
          </w:p>
        </w:tc>
        <w:tc>
          <w:tcPr>
            <w:tcW w:w="2551" w:type="dxa"/>
            <w:vAlign w:val="center"/>
          </w:tcPr>
          <w:p>
            <w:pPr>
              <w:pStyle w:val="15"/>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65.77</w:t>
            </w:r>
          </w:p>
        </w:tc>
        <w:tc>
          <w:tcPr>
            <w:tcW w:w="2551" w:type="dxa"/>
            <w:vAlign w:val="center"/>
          </w:tcPr>
          <w:p>
            <w:pPr>
              <w:pStyle w:val="11"/>
            </w:pPr>
            <w:r>
              <w:t>63.51</w:t>
            </w:r>
          </w:p>
        </w:tc>
        <w:tc>
          <w:tcPr>
            <w:tcW w:w="2551" w:type="dxa"/>
            <w:vAlign w:val="center"/>
          </w:tcPr>
          <w:p>
            <w:pPr>
              <w:pStyle w:val="11"/>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65.77</w:t>
            </w:r>
          </w:p>
        </w:tc>
        <w:tc>
          <w:tcPr>
            <w:tcW w:w="2551" w:type="dxa"/>
            <w:vAlign w:val="center"/>
          </w:tcPr>
          <w:p>
            <w:pPr>
              <w:pStyle w:val="11"/>
            </w:pPr>
            <w:r>
              <w:t>63.51</w:t>
            </w:r>
          </w:p>
        </w:tc>
        <w:tc>
          <w:tcPr>
            <w:tcW w:w="2551" w:type="dxa"/>
            <w:vAlign w:val="center"/>
          </w:tcPr>
          <w:p>
            <w:pPr>
              <w:pStyle w:val="11"/>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63.51</w:t>
            </w:r>
          </w:p>
        </w:tc>
        <w:tc>
          <w:tcPr>
            <w:tcW w:w="2551" w:type="dxa"/>
            <w:vAlign w:val="center"/>
          </w:tcPr>
          <w:p>
            <w:pPr>
              <w:pStyle w:val="11"/>
            </w:pPr>
            <w:r>
              <w:t>63.51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2013199</w:t>
            </w:r>
          </w:p>
        </w:tc>
        <w:tc>
          <w:tcPr>
            <w:tcW w:w="4535" w:type="dxa"/>
            <w:vAlign w:val="center"/>
          </w:tcPr>
          <w:p>
            <w:pPr>
              <w:pStyle w:val="12"/>
            </w:pPr>
            <w:r>
              <w:t>其他党委办公厅（室）及相关机构事务支出</w:t>
            </w:r>
          </w:p>
        </w:tc>
        <w:tc>
          <w:tcPr>
            <w:tcW w:w="2551" w:type="dxa"/>
            <w:vAlign w:val="center"/>
          </w:tcPr>
          <w:p>
            <w:pPr>
              <w:pStyle w:val="11"/>
            </w:pPr>
            <w:r>
              <w:t>2.26</w:t>
            </w:r>
          </w:p>
        </w:tc>
        <w:tc>
          <w:tcPr>
            <w:tcW w:w="2551" w:type="dxa"/>
            <w:vAlign w:val="center"/>
          </w:tcPr>
          <w:p>
            <w:pPr>
              <w:pStyle w:val="11"/>
            </w:pPr>
          </w:p>
        </w:tc>
        <w:tc>
          <w:tcPr>
            <w:tcW w:w="2551" w:type="dxa"/>
            <w:vAlign w:val="center"/>
          </w:tcPr>
          <w:p>
            <w:pPr>
              <w:pStyle w:val="11"/>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13.33</w:t>
            </w:r>
          </w:p>
        </w:tc>
        <w:tc>
          <w:tcPr>
            <w:tcW w:w="2551" w:type="dxa"/>
            <w:vAlign w:val="center"/>
          </w:tcPr>
          <w:p>
            <w:pPr>
              <w:pStyle w:val="11"/>
            </w:pPr>
            <w:r>
              <w:t>13.33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13.33</w:t>
            </w:r>
          </w:p>
        </w:tc>
        <w:tc>
          <w:tcPr>
            <w:tcW w:w="2551" w:type="dxa"/>
            <w:vAlign w:val="center"/>
          </w:tcPr>
          <w:p>
            <w:pPr>
              <w:pStyle w:val="11"/>
            </w:pPr>
            <w:r>
              <w:t>13.33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5.83</w:t>
            </w:r>
          </w:p>
        </w:tc>
        <w:tc>
          <w:tcPr>
            <w:tcW w:w="2551" w:type="dxa"/>
            <w:vAlign w:val="center"/>
          </w:tcPr>
          <w:p>
            <w:pPr>
              <w:pStyle w:val="11"/>
            </w:pPr>
            <w:r>
              <w:t>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7.50</w:t>
            </w:r>
          </w:p>
        </w:tc>
        <w:tc>
          <w:tcPr>
            <w:tcW w:w="2551" w:type="dxa"/>
            <w:vAlign w:val="center"/>
          </w:tcPr>
          <w:p>
            <w:pPr>
              <w:pStyle w:val="11"/>
            </w:pPr>
            <w:r>
              <w:t>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7.12</w:t>
            </w:r>
          </w:p>
        </w:tc>
        <w:tc>
          <w:tcPr>
            <w:tcW w:w="2551" w:type="dxa"/>
            <w:vAlign w:val="center"/>
          </w:tcPr>
          <w:p>
            <w:pPr>
              <w:pStyle w:val="11"/>
            </w:pPr>
            <w:r>
              <w:t>7.12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7.12</w:t>
            </w:r>
          </w:p>
        </w:tc>
        <w:tc>
          <w:tcPr>
            <w:tcW w:w="2551" w:type="dxa"/>
            <w:vAlign w:val="center"/>
          </w:tcPr>
          <w:p>
            <w:pPr>
              <w:pStyle w:val="11"/>
            </w:pPr>
            <w:r>
              <w:t>7.12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2.91</w:t>
            </w:r>
          </w:p>
        </w:tc>
        <w:tc>
          <w:tcPr>
            <w:tcW w:w="2551" w:type="dxa"/>
            <w:vAlign w:val="center"/>
          </w:tcPr>
          <w:p>
            <w:pPr>
              <w:pStyle w:val="11"/>
            </w:pPr>
            <w:r>
              <w:t>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4.21</w:t>
            </w:r>
          </w:p>
        </w:tc>
        <w:tc>
          <w:tcPr>
            <w:tcW w:w="2551" w:type="dxa"/>
            <w:vAlign w:val="center"/>
          </w:tcPr>
          <w:p>
            <w:pPr>
              <w:pStyle w:val="11"/>
            </w:pPr>
            <w:r>
              <w:t>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6.03</w:t>
            </w:r>
          </w:p>
        </w:tc>
        <w:tc>
          <w:tcPr>
            <w:tcW w:w="2551" w:type="dxa"/>
            <w:vAlign w:val="center"/>
          </w:tcPr>
          <w:p>
            <w:pPr>
              <w:pStyle w:val="11"/>
            </w:pPr>
            <w:r>
              <w:t>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6.03</w:t>
            </w:r>
          </w:p>
        </w:tc>
        <w:tc>
          <w:tcPr>
            <w:tcW w:w="2551" w:type="dxa"/>
            <w:vAlign w:val="center"/>
          </w:tcPr>
          <w:p>
            <w:pPr>
              <w:pStyle w:val="11"/>
            </w:pPr>
            <w:r>
              <w:t>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6.03</w:t>
            </w:r>
          </w:p>
        </w:tc>
        <w:tc>
          <w:tcPr>
            <w:tcW w:w="2551" w:type="dxa"/>
            <w:vAlign w:val="center"/>
          </w:tcPr>
          <w:p>
            <w:pPr>
              <w:pStyle w:val="11"/>
            </w:pPr>
            <w:r>
              <w:t>6.03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89.99</w:t>
            </w:r>
          </w:p>
        </w:tc>
        <w:tc>
          <w:tcPr>
            <w:tcW w:w="2551" w:type="dxa"/>
            <w:vAlign w:val="center"/>
          </w:tcPr>
          <w:p>
            <w:pPr>
              <w:pStyle w:val="15"/>
            </w:pPr>
            <w:r>
              <w:t>80.96</w:t>
            </w:r>
          </w:p>
        </w:tc>
        <w:tc>
          <w:tcPr>
            <w:tcW w:w="2551" w:type="dxa"/>
            <w:vAlign w:val="center"/>
          </w:tcPr>
          <w:p>
            <w:pPr>
              <w:pStyle w:val="15"/>
            </w:pPr>
            <w:r>
              <w:t>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75.45</w:t>
            </w:r>
          </w:p>
        </w:tc>
        <w:tc>
          <w:tcPr>
            <w:tcW w:w="2551" w:type="dxa"/>
            <w:vAlign w:val="center"/>
          </w:tcPr>
          <w:p>
            <w:pPr>
              <w:pStyle w:val="11"/>
            </w:pPr>
            <w:r>
              <w:t>75.45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21.36</w:t>
            </w:r>
          </w:p>
        </w:tc>
        <w:tc>
          <w:tcPr>
            <w:tcW w:w="2551" w:type="dxa"/>
            <w:vAlign w:val="center"/>
          </w:tcPr>
          <w:p>
            <w:pPr>
              <w:pStyle w:val="11"/>
            </w:pPr>
            <w:r>
              <w:t>21.36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21.42</w:t>
            </w:r>
          </w:p>
        </w:tc>
        <w:tc>
          <w:tcPr>
            <w:tcW w:w="2551" w:type="dxa"/>
            <w:vAlign w:val="center"/>
          </w:tcPr>
          <w:p>
            <w:pPr>
              <w:pStyle w:val="11"/>
            </w:pPr>
            <w:r>
              <w:t>21.42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11.81</w:t>
            </w:r>
          </w:p>
        </w:tc>
        <w:tc>
          <w:tcPr>
            <w:tcW w:w="2551" w:type="dxa"/>
            <w:vAlign w:val="center"/>
          </w:tcPr>
          <w:p>
            <w:pPr>
              <w:pStyle w:val="11"/>
            </w:pPr>
            <w:r>
              <w:t>11.81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7.50</w:t>
            </w:r>
          </w:p>
        </w:tc>
        <w:tc>
          <w:tcPr>
            <w:tcW w:w="2551" w:type="dxa"/>
            <w:vAlign w:val="center"/>
          </w:tcPr>
          <w:p>
            <w:pPr>
              <w:pStyle w:val="11"/>
            </w:pPr>
            <w:r>
              <w:t>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2.91</w:t>
            </w:r>
          </w:p>
        </w:tc>
        <w:tc>
          <w:tcPr>
            <w:tcW w:w="2551" w:type="dxa"/>
            <w:vAlign w:val="center"/>
          </w:tcPr>
          <w:p>
            <w:pPr>
              <w:pStyle w:val="11"/>
            </w:pPr>
            <w:r>
              <w:t>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4.21</w:t>
            </w:r>
          </w:p>
        </w:tc>
        <w:tc>
          <w:tcPr>
            <w:tcW w:w="2551" w:type="dxa"/>
            <w:vAlign w:val="center"/>
          </w:tcPr>
          <w:p>
            <w:pPr>
              <w:pStyle w:val="11"/>
            </w:pPr>
            <w:r>
              <w:t>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0.21</w:t>
            </w:r>
          </w:p>
        </w:tc>
        <w:tc>
          <w:tcPr>
            <w:tcW w:w="2551" w:type="dxa"/>
            <w:vAlign w:val="center"/>
          </w:tcPr>
          <w:p>
            <w:pPr>
              <w:pStyle w:val="11"/>
            </w:pPr>
            <w:r>
              <w:t>0.21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6.03</w:t>
            </w:r>
          </w:p>
        </w:tc>
        <w:tc>
          <w:tcPr>
            <w:tcW w:w="2551" w:type="dxa"/>
            <w:vAlign w:val="center"/>
          </w:tcPr>
          <w:p>
            <w:pPr>
              <w:pStyle w:val="11"/>
            </w:pPr>
            <w:r>
              <w:t>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8.29</w:t>
            </w:r>
          </w:p>
        </w:tc>
        <w:tc>
          <w:tcPr>
            <w:tcW w:w="2551" w:type="dxa"/>
            <w:vAlign w:val="center"/>
          </w:tcPr>
          <w:p>
            <w:pPr>
              <w:pStyle w:val="11"/>
            </w:pPr>
          </w:p>
        </w:tc>
        <w:tc>
          <w:tcPr>
            <w:tcW w:w="2551" w:type="dxa"/>
            <w:vAlign w:val="center"/>
          </w:tcPr>
          <w:p>
            <w:pPr>
              <w:pStyle w:val="11"/>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2.64</w:t>
            </w:r>
          </w:p>
        </w:tc>
        <w:tc>
          <w:tcPr>
            <w:tcW w:w="2551" w:type="dxa"/>
            <w:vAlign w:val="center"/>
          </w:tcPr>
          <w:p>
            <w:pPr>
              <w:pStyle w:val="11"/>
            </w:pPr>
          </w:p>
        </w:tc>
        <w:tc>
          <w:tcPr>
            <w:tcW w:w="2551" w:type="dxa"/>
            <w:vAlign w:val="center"/>
          </w:tcPr>
          <w:p>
            <w:pPr>
              <w:pStyle w:val="11"/>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0.54</w:t>
            </w:r>
          </w:p>
        </w:tc>
        <w:tc>
          <w:tcPr>
            <w:tcW w:w="2551" w:type="dxa"/>
            <w:vAlign w:val="center"/>
          </w:tcPr>
          <w:p>
            <w:pPr>
              <w:pStyle w:val="11"/>
            </w:pPr>
          </w:p>
        </w:tc>
        <w:tc>
          <w:tcPr>
            <w:tcW w:w="2551"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5.51</w:t>
            </w:r>
          </w:p>
        </w:tc>
        <w:tc>
          <w:tcPr>
            <w:tcW w:w="2551" w:type="dxa"/>
            <w:vAlign w:val="center"/>
          </w:tcPr>
          <w:p>
            <w:pPr>
              <w:pStyle w:val="11"/>
            </w:pPr>
            <w:r>
              <w:t>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5.49</w:t>
            </w:r>
          </w:p>
        </w:tc>
        <w:tc>
          <w:tcPr>
            <w:tcW w:w="2551" w:type="dxa"/>
            <w:vAlign w:val="center"/>
          </w:tcPr>
          <w:p>
            <w:pPr>
              <w:pStyle w:val="11"/>
            </w:pPr>
            <w:r>
              <w:t>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281党校</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党校2024年部门预算信息公开情况说明</w:t>
      </w:r>
    </w:p>
    <w:p>
      <w:pPr>
        <w:jc w:val="center"/>
      </w:pPr>
      <w:r>
        <w:rPr>
          <w:rFonts w:ascii="方正小标宋_GBK" w:hAnsi="方正小标宋_GBK" w:eastAsia="方正小标宋_GBK" w:cs="方正小标宋_GBK"/>
          <w:color w:val="000000"/>
          <w:sz w:val="44"/>
        </w:rPr>
        <w:t>党校2024年部门预算信息公开情况说明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按照《中华人民共和国预算法》、《地方预决算公开操作规程》和《关于进一步推进预算公开工作的实施意见》规定，现将党校2024年部门预算公开如下：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根据《党校职能配置、内设机构和人员编制规定》，党校的主要职责是：</w:t>
      </w:r>
    </w:p>
    <w:p>
      <w:pPr>
        <w:pStyle w:val="17"/>
      </w:pPr>
      <w:r>
        <w:t>1.加强党的理论宣传，加强对全区党员干部的教育培训，不断提高党员干部的理论素养。</w:t>
      </w:r>
    </w:p>
    <w:p>
      <w:pPr>
        <w:pStyle w:val="17"/>
      </w:pPr>
      <w:r>
        <w:t>2.根据区委组织部的干训计划，培训、轮训党员干部干部和理论骨干；受区委、区政府及有关职能部门委托，结合北戴河发展实际，举办各种专题培训。</w:t>
      </w:r>
    </w:p>
    <w:p>
      <w:pPr>
        <w:pStyle w:val="17"/>
      </w:pPr>
      <w:r>
        <w:t>3.加强师资培训、交流，培养，加强学科建设和学科培育。</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中共秦皇岛市北戴河区委员会党校(本级)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按照预算管理有关规定，目前部门预算的编制实行综合预算管理，即全部收入和支出都反映在预算中。党校机关及所属事业单位的收支包含在部门预算中。</w:t>
      </w:r>
    </w:p>
    <w:p>
      <w:pPr>
        <w:pStyle w:val="18"/>
      </w:pPr>
      <w:r>
        <w:t>1、收入说明</w:t>
      </w:r>
    </w:p>
    <w:p>
      <w:pPr>
        <w:pStyle w:val="18"/>
      </w:pPr>
      <w:r>
        <w:t>反映本部门当年全部收入。2024年预算收入92.25万元，其中：一般公共预算收入92.25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党校年度部门预算中支出预算的总体情况。2024年支出预算92.25万元，其中基本支出89.99万元，包括人员经费80.96万元和日常公用经费9.03万元；项目支出2.26万元，主要为主要为党校活动经费。</w:t>
      </w:r>
    </w:p>
    <w:p>
      <w:pPr>
        <w:pStyle w:val="18"/>
      </w:pPr>
      <w:r>
        <w:t>3、比上年增减情况</w:t>
      </w:r>
    </w:p>
    <w:p>
      <w:pPr>
        <w:pStyle w:val="18"/>
      </w:pPr>
      <w:r>
        <w:t>2024年预算收支安排92.25万元，较2023年预算增加1.10万元，其中：基本支出增加1.10万元，主要为人员工资调整，保险公积金基数增加。项目支出增加0.00万元，主要为无增加或减少的i项目。</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9万元，主要用于机关办公区的办公费、邮电费、公务交通补贴等日常运行支出。其中：办公费1.13万元、邮电费2.64万元、福利费0.53万元、公务交通补贴3万元，培训费0.58万元，离退休干部经费0.31万元，工会经费0.77万元，党组织活动经费0.04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通过不断提高教学水平、完善教学设施、优化教学布局、丰富教学手段，围绕党和国家工作大局，按照实事求是、与时俱进、艰苦奋斗、执政为民的要求，培养忠诚于中国特色社会主义事业、德才兼备的党员领导干部和理论干部，有效提高干部的政策理论水平、思想觉悟和执政能力。根据上级党校、区委区政府有关要求，有计划地对全区科级干部、村居干部、入党积极分子等进行培训。通过外请高端专家、学者授课，开拓学员思路，开展现场教学、情景模拟教学、案例教学、坡特色教学，有效提高培训质量，提高学员解决实际问题的能力。对全区党员干部进行刊授教育围绕区委中心工作，按月编发刊授教材，每年至少编发刊授教材12期，发放到全区各单位各部门。</w:t>
      </w:r>
    </w:p>
    <w:p>
      <w:pPr>
        <w:spacing w:line="500" w:lineRule="exact"/>
        <w:ind w:firstLine="560"/>
      </w:pPr>
      <w:r>
        <w:rPr>
          <w:rFonts w:eastAsia="方正仿宋_GBK"/>
          <w:color w:val="000000"/>
          <w:sz w:val="28"/>
        </w:rPr>
        <w:t>（二）分项绩效目标</w:t>
      </w:r>
    </w:p>
    <w:p>
      <w:pPr>
        <w:pStyle w:val="22"/>
      </w:pPr>
      <w:r>
        <w:t>（一）保障日常工作</w:t>
      </w:r>
    </w:p>
    <w:p>
      <w:pPr>
        <w:pStyle w:val="22"/>
      </w:pPr>
      <w:r>
        <w:t>绩效目标：保障办公室正常运转，对各部门交办的事认真落实，确保各项活动有序开展。</w:t>
      </w:r>
    </w:p>
    <w:p>
      <w:pPr>
        <w:pStyle w:val="22"/>
      </w:pPr>
      <w:r>
        <w:t>绩效指标：对各级各部门交办的事完成95%以上</w:t>
      </w:r>
    </w:p>
    <w:p>
      <w:pPr>
        <w:pStyle w:val="22"/>
      </w:pPr>
    </w:p>
    <w:p>
      <w:pPr>
        <w:pStyle w:val="22"/>
      </w:pPr>
      <w:r>
        <w:t>（二）配合区委组织部举办各类培训班</w:t>
      </w:r>
    </w:p>
    <w:p>
      <w:pPr>
        <w:pStyle w:val="22"/>
      </w:pPr>
      <w:r>
        <w:t>绩效目标：提高党员干部的政策理论水平、思想觉悟和执政能力。</w:t>
      </w:r>
    </w:p>
    <w:p>
      <w:pPr>
        <w:pStyle w:val="22"/>
      </w:pPr>
      <w:r>
        <w:t>绩效指标：对全区党员干部培训要到达90%以上</w:t>
      </w:r>
    </w:p>
    <w:p>
      <w:pPr>
        <w:pStyle w:val="22"/>
      </w:pPr>
    </w:p>
    <w:p>
      <w:pPr>
        <w:pStyle w:val="22"/>
      </w:pPr>
      <w:r>
        <w:t>（三）围绕区委中心工作，编发刊授教材</w:t>
      </w:r>
    </w:p>
    <w:p>
      <w:pPr>
        <w:pStyle w:val="22"/>
      </w:pPr>
      <w:r>
        <w:t>绩效目标：围绕区委中心工作，每月编发刊授教材，发放到全区各单位。</w:t>
      </w:r>
    </w:p>
    <w:p>
      <w:pPr>
        <w:pStyle w:val="22"/>
      </w:pPr>
      <w:r>
        <w:t>绩效指标：全年至少编发刊授教材12期。</w:t>
      </w:r>
    </w:p>
    <w:p>
      <w:pPr>
        <w:pStyle w:val="22"/>
      </w:pPr>
    </w:p>
    <w:p>
      <w:pPr>
        <w:pStyle w:val="22"/>
      </w:pPr>
      <w:r>
        <w:t>（四）完成科研和决策咨询</w:t>
      </w:r>
    </w:p>
    <w:p>
      <w:pPr>
        <w:pStyle w:val="22"/>
      </w:pPr>
      <w:r>
        <w:t>绩效目标：按照绩效考核目标要求，完成立项与论文任务。</w:t>
      </w:r>
    </w:p>
    <w:p>
      <w:pPr>
        <w:pStyle w:val="22"/>
      </w:pPr>
      <w:r>
        <w:t>绩效指标：全年至少发表论文2篇，科研立项至少2篇。</w:t>
      </w:r>
    </w:p>
    <w:p>
      <w:pPr>
        <w:spacing w:line="500" w:lineRule="exact"/>
        <w:ind w:firstLine="560"/>
      </w:pPr>
      <w:r>
        <w:rPr>
          <w:rFonts w:eastAsia="方正仿宋_GBK"/>
          <w:color w:val="000000"/>
          <w:sz w:val="28"/>
        </w:rPr>
        <w:t>（三）工作保障措施</w:t>
      </w:r>
    </w:p>
    <w:p>
      <w:pPr>
        <w:pStyle w:val="23"/>
      </w:pPr>
      <w:r>
        <w:t>（一）完善制度建设。认真制定完善预算绩效管理制度、资金管理办法、工作保障制度等，为全年预算绩效目标的实现奠定制度基础。</w:t>
      </w:r>
    </w:p>
    <w:p>
      <w:pPr>
        <w:pStyle w:val="23"/>
      </w:pPr>
    </w:p>
    <w:p>
      <w:pPr>
        <w:pStyle w:val="23"/>
      </w:pPr>
      <w:r>
        <w:t>（二）加强支出管理。通过优化支出结构、编细编实预算、加快履行政府采购手续、尽快启动项目、及时支付资金、6月底前细化代编预算、按规定及时下达资金等多种措施，确保支出进度达标。</w:t>
      </w:r>
    </w:p>
    <w:p>
      <w:pPr>
        <w:pStyle w:val="23"/>
      </w:pPr>
    </w:p>
    <w:p>
      <w:pPr>
        <w:pStyle w:val="23"/>
      </w:pPr>
      <w:r>
        <w:t>（三）加强绩效运行监控。按要求开展绩效运行监控，发现问题及时采取措施，确保绩效目标如期保质实现。</w:t>
      </w:r>
    </w:p>
    <w:p>
      <w:pPr>
        <w:pStyle w:val="23"/>
      </w:pPr>
    </w:p>
    <w:p>
      <w:pPr>
        <w:pStyle w:val="23"/>
      </w:pPr>
      <w:r>
        <w:t>（三）做好绩效自评。按要求开展上年度部门预算绩效自评和重点评价工作，对评价中发现的问题及时整改，调整优化支出结构，提高财政资金使用效益。</w:t>
      </w:r>
    </w:p>
    <w:p>
      <w:pPr>
        <w:pStyle w:val="23"/>
      </w:pPr>
    </w:p>
    <w:p>
      <w:pPr>
        <w:pStyle w:val="23"/>
      </w:pPr>
      <w:r>
        <w:t>（四）规范财务资产管理。完善财务管理制度，严格审批程序，加强固定资产登记、使用和报废处置管理，做到支出合理，物尽其用。</w:t>
      </w:r>
    </w:p>
    <w:p>
      <w:pPr>
        <w:pStyle w:val="23"/>
      </w:pPr>
    </w:p>
    <w:p>
      <w:pPr>
        <w:pStyle w:val="23"/>
      </w:pPr>
      <w:r>
        <w:t>（五）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p>
    <w:p>
      <w:pPr>
        <w:pStyle w:val="23"/>
        <w:sectPr>
          <w:pgSz w:w="16840" w:h="11900" w:orient="landscape"/>
          <w:pgMar w:top="1361" w:right="1020" w:bottom="1361" w:left="1020" w:header="720" w:footer="720" w:gutter="0"/>
          <w:cols w:space="720" w:num="1"/>
        </w:sectPr>
      </w:pPr>
      <w:r>
        <w:t>（六）加强宣传培训调研等。定期对本单位职工加强培训，提高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ascii="仿宋" w:hAnsi="仿宋" w:eastAsia="仿宋"/>
          <w:sz w:val="28"/>
          <w:szCs w:val="28"/>
          <w:lang w:eastAsia="zh-CN"/>
        </w:rPr>
        <w:sectPr>
          <w:pgSz w:w="16840" w:h="11900" w:orient="landscape"/>
          <w:pgMar w:top="1361" w:right="1020" w:bottom="1134" w:left="1020" w:header="720" w:footer="720" w:gutter="0"/>
          <w:cols w:space="720" w:num="1"/>
        </w:sectPr>
      </w:pPr>
      <w:r>
        <w:rPr>
          <w:rFonts w:hint="eastAsia" w:ascii="仿宋" w:hAnsi="仿宋" w:eastAsia="仿宋"/>
          <w:sz w:val="28"/>
          <w:szCs w:val="28"/>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13030424P008894111597</w:t>
            </w:r>
          </w:p>
        </w:tc>
        <w:tc>
          <w:tcPr>
            <w:tcW w:w="2835" w:type="dxa"/>
            <w:vAlign w:val="center"/>
          </w:tcPr>
          <w:p>
            <w:pPr>
              <w:pStyle w:val="10"/>
            </w:pPr>
            <w:r>
              <w:t>项目名称</w:t>
            </w:r>
          </w:p>
        </w:tc>
        <w:tc>
          <w:tcPr>
            <w:tcW w:w="6094" w:type="dxa"/>
            <w:gridSpan w:val="3"/>
            <w:vAlign w:val="center"/>
          </w:tcPr>
          <w:p>
            <w:pPr>
              <w:pStyle w:val="12"/>
            </w:pPr>
            <w:r>
              <w:t>党校活动经费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w:t>
            </w:r>
          </w:p>
        </w:tc>
        <w:tc>
          <w:tcPr>
            <w:tcW w:w="2835" w:type="dxa"/>
            <w:vAlign w:val="center"/>
          </w:tcPr>
          <w:p>
            <w:pPr>
              <w:pStyle w:val="10"/>
            </w:pPr>
            <w:r>
              <w:t>其中：财政    资金</w:t>
            </w:r>
          </w:p>
        </w:tc>
        <w:tc>
          <w:tcPr>
            <w:tcW w:w="2551" w:type="dxa"/>
            <w:vAlign w:val="center"/>
          </w:tcPr>
          <w:p>
            <w:pPr>
              <w:pStyle w:val="12"/>
            </w:pPr>
            <w:r>
              <w:t>2.26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印制刊授教材，配合区委组织培训，为基层党校送学习资料等。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1.加强党员干部培训力度，按照上级要求完成培训次数。</w:t>
            </w:r>
          </w:p>
          <w:p>
            <w:pPr>
              <w:pStyle w:val="12"/>
            </w:pPr>
            <w:r>
              <w:t>2.提高科研立项质量，完成上级科研任务1-2个。</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学习刊物印制数量</w:t>
            </w:r>
          </w:p>
        </w:tc>
        <w:tc>
          <w:tcPr>
            <w:tcW w:w="5386" w:type="dxa"/>
            <w:vAlign w:val="center"/>
          </w:tcPr>
          <w:p>
            <w:pPr>
              <w:pStyle w:val="12"/>
            </w:pPr>
            <w:r>
              <w:t>本年度学习刊物印制的总数量</w:t>
            </w:r>
          </w:p>
        </w:tc>
        <w:tc>
          <w:tcPr>
            <w:tcW w:w="2268" w:type="dxa"/>
            <w:vAlign w:val="center"/>
          </w:tcPr>
          <w:p>
            <w:pPr>
              <w:pStyle w:val="12"/>
            </w:pPr>
            <w:r>
              <w:t>≥12期</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购买图书资料数量</w:t>
            </w:r>
          </w:p>
        </w:tc>
        <w:tc>
          <w:tcPr>
            <w:tcW w:w="5386" w:type="dxa"/>
            <w:vAlign w:val="center"/>
          </w:tcPr>
          <w:p>
            <w:pPr>
              <w:pStyle w:val="12"/>
            </w:pPr>
            <w:r>
              <w:t>本年度购买图书资料数量</w:t>
            </w:r>
          </w:p>
        </w:tc>
        <w:tc>
          <w:tcPr>
            <w:tcW w:w="2268" w:type="dxa"/>
            <w:vAlign w:val="center"/>
          </w:tcPr>
          <w:p>
            <w:pPr>
              <w:pStyle w:val="12"/>
            </w:pPr>
            <w:r>
              <w:t>≥50册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科研立项</w:t>
            </w:r>
          </w:p>
        </w:tc>
        <w:tc>
          <w:tcPr>
            <w:tcW w:w="5386" w:type="dxa"/>
            <w:vAlign w:val="center"/>
          </w:tcPr>
          <w:p>
            <w:pPr>
              <w:pStyle w:val="12"/>
            </w:pPr>
            <w:r>
              <w:t>本年度科研立项数量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本年度培训计划数量</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以出勤率、学习心得等为主要依据，学员培训合格率=全年培训合格学员人数/全年参加培训学员的总人数</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及时完成相关工作，确保培训效果</w:t>
            </w:r>
          </w:p>
        </w:tc>
        <w:tc>
          <w:tcPr>
            <w:tcW w:w="2268" w:type="dxa"/>
            <w:vAlign w:val="center"/>
          </w:tcPr>
          <w:p>
            <w:pPr>
              <w:pStyle w:val="12"/>
            </w:pPr>
            <w:r>
              <w:t>及时完成相关工作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科研立项经费</w:t>
            </w:r>
          </w:p>
        </w:tc>
        <w:tc>
          <w:tcPr>
            <w:tcW w:w="5386" w:type="dxa"/>
            <w:vAlign w:val="center"/>
          </w:tcPr>
          <w:p>
            <w:pPr>
              <w:pStyle w:val="12"/>
            </w:pPr>
            <w:r>
              <w:t>科研立项经费不超过预算金额</w:t>
            </w:r>
          </w:p>
        </w:tc>
        <w:tc>
          <w:tcPr>
            <w:tcW w:w="2268" w:type="dxa"/>
            <w:vAlign w:val="center"/>
          </w:tcPr>
          <w:p>
            <w:pPr>
              <w:pStyle w:val="12"/>
            </w:pPr>
            <w:r>
              <w:t>≤0.75万元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刊印教材经费</w:t>
            </w:r>
          </w:p>
        </w:tc>
        <w:tc>
          <w:tcPr>
            <w:tcW w:w="5386" w:type="dxa"/>
            <w:vAlign w:val="center"/>
          </w:tcPr>
          <w:p>
            <w:pPr>
              <w:pStyle w:val="12"/>
            </w:pPr>
            <w:r>
              <w:t>刊印教材经费不超过预算金额</w:t>
            </w:r>
          </w:p>
        </w:tc>
        <w:tc>
          <w:tcPr>
            <w:tcW w:w="2268" w:type="dxa"/>
            <w:vAlign w:val="center"/>
          </w:tcPr>
          <w:p>
            <w:pPr>
              <w:pStyle w:val="12"/>
            </w:pPr>
            <w:r>
              <w:t>≤0.75万元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购买图书资料经费</w:t>
            </w:r>
          </w:p>
        </w:tc>
        <w:tc>
          <w:tcPr>
            <w:tcW w:w="5386" w:type="dxa"/>
            <w:vAlign w:val="center"/>
          </w:tcPr>
          <w:p>
            <w:pPr>
              <w:pStyle w:val="12"/>
            </w:pPr>
            <w:r>
              <w:t>购买图书资料经费不超过预算金额</w:t>
            </w:r>
          </w:p>
        </w:tc>
        <w:tc>
          <w:tcPr>
            <w:tcW w:w="2268" w:type="dxa"/>
            <w:vAlign w:val="center"/>
          </w:tcPr>
          <w:p>
            <w:pPr>
              <w:pStyle w:val="12"/>
            </w:pPr>
            <w:r>
              <w:t>≤0.76万元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提升党员干部理论水平</w:t>
            </w:r>
          </w:p>
        </w:tc>
        <w:tc>
          <w:tcPr>
            <w:tcW w:w="5386" w:type="dxa"/>
            <w:vAlign w:val="center"/>
          </w:tcPr>
          <w:p>
            <w:pPr>
              <w:pStyle w:val="12"/>
            </w:pPr>
            <w:r>
              <w:t>组织研讨交流，提升党员干部理论水平和工作能力</w:t>
            </w:r>
          </w:p>
        </w:tc>
        <w:tc>
          <w:tcPr>
            <w:tcW w:w="2268" w:type="dxa"/>
            <w:vAlign w:val="center"/>
          </w:tcPr>
          <w:p>
            <w:pPr>
              <w:pStyle w:val="12"/>
            </w:pPr>
            <w:r>
              <w:t>理论水平提升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培训对学员的持续性影响</w:t>
            </w:r>
          </w:p>
        </w:tc>
        <w:tc>
          <w:tcPr>
            <w:tcW w:w="5386" w:type="dxa"/>
            <w:vAlign w:val="center"/>
          </w:tcPr>
          <w:p>
            <w:pPr>
              <w:pStyle w:val="12"/>
            </w:pPr>
            <w:r>
              <w:t>培训内容对学员的工作产生持续性影响</w:t>
            </w:r>
          </w:p>
        </w:tc>
        <w:tc>
          <w:tcPr>
            <w:tcW w:w="2268" w:type="dxa"/>
            <w:vAlign w:val="center"/>
          </w:tcPr>
          <w:p>
            <w:pPr>
              <w:pStyle w:val="12"/>
            </w:pPr>
            <w:r>
              <w:t>持续性影响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学员教学满意度</w:t>
            </w:r>
          </w:p>
        </w:tc>
        <w:tc>
          <w:tcPr>
            <w:tcW w:w="5386" w:type="dxa"/>
            <w:vAlign w:val="center"/>
          </w:tcPr>
          <w:p>
            <w:pPr>
              <w:pStyle w:val="12"/>
            </w:pPr>
            <w:r>
              <w:t>以问卷形式调查学员的教学满意度</w:t>
            </w:r>
          </w:p>
        </w:tc>
        <w:tc>
          <w:tcPr>
            <w:tcW w:w="2268" w:type="dxa"/>
            <w:vAlign w:val="center"/>
          </w:tcPr>
          <w:p>
            <w:pPr>
              <w:pStyle w:val="12"/>
            </w:pPr>
            <w:r>
              <w:t>≥95%</w:t>
            </w:r>
          </w:p>
        </w:tc>
        <w:tc>
          <w:tcPr>
            <w:tcW w:w="1276" w:type="dxa"/>
            <w:vAlign w:val="center"/>
          </w:tcPr>
          <w:p>
            <w:pPr>
              <w:pStyle w:val="12"/>
            </w:pPr>
            <w:r>
              <w:t>年度工作计划</w:t>
            </w:r>
          </w:p>
        </w:tc>
      </w:tr>
    </w:tbl>
    <w:p>
      <w:pPr>
        <w:sectPr>
          <w:type w:val="continuous"/>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281党校</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0.83</w:t>
            </w:r>
          </w:p>
        </w:tc>
        <w:tc>
          <w:tcPr>
            <w:tcW w:w="964" w:type="dxa"/>
            <w:vAlign w:val="center"/>
          </w:tcPr>
          <w:p>
            <w:pPr>
              <w:pStyle w:val="15"/>
            </w:pPr>
            <w:r>
              <w:t>0.83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中共秦皇岛市北戴河区委员会党校(本级)小计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0.83</w:t>
            </w:r>
          </w:p>
        </w:tc>
        <w:tc>
          <w:tcPr>
            <w:tcW w:w="964" w:type="dxa"/>
            <w:vAlign w:val="center"/>
          </w:tcPr>
          <w:p>
            <w:pPr>
              <w:pStyle w:val="15"/>
            </w:pPr>
            <w:r>
              <w:t>0.83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党校活动经费</w:t>
            </w:r>
          </w:p>
        </w:tc>
        <w:tc>
          <w:tcPr>
            <w:tcW w:w="964" w:type="dxa"/>
            <w:vAlign w:val="center"/>
          </w:tcPr>
          <w:p>
            <w:pPr>
              <w:pStyle w:val="11"/>
            </w:pPr>
            <w:r>
              <w:t>2.26</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党校活动经费</w:t>
            </w:r>
          </w:p>
        </w:tc>
        <w:tc>
          <w:tcPr>
            <w:tcW w:w="964" w:type="dxa"/>
            <w:vAlign w:val="center"/>
          </w:tcPr>
          <w:p>
            <w:pPr>
              <w:pStyle w:val="11"/>
            </w:pPr>
            <w:r>
              <w:t>2.26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10</w:t>
            </w:r>
          </w:p>
        </w:tc>
        <w:tc>
          <w:tcPr>
            <w:tcW w:w="850" w:type="dxa"/>
            <w:vAlign w:val="center"/>
          </w:tcPr>
          <w:p>
            <w:pPr>
              <w:pStyle w:val="11"/>
            </w:pPr>
            <w:r>
              <w:t>0.01</w:t>
            </w:r>
          </w:p>
        </w:tc>
        <w:tc>
          <w:tcPr>
            <w:tcW w:w="964" w:type="dxa"/>
            <w:vAlign w:val="center"/>
          </w:tcPr>
          <w:p>
            <w:pPr>
              <w:pStyle w:val="11"/>
            </w:pPr>
            <w:r>
              <w:t>0.13</w:t>
            </w:r>
          </w:p>
        </w:tc>
        <w:tc>
          <w:tcPr>
            <w:tcW w:w="964" w:type="dxa"/>
            <w:vAlign w:val="center"/>
          </w:tcPr>
          <w:p>
            <w:pPr>
              <w:pStyle w:val="11"/>
            </w:pPr>
            <w:r>
              <w:t>0.13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党校活动经费</w:t>
            </w:r>
          </w:p>
        </w:tc>
        <w:tc>
          <w:tcPr>
            <w:tcW w:w="964" w:type="dxa"/>
            <w:vAlign w:val="center"/>
          </w:tcPr>
          <w:p>
            <w:pPr>
              <w:pStyle w:val="11"/>
            </w:pPr>
            <w:r>
              <w:t>2.26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党校（含所属单位）上年末固定资产金额为5.29万元（详见下表）。本年度拟购置固定资产总额为0.74万元，已按要求列入政府采购预算，详见政府采购预算表。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281党校</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w:t>
            </w:r>
          </w:p>
        </w:tc>
        <w:tc>
          <w:tcPr>
            <w:tcW w:w="2835" w:type="dxa"/>
            <w:vAlign w:val="center"/>
          </w:tcPr>
          <w:p>
            <w:pPr>
              <w:pStyle w:val="11"/>
            </w:pPr>
            <w:r>
              <w:t>5.29</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roman"/>
    <w:pitch w:val="default"/>
    <w:sig w:usb0="00000000" w:usb1="00000000" w:usb2="00000000" w:usb3="00000000" w:csb0="00000000" w:csb1="00000000"/>
  </w:font>
  <w:font w:name="方正书宋_GBK">
    <w:altName w:val="Arial Unicode MS"/>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86"/>
    <w:family w:val="roman"/>
    <w:pitch w:val="default"/>
    <w:sig w:usb0="00000000" w:usb1="00000000" w:usb2="00000000" w:usb3="00000000" w:csb0="00000000" w:csb1="00000000"/>
  </w:font>
  <w:font w:name="方正楷体_GBK">
    <w:altName w:val="Arial Unicode MS"/>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U5YmU4ZGY0ZTZkNTEwYzkxZTZmOGMzMDQ1MDA0M2UifQ=="/>
  </w:docVars>
  <w:rsids>
    <w:rsidRoot w:val="00E93E53"/>
    <w:rsid w:val="00273599"/>
    <w:rsid w:val="0037770C"/>
    <w:rsid w:val="00E93E53"/>
    <w:rsid w:val="65C9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2024-02-05T10:46:19Z</dcterms:created>
  <dcterms:modified xsi:type="dcterms:W3CDTF">2024-02-05T02:46:19Z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2024-02-05T10:46:17Z</dcterms:created>
  <dcterms:modified xsi:type="dcterms:W3CDTF">2024-02-05T02:46:17Z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2024-02-05T10:46:19Z</dcterms:created>
  <dcterms:modified xsi:type="dcterms:W3CDTF">2024-02-05T02:46:19Z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2024-02-05T10:46:19Z</dcterms:created>
  <dcterms:modified xsi:type="dcterms:W3CDTF">2024-02-05T02:46:19Z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2024-02-05T10:46:19Z</dcterms:created>
  <dcterms:modified xsi:type="dcterms:W3CDTF">2024-02-05T02:46:19Z</dcterms:modified>
</cp:coreProperties>
</file>

<file path=customXml/itemProps1.xml><?xml version="1.0" encoding="utf-8"?>
<ds:datastoreItem xmlns:ds="http://schemas.openxmlformats.org/officeDocument/2006/customXml" ds:itemID="{7C8ED112-87F0-4C59-8BD6-B6B2A3A28213}">
  <ds:schemaRefs/>
</ds:datastoreItem>
</file>

<file path=customXml/itemProps10.xml><?xml version="1.0" encoding="utf-8"?>
<ds:datastoreItem xmlns:ds="http://schemas.openxmlformats.org/officeDocument/2006/customXml" ds:itemID="{5FB62B35-4D30-435F-9362-01C48372D6B1}">
  <ds:schemaRefs/>
</ds:datastoreItem>
</file>

<file path=customXml/itemProps2.xml><?xml version="1.0" encoding="utf-8"?>
<ds:datastoreItem xmlns:ds="http://schemas.openxmlformats.org/officeDocument/2006/customXml" ds:itemID="{75E8AC06-AEB6-452B-9DF2-DF671FB43339}">
  <ds:schemaRefs/>
</ds:datastoreItem>
</file>

<file path=customXml/itemProps3.xml><?xml version="1.0" encoding="utf-8"?>
<ds:datastoreItem xmlns:ds="http://schemas.openxmlformats.org/officeDocument/2006/customXml" ds:itemID="{2BAA6EC8-F0DC-4558-9218-0AA5B1C6E4E8}">
  <ds:schemaRefs/>
</ds:datastoreItem>
</file>

<file path=customXml/itemProps4.xml><?xml version="1.0" encoding="utf-8"?>
<ds:datastoreItem xmlns:ds="http://schemas.openxmlformats.org/officeDocument/2006/customXml" ds:itemID="{C5917478-D044-4834-81B0-330AB692819E}">
  <ds:schemaRefs/>
</ds:datastoreItem>
</file>

<file path=customXml/itemProps5.xml><?xml version="1.0" encoding="utf-8"?>
<ds:datastoreItem xmlns:ds="http://schemas.openxmlformats.org/officeDocument/2006/customXml" ds:itemID="{CCE94CA2-0A85-4E8F-A5D2-BE1CBA48F6FD}">
  <ds:schemaRefs/>
</ds:datastoreItem>
</file>

<file path=customXml/itemProps6.xml><?xml version="1.0" encoding="utf-8"?>
<ds:datastoreItem xmlns:ds="http://schemas.openxmlformats.org/officeDocument/2006/customXml" ds:itemID="{3D4F6619-A12F-45AE-B7CE-74C5B194F3BE}">
  <ds:schemaRefs/>
</ds:datastoreItem>
</file>

<file path=customXml/itemProps7.xml><?xml version="1.0" encoding="utf-8"?>
<ds:datastoreItem xmlns:ds="http://schemas.openxmlformats.org/officeDocument/2006/customXml" ds:itemID="{96BC0184-AFD7-494E-A781-598FE92D3B74}">
  <ds:schemaRefs/>
</ds:datastoreItem>
</file>

<file path=customXml/itemProps8.xml><?xml version="1.0" encoding="utf-8"?>
<ds:datastoreItem xmlns:ds="http://schemas.openxmlformats.org/officeDocument/2006/customXml" ds:itemID="{127233C8-5149-480D-83CE-D52280CB388E}">
  <ds:schemaRefs/>
</ds:datastoreItem>
</file>

<file path=customXml/itemProps9.xml><?xml version="1.0" encoding="utf-8"?>
<ds:datastoreItem xmlns:ds="http://schemas.openxmlformats.org/officeDocument/2006/customXml" ds:itemID="{7A639BF7-A33A-4612-A357-1F8FCF4DACE6}">
  <ds:schemaRefs/>
</ds:datastoreItem>
</file>

<file path=docProps/app.xml><?xml version="1.0" encoding="utf-8"?>
<Properties xmlns="http://schemas.openxmlformats.org/officeDocument/2006/extended-properties" xmlns:vt="http://schemas.openxmlformats.org/officeDocument/2006/docPropsVTypes">
  <Template>Normal</Template>
  <Pages>28</Pages>
  <Words>1752</Words>
  <Characters>9992</Characters>
  <Lines>83</Lines>
  <Paragraphs>23</Paragraphs>
  <TotalTime>1</TotalTime>
  <ScaleCrop>false</ScaleCrop>
  <LinksUpToDate>false</LinksUpToDate>
  <CharactersWithSpaces>11721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2024-02-05T10:46:00Z</dcterms:created>
  <dc:creator>Administrator</dc:creator>
  <cp:lastModifiedBy>Administrator</cp:lastModifiedBy>
  <dcterms:modified xsi:type="dcterms:W3CDTF">2024-02-05T05:56:29Z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3230B1F51D404C5FA26DFA08901CD743_12</vt:lpwstr>
  </property>
</Properties>
</file>