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224网信办</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250.86</w:t>
            </w:r>
          </w:p>
        </w:tc>
        <w:tc>
          <w:tcPr>
            <w:tcW w:w="4535" w:type="dxa"/>
            <w:vAlign w:val="center"/>
          </w:tcPr>
          <w:p>
            <w:pPr>
              <w:pStyle w:val="13"/>
            </w:pPr>
            <w:r>
              <w:t>一、一般公共服务支出</w:t>
            </w:r>
          </w:p>
        </w:tc>
        <w:tc>
          <w:tcPr>
            <w:tcW w:w="2126" w:type="dxa"/>
            <w:vAlign w:val="center"/>
          </w:tcPr>
          <w:p>
            <w:pPr>
              <w:pStyle w:val="12"/>
            </w:pPr>
            <w:r>
              <w:t>219.59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250.86</w:t>
            </w:r>
          </w:p>
        </w:tc>
        <w:tc>
          <w:tcPr>
            <w:tcW w:w="4535" w:type="dxa"/>
            <w:vAlign w:val="center"/>
          </w:tcPr>
          <w:p>
            <w:pPr>
              <w:pStyle w:val="15"/>
            </w:pPr>
            <w:r>
              <w:t>本年支出合计</w:t>
            </w:r>
          </w:p>
        </w:tc>
        <w:tc>
          <w:tcPr>
            <w:tcW w:w="2126" w:type="dxa"/>
            <w:vAlign w:val="center"/>
          </w:tcPr>
          <w:p>
            <w:pPr>
              <w:pStyle w:val="16"/>
            </w:pPr>
            <w:r>
              <w:t>250.86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250.86</w:t>
            </w:r>
          </w:p>
        </w:tc>
        <w:tc>
          <w:tcPr>
            <w:tcW w:w="4535" w:type="dxa"/>
            <w:vAlign w:val="center"/>
          </w:tcPr>
          <w:p>
            <w:pPr>
              <w:pStyle w:val="15"/>
            </w:pPr>
            <w:r>
              <w:t>支出总计</w:t>
            </w:r>
          </w:p>
        </w:tc>
        <w:tc>
          <w:tcPr>
            <w:tcW w:w="2126" w:type="dxa"/>
            <w:vAlign w:val="center"/>
          </w:tcPr>
          <w:p>
            <w:pPr>
              <w:pStyle w:val="16"/>
            </w:pPr>
            <w:r>
              <w:t>250.86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224网信办</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250.86</w:t>
            </w:r>
          </w:p>
        </w:tc>
        <w:tc>
          <w:tcPr>
            <w:tcW w:w="1134" w:type="dxa"/>
            <w:vAlign w:val="center"/>
          </w:tcPr>
          <w:p>
            <w:pPr>
              <w:pStyle w:val="16"/>
            </w:pPr>
            <w:r>
              <w:t>250.86</w:t>
            </w:r>
          </w:p>
        </w:tc>
        <w:tc>
          <w:tcPr>
            <w:tcW w:w="1134" w:type="dxa"/>
            <w:vAlign w:val="center"/>
          </w:tcPr>
          <w:p>
            <w:pPr>
              <w:pStyle w:val="16"/>
            </w:pPr>
            <w:r>
              <w:t>250.86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219.59</w:t>
            </w:r>
          </w:p>
        </w:tc>
        <w:tc>
          <w:tcPr>
            <w:tcW w:w="1134" w:type="dxa"/>
            <w:vAlign w:val="center"/>
          </w:tcPr>
          <w:p>
            <w:pPr>
              <w:pStyle w:val="12"/>
            </w:pPr>
            <w:r>
              <w:t>219.59</w:t>
            </w:r>
          </w:p>
        </w:tc>
        <w:tc>
          <w:tcPr>
            <w:tcW w:w="1134" w:type="dxa"/>
            <w:vAlign w:val="center"/>
          </w:tcPr>
          <w:p>
            <w:pPr>
              <w:pStyle w:val="12"/>
            </w:pPr>
            <w:r>
              <w:t>219.59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20137</w:t>
            </w:r>
          </w:p>
        </w:tc>
        <w:tc>
          <w:tcPr>
            <w:tcW w:w="1559" w:type="dxa"/>
            <w:vAlign w:val="center"/>
          </w:tcPr>
          <w:p>
            <w:pPr>
              <w:pStyle w:val="13"/>
            </w:pPr>
            <w:r>
              <w:t>网信事务</w:t>
            </w:r>
          </w:p>
        </w:tc>
        <w:tc>
          <w:tcPr>
            <w:tcW w:w="1134" w:type="dxa"/>
            <w:vAlign w:val="center"/>
          </w:tcPr>
          <w:p>
            <w:pPr>
              <w:pStyle w:val="12"/>
            </w:pPr>
            <w:r>
              <w:t>219.59</w:t>
            </w:r>
          </w:p>
        </w:tc>
        <w:tc>
          <w:tcPr>
            <w:tcW w:w="1134" w:type="dxa"/>
            <w:vAlign w:val="center"/>
          </w:tcPr>
          <w:p>
            <w:pPr>
              <w:pStyle w:val="12"/>
            </w:pPr>
            <w:r>
              <w:t>219.59</w:t>
            </w:r>
          </w:p>
        </w:tc>
        <w:tc>
          <w:tcPr>
            <w:tcW w:w="1134" w:type="dxa"/>
            <w:vAlign w:val="center"/>
          </w:tcPr>
          <w:p>
            <w:pPr>
              <w:pStyle w:val="12"/>
            </w:pPr>
            <w:r>
              <w:t>219.59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2013701</w:t>
            </w:r>
          </w:p>
        </w:tc>
        <w:tc>
          <w:tcPr>
            <w:tcW w:w="1559" w:type="dxa"/>
            <w:vAlign w:val="center"/>
          </w:tcPr>
          <w:p>
            <w:pPr>
              <w:pStyle w:val="13"/>
            </w:pPr>
            <w:r>
              <w:t>行政运行</w:t>
            </w:r>
          </w:p>
        </w:tc>
        <w:tc>
          <w:tcPr>
            <w:tcW w:w="1134" w:type="dxa"/>
            <w:vAlign w:val="center"/>
          </w:tcPr>
          <w:p>
            <w:pPr>
              <w:pStyle w:val="12"/>
            </w:pPr>
            <w:r>
              <w:t>95.22</w:t>
            </w:r>
          </w:p>
        </w:tc>
        <w:tc>
          <w:tcPr>
            <w:tcW w:w="1134" w:type="dxa"/>
            <w:vAlign w:val="center"/>
          </w:tcPr>
          <w:p>
            <w:pPr>
              <w:pStyle w:val="12"/>
            </w:pPr>
            <w:r>
              <w:t>95.22</w:t>
            </w:r>
          </w:p>
        </w:tc>
        <w:tc>
          <w:tcPr>
            <w:tcW w:w="1134" w:type="dxa"/>
            <w:vAlign w:val="center"/>
          </w:tcPr>
          <w:p>
            <w:pPr>
              <w:pStyle w:val="12"/>
            </w:pPr>
            <w:r>
              <w:t>95.22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2013799</w:t>
            </w:r>
          </w:p>
        </w:tc>
        <w:tc>
          <w:tcPr>
            <w:tcW w:w="1559" w:type="dxa"/>
            <w:vAlign w:val="center"/>
          </w:tcPr>
          <w:p>
            <w:pPr>
              <w:pStyle w:val="13"/>
            </w:pPr>
            <w:r>
              <w:t>其他网信事务支出</w:t>
            </w:r>
          </w:p>
        </w:tc>
        <w:tc>
          <w:tcPr>
            <w:tcW w:w="1134" w:type="dxa"/>
            <w:vAlign w:val="center"/>
          </w:tcPr>
          <w:p>
            <w:pPr>
              <w:pStyle w:val="12"/>
            </w:pPr>
            <w:r>
              <w:t>124.37</w:t>
            </w:r>
          </w:p>
        </w:tc>
        <w:tc>
          <w:tcPr>
            <w:tcW w:w="1134" w:type="dxa"/>
            <w:vAlign w:val="center"/>
          </w:tcPr>
          <w:p>
            <w:pPr>
              <w:pStyle w:val="12"/>
            </w:pPr>
            <w:r>
              <w:t>124.37</w:t>
            </w:r>
          </w:p>
        </w:tc>
        <w:tc>
          <w:tcPr>
            <w:tcW w:w="1134" w:type="dxa"/>
            <w:vAlign w:val="center"/>
          </w:tcPr>
          <w:p>
            <w:pPr>
              <w:pStyle w:val="12"/>
            </w:pPr>
            <w:r>
              <w:t>124.37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11.70</w:t>
            </w:r>
          </w:p>
        </w:tc>
        <w:tc>
          <w:tcPr>
            <w:tcW w:w="1134" w:type="dxa"/>
            <w:vAlign w:val="center"/>
          </w:tcPr>
          <w:p>
            <w:pPr>
              <w:pStyle w:val="12"/>
            </w:pPr>
            <w:r>
              <w:t>11.70</w:t>
            </w:r>
          </w:p>
        </w:tc>
        <w:tc>
          <w:tcPr>
            <w:tcW w:w="1134" w:type="dxa"/>
            <w:vAlign w:val="center"/>
          </w:tcPr>
          <w:p>
            <w:pPr>
              <w:pStyle w:val="12"/>
            </w:pPr>
            <w:r>
              <w:t>11.70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11.70</w:t>
            </w:r>
          </w:p>
        </w:tc>
        <w:tc>
          <w:tcPr>
            <w:tcW w:w="1134" w:type="dxa"/>
            <w:vAlign w:val="center"/>
          </w:tcPr>
          <w:p>
            <w:pPr>
              <w:pStyle w:val="12"/>
            </w:pPr>
            <w:r>
              <w:t>11.70</w:t>
            </w:r>
          </w:p>
        </w:tc>
        <w:tc>
          <w:tcPr>
            <w:tcW w:w="1134" w:type="dxa"/>
            <w:vAlign w:val="center"/>
          </w:tcPr>
          <w:p>
            <w:pPr>
              <w:pStyle w:val="12"/>
            </w:pPr>
            <w:r>
              <w:t>11.70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11.70</w:t>
            </w:r>
          </w:p>
        </w:tc>
        <w:tc>
          <w:tcPr>
            <w:tcW w:w="1134" w:type="dxa"/>
            <w:vAlign w:val="center"/>
          </w:tcPr>
          <w:p>
            <w:pPr>
              <w:pStyle w:val="12"/>
            </w:pPr>
            <w:r>
              <w:t>11.70</w:t>
            </w:r>
          </w:p>
        </w:tc>
        <w:tc>
          <w:tcPr>
            <w:tcW w:w="1134" w:type="dxa"/>
            <w:vAlign w:val="center"/>
          </w:tcPr>
          <w:p>
            <w:pPr>
              <w:pStyle w:val="12"/>
            </w:pPr>
            <w:r>
              <w:t>11.70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10.14</w:t>
            </w:r>
          </w:p>
        </w:tc>
        <w:tc>
          <w:tcPr>
            <w:tcW w:w="1134" w:type="dxa"/>
            <w:vAlign w:val="center"/>
          </w:tcPr>
          <w:p>
            <w:pPr>
              <w:pStyle w:val="12"/>
            </w:pPr>
            <w:r>
              <w:t>10.14</w:t>
            </w:r>
          </w:p>
        </w:tc>
        <w:tc>
          <w:tcPr>
            <w:tcW w:w="1134" w:type="dxa"/>
            <w:vAlign w:val="center"/>
          </w:tcPr>
          <w:p>
            <w:pPr>
              <w:pStyle w:val="12"/>
            </w:pPr>
            <w:r>
              <w:t>10.14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10.14</w:t>
            </w:r>
          </w:p>
        </w:tc>
        <w:tc>
          <w:tcPr>
            <w:tcW w:w="1134" w:type="dxa"/>
            <w:vAlign w:val="center"/>
          </w:tcPr>
          <w:p>
            <w:pPr>
              <w:pStyle w:val="12"/>
            </w:pPr>
            <w:r>
              <w:t>10.14</w:t>
            </w:r>
          </w:p>
        </w:tc>
        <w:tc>
          <w:tcPr>
            <w:tcW w:w="1134" w:type="dxa"/>
            <w:vAlign w:val="center"/>
          </w:tcPr>
          <w:p>
            <w:pPr>
              <w:pStyle w:val="12"/>
            </w:pPr>
            <w:r>
              <w:t>10.14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4.80</w:t>
            </w:r>
          </w:p>
        </w:tc>
        <w:tc>
          <w:tcPr>
            <w:tcW w:w="1134" w:type="dxa"/>
            <w:vAlign w:val="center"/>
          </w:tcPr>
          <w:p>
            <w:pPr>
              <w:pStyle w:val="12"/>
            </w:pPr>
            <w:r>
              <w:t>4.80</w:t>
            </w:r>
          </w:p>
        </w:tc>
        <w:tc>
          <w:tcPr>
            <w:tcW w:w="1134" w:type="dxa"/>
            <w:vAlign w:val="center"/>
          </w:tcPr>
          <w:p>
            <w:pPr>
              <w:pStyle w:val="12"/>
            </w:pPr>
            <w:r>
              <w:t>4.80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5.34</w:t>
            </w:r>
          </w:p>
        </w:tc>
        <w:tc>
          <w:tcPr>
            <w:tcW w:w="1134" w:type="dxa"/>
            <w:vAlign w:val="center"/>
          </w:tcPr>
          <w:p>
            <w:pPr>
              <w:pStyle w:val="12"/>
            </w:pPr>
            <w:r>
              <w:t>5.34</w:t>
            </w:r>
          </w:p>
        </w:tc>
        <w:tc>
          <w:tcPr>
            <w:tcW w:w="1134" w:type="dxa"/>
            <w:vAlign w:val="center"/>
          </w:tcPr>
          <w:p>
            <w:pPr>
              <w:pStyle w:val="12"/>
            </w:pPr>
            <w:r>
              <w:t>5.34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9.43</w:t>
            </w:r>
          </w:p>
        </w:tc>
        <w:tc>
          <w:tcPr>
            <w:tcW w:w="1134" w:type="dxa"/>
            <w:vAlign w:val="center"/>
          </w:tcPr>
          <w:p>
            <w:pPr>
              <w:pStyle w:val="12"/>
            </w:pPr>
            <w:r>
              <w:t>9.43</w:t>
            </w:r>
          </w:p>
        </w:tc>
        <w:tc>
          <w:tcPr>
            <w:tcW w:w="1134" w:type="dxa"/>
            <w:vAlign w:val="center"/>
          </w:tcPr>
          <w:p>
            <w:pPr>
              <w:pStyle w:val="12"/>
            </w:pPr>
            <w:r>
              <w:t>9.43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9.43</w:t>
            </w:r>
          </w:p>
        </w:tc>
        <w:tc>
          <w:tcPr>
            <w:tcW w:w="1134" w:type="dxa"/>
            <w:vAlign w:val="center"/>
          </w:tcPr>
          <w:p>
            <w:pPr>
              <w:pStyle w:val="12"/>
            </w:pPr>
            <w:r>
              <w:t>9.43</w:t>
            </w:r>
          </w:p>
        </w:tc>
        <w:tc>
          <w:tcPr>
            <w:tcW w:w="1134" w:type="dxa"/>
            <w:vAlign w:val="center"/>
          </w:tcPr>
          <w:p>
            <w:pPr>
              <w:pStyle w:val="12"/>
            </w:pPr>
            <w:r>
              <w:t>9.43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9.43</w:t>
            </w:r>
          </w:p>
        </w:tc>
        <w:tc>
          <w:tcPr>
            <w:tcW w:w="1134" w:type="dxa"/>
            <w:vAlign w:val="center"/>
          </w:tcPr>
          <w:p>
            <w:pPr>
              <w:pStyle w:val="12"/>
            </w:pPr>
            <w:r>
              <w:t>9.43</w:t>
            </w:r>
          </w:p>
        </w:tc>
        <w:tc>
          <w:tcPr>
            <w:tcW w:w="1134" w:type="dxa"/>
            <w:vAlign w:val="center"/>
          </w:tcPr>
          <w:p>
            <w:pPr>
              <w:pStyle w:val="12"/>
            </w:pPr>
            <w:r>
              <w:t>9.43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224网信办</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250.86</w:t>
            </w:r>
          </w:p>
        </w:tc>
        <w:tc>
          <w:tcPr>
            <w:tcW w:w="1361" w:type="dxa"/>
            <w:vAlign w:val="center"/>
          </w:tcPr>
          <w:p>
            <w:pPr>
              <w:pStyle w:val="16"/>
            </w:pPr>
            <w:r>
              <w:t>126.49</w:t>
            </w:r>
          </w:p>
        </w:tc>
        <w:tc>
          <w:tcPr>
            <w:tcW w:w="1361" w:type="dxa"/>
            <w:vAlign w:val="center"/>
          </w:tcPr>
          <w:p>
            <w:pPr>
              <w:pStyle w:val="16"/>
            </w:pPr>
            <w:r>
              <w:t>124.37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219.59</w:t>
            </w:r>
          </w:p>
        </w:tc>
        <w:tc>
          <w:tcPr>
            <w:tcW w:w="1361" w:type="dxa"/>
            <w:vAlign w:val="center"/>
          </w:tcPr>
          <w:p>
            <w:pPr>
              <w:pStyle w:val="12"/>
            </w:pPr>
            <w:r>
              <w:t>95.22</w:t>
            </w:r>
          </w:p>
        </w:tc>
        <w:tc>
          <w:tcPr>
            <w:tcW w:w="1361" w:type="dxa"/>
            <w:vAlign w:val="center"/>
          </w:tcPr>
          <w:p>
            <w:pPr>
              <w:pStyle w:val="12"/>
            </w:pPr>
            <w:r>
              <w:t>124.37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20137</w:t>
            </w:r>
          </w:p>
        </w:tc>
        <w:tc>
          <w:tcPr>
            <w:tcW w:w="4535" w:type="dxa"/>
            <w:vAlign w:val="center"/>
          </w:tcPr>
          <w:p>
            <w:pPr>
              <w:pStyle w:val="13"/>
            </w:pPr>
            <w:r>
              <w:t>网信事务</w:t>
            </w:r>
          </w:p>
        </w:tc>
        <w:tc>
          <w:tcPr>
            <w:tcW w:w="1361" w:type="dxa"/>
            <w:vAlign w:val="center"/>
          </w:tcPr>
          <w:p>
            <w:pPr>
              <w:pStyle w:val="12"/>
            </w:pPr>
            <w:r>
              <w:t>219.59</w:t>
            </w:r>
          </w:p>
        </w:tc>
        <w:tc>
          <w:tcPr>
            <w:tcW w:w="1361" w:type="dxa"/>
            <w:vAlign w:val="center"/>
          </w:tcPr>
          <w:p>
            <w:pPr>
              <w:pStyle w:val="12"/>
            </w:pPr>
            <w:r>
              <w:t>95.22</w:t>
            </w:r>
          </w:p>
        </w:tc>
        <w:tc>
          <w:tcPr>
            <w:tcW w:w="1361" w:type="dxa"/>
            <w:vAlign w:val="center"/>
          </w:tcPr>
          <w:p>
            <w:pPr>
              <w:pStyle w:val="12"/>
            </w:pPr>
            <w:r>
              <w:t>124.37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2013701</w:t>
            </w:r>
          </w:p>
        </w:tc>
        <w:tc>
          <w:tcPr>
            <w:tcW w:w="4535" w:type="dxa"/>
            <w:vAlign w:val="center"/>
          </w:tcPr>
          <w:p>
            <w:pPr>
              <w:pStyle w:val="13"/>
            </w:pPr>
            <w:r>
              <w:t>行政运行</w:t>
            </w:r>
          </w:p>
        </w:tc>
        <w:tc>
          <w:tcPr>
            <w:tcW w:w="1361" w:type="dxa"/>
            <w:vAlign w:val="center"/>
          </w:tcPr>
          <w:p>
            <w:pPr>
              <w:pStyle w:val="12"/>
            </w:pPr>
            <w:r>
              <w:t>95.22</w:t>
            </w:r>
          </w:p>
        </w:tc>
        <w:tc>
          <w:tcPr>
            <w:tcW w:w="1361" w:type="dxa"/>
            <w:vAlign w:val="center"/>
          </w:tcPr>
          <w:p>
            <w:pPr>
              <w:pStyle w:val="12"/>
            </w:pPr>
            <w:r>
              <w:t>95.22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2013799</w:t>
            </w:r>
          </w:p>
        </w:tc>
        <w:tc>
          <w:tcPr>
            <w:tcW w:w="4535" w:type="dxa"/>
            <w:vAlign w:val="center"/>
          </w:tcPr>
          <w:p>
            <w:pPr>
              <w:pStyle w:val="13"/>
            </w:pPr>
            <w:r>
              <w:t>其他网信事务支出</w:t>
            </w:r>
          </w:p>
        </w:tc>
        <w:tc>
          <w:tcPr>
            <w:tcW w:w="1361" w:type="dxa"/>
            <w:vAlign w:val="center"/>
          </w:tcPr>
          <w:p>
            <w:pPr>
              <w:pStyle w:val="12"/>
            </w:pPr>
            <w:r>
              <w:t>124.37</w:t>
            </w:r>
          </w:p>
        </w:tc>
        <w:tc>
          <w:tcPr>
            <w:tcW w:w="1361" w:type="dxa"/>
            <w:vAlign w:val="center"/>
          </w:tcPr>
          <w:p>
            <w:pPr>
              <w:pStyle w:val="12"/>
            </w:pPr>
          </w:p>
        </w:tc>
        <w:tc>
          <w:tcPr>
            <w:tcW w:w="1361" w:type="dxa"/>
            <w:vAlign w:val="center"/>
          </w:tcPr>
          <w:p>
            <w:pPr>
              <w:pStyle w:val="12"/>
            </w:pPr>
            <w:r>
              <w:t>124.37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11.70</w:t>
            </w:r>
          </w:p>
        </w:tc>
        <w:tc>
          <w:tcPr>
            <w:tcW w:w="1361" w:type="dxa"/>
            <w:vAlign w:val="center"/>
          </w:tcPr>
          <w:p>
            <w:pPr>
              <w:pStyle w:val="12"/>
            </w:pPr>
            <w:r>
              <w:t>11.70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11.70</w:t>
            </w:r>
          </w:p>
        </w:tc>
        <w:tc>
          <w:tcPr>
            <w:tcW w:w="1361" w:type="dxa"/>
            <w:vAlign w:val="center"/>
          </w:tcPr>
          <w:p>
            <w:pPr>
              <w:pStyle w:val="12"/>
            </w:pPr>
            <w:r>
              <w:t>11.70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11.70</w:t>
            </w:r>
          </w:p>
        </w:tc>
        <w:tc>
          <w:tcPr>
            <w:tcW w:w="1361" w:type="dxa"/>
            <w:vAlign w:val="center"/>
          </w:tcPr>
          <w:p>
            <w:pPr>
              <w:pStyle w:val="12"/>
            </w:pPr>
            <w:r>
              <w:t>11.70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10.14</w:t>
            </w:r>
          </w:p>
        </w:tc>
        <w:tc>
          <w:tcPr>
            <w:tcW w:w="1361" w:type="dxa"/>
            <w:vAlign w:val="center"/>
          </w:tcPr>
          <w:p>
            <w:pPr>
              <w:pStyle w:val="12"/>
            </w:pPr>
            <w:r>
              <w:t>10.14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10.14</w:t>
            </w:r>
          </w:p>
        </w:tc>
        <w:tc>
          <w:tcPr>
            <w:tcW w:w="1361" w:type="dxa"/>
            <w:vAlign w:val="center"/>
          </w:tcPr>
          <w:p>
            <w:pPr>
              <w:pStyle w:val="12"/>
            </w:pPr>
            <w:r>
              <w:t>10.14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4.80</w:t>
            </w:r>
          </w:p>
        </w:tc>
        <w:tc>
          <w:tcPr>
            <w:tcW w:w="1361" w:type="dxa"/>
            <w:vAlign w:val="center"/>
          </w:tcPr>
          <w:p>
            <w:pPr>
              <w:pStyle w:val="12"/>
            </w:pPr>
            <w:r>
              <w:t>4.80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5.34</w:t>
            </w:r>
          </w:p>
        </w:tc>
        <w:tc>
          <w:tcPr>
            <w:tcW w:w="1361" w:type="dxa"/>
            <w:vAlign w:val="center"/>
          </w:tcPr>
          <w:p>
            <w:pPr>
              <w:pStyle w:val="12"/>
            </w:pPr>
            <w:r>
              <w:t>5.34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9.43</w:t>
            </w:r>
          </w:p>
        </w:tc>
        <w:tc>
          <w:tcPr>
            <w:tcW w:w="1361" w:type="dxa"/>
            <w:vAlign w:val="center"/>
          </w:tcPr>
          <w:p>
            <w:pPr>
              <w:pStyle w:val="12"/>
            </w:pPr>
            <w:r>
              <w:t>9.43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9.43</w:t>
            </w:r>
          </w:p>
        </w:tc>
        <w:tc>
          <w:tcPr>
            <w:tcW w:w="1361" w:type="dxa"/>
            <w:vAlign w:val="center"/>
          </w:tcPr>
          <w:p>
            <w:pPr>
              <w:pStyle w:val="12"/>
            </w:pPr>
            <w:r>
              <w:t>9.43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9.43</w:t>
            </w:r>
          </w:p>
        </w:tc>
        <w:tc>
          <w:tcPr>
            <w:tcW w:w="1361" w:type="dxa"/>
            <w:vAlign w:val="center"/>
          </w:tcPr>
          <w:p>
            <w:pPr>
              <w:pStyle w:val="12"/>
            </w:pPr>
            <w:r>
              <w:t>9.43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224网信办</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250.86</w:t>
            </w:r>
          </w:p>
        </w:tc>
        <w:tc>
          <w:tcPr>
            <w:tcW w:w="3402" w:type="dxa"/>
            <w:vAlign w:val="center"/>
          </w:tcPr>
          <w:p>
            <w:pPr>
              <w:pStyle w:val="13"/>
            </w:pPr>
            <w:r>
              <w:t>一、一般公共服务支出</w:t>
            </w:r>
          </w:p>
        </w:tc>
        <w:tc>
          <w:tcPr>
            <w:tcW w:w="1474" w:type="dxa"/>
            <w:vAlign w:val="center"/>
          </w:tcPr>
          <w:p>
            <w:pPr>
              <w:pStyle w:val="12"/>
            </w:pPr>
            <w:r>
              <w:t>219.59</w:t>
            </w:r>
          </w:p>
        </w:tc>
        <w:tc>
          <w:tcPr>
            <w:tcW w:w="1474" w:type="dxa"/>
            <w:vAlign w:val="center"/>
          </w:tcPr>
          <w:p>
            <w:pPr>
              <w:pStyle w:val="12"/>
            </w:pPr>
            <w:r>
              <w:t>219.59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11.70</w:t>
            </w:r>
          </w:p>
        </w:tc>
        <w:tc>
          <w:tcPr>
            <w:tcW w:w="1474" w:type="dxa"/>
            <w:vAlign w:val="center"/>
          </w:tcPr>
          <w:p>
            <w:pPr>
              <w:pStyle w:val="12"/>
            </w:pPr>
            <w:r>
              <w:t>11.70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10.14</w:t>
            </w:r>
          </w:p>
        </w:tc>
        <w:tc>
          <w:tcPr>
            <w:tcW w:w="1474" w:type="dxa"/>
            <w:vAlign w:val="center"/>
          </w:tcPr>
          <w:p>
            <w:pPr>
              <w:pStyle w:val="12"/>
            </w:pPr>
            <w:r>
              <w:t>10.14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9.43</w:t>
            </w:r>
          </w:p>
        </w:tc>
        <w:tc>
          <w:tcPr>
            <w:tcW w:w="1474" w:type="dxa"/>
            <w:vAlign w:val="center"/>
          </w:tcPr>
          <w:p>
            <w:pPr>
              <w:pStyle w:val="12"/>
            </w:pPr>
            <w:r>
              <w:t>9.43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250.86</w:t>
            </w:r>
          </w:p>
        </w:tc>
        <w:tc>
          <w:tcPr>
            <w:tcW w:w="3402" w:type="dxa"/>
            <w:vAlign w:val="center"/>
          </w:tcPr>
          <w:p>
            <w:pPr>
              <w:pStyle w:val="15"/>
            </w:pPr>
            <w:r>
              <w:t>本年支出合计</w:t>
            </w:r>
          </w:p>
        </w:tc>
        <w:tc>
          <w:tcPr>
            <w:tcW w:w="1474" w:type="dxa"/>
            <w:vAlign w:val="center"/>
          </w:tcPr>
          <w:p>
            <w:pPr>
              <w:pStyle w:val="16"/>
            </w:pPr>
            <w:r>
              <w:t>250.86</w:t>
            </w:r>
          </w:p>
        </w:tc>
        <w:tc>
          <w:tcPr>
            <w:tcW w:w="1474" w:type="dxa"/>
            <w:vAlign w:val="center"/>
          </w:tcPr>
          <w:p>
            <w:pPr>
              <w:pStyle w:val="16"/>
            </w:pPr>
            <w:r>
              <w:t>250.86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250.86</w:t>
            </w:r>
          </w:p>
        </w:tc>
        <w:tc>
          <w:tcPr>
            <w:tcW w:w="3402" w:type="dxa"/>
            <w:vAlign w:val="center"/>
          </w:tcPr>
          <w:p>
            <w:pPr>
              <w:pStyle w:val="15"/>
            </w:pPr>
            <w:r>
              <w:t>支出总计</w:t>
            </w:r>
          </w:p>
        </w:tc>
        <w:tc>
          <w:tcPr>
            <w:tcW w:w="1474" w:type="dxa"/>
            <w:vAlign w:val="center"/>
          </w:tcPr>
          <w:p>
            <w:pPr>
              <w:pStyle w:val="16"/>
            </w:pPr>
            <w:r>
              <w:t>250.86</w:t>
            </w:r>
          </w:p>
        </w:tc>
        <w:tc>
          <w:tcPr>
            <w:tcW w:w="1474" w:type="dxa"/>
            <w:vAlign w:val="center"/>
          </w:tcPr>
          <w:p>
            <w:pPr>
              <w:pStyle w:val="16"/>
            </w:pPr>
            <w:r>
              <w:t>250.86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224网信办</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250.86</w:t>
            </w:r>
          </w:p>
        </w:tc>
        <w:tc>
          <w:tcPr>
            <w:tcW w:w="2551" w:type="dxa"/>
            <w:vAlign w:val="center"/>
          </w:tcPr>
          <w:p>
            <w:pPr>
              <w:pStyle w:val="16"/>
            </w:pPr>
            <w:r>
              <w:t>126.49</w:t>
            </w:r>
          </w:p>
        </w:tc>
        <w:tc>
          <w:tcPr>
            <w:tcW w:w="2551" w:type="dxa"/>
            <w:vAlign w:val="center"/>
          </w:tcPr>
          <w:p>
            <w:pPr>
              <w:pStyle w:val="16"/>
            </w:pPr>
            <w:r>
              <w:t>124.37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219.59</w:t>
            </w:r>
          </w:p>
        </w:tc>
        <w:tc>
          <w:tcPr>
            <w:tcW w:w="2551" w:type="dxa"/>
            <w:vAlign w:val="center"/>
          </w:tcPr>
          <w:p>
            <w:pPr>
              <w:pStyle w:val="12"/>
            </w:pPr>
            <w:r>
              <w:t>95.22</w:t>
            </w:r>
          </w:p>
        </w:tc>
        <w:tc>
          <w:tcPr>
            <w:tcW w:w="2551" w:type="dxa"/>
            <w:vAlign w:val="center"/>
          </w:tcPr>
          <w:p>
            <w:pPr>
              <w:pStyle w:val="12"/>
            </w:pPr>
            <w:r>
              <w:t>124.37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20137</w:t>
            </w:r>
          </w:p>
        </w:tc>
        <w:tc>
          <w:tcPr>
            <w:tcW w:w="4535" w:type="dxa"/>
            <w:vAlign w:val="center"/>
          </w:tcPr>
          <w:p>
            <w:pPr>
              <w:pStyle w:val="13"/>
            </w:pPr>
            <w:r>
              <w:t>网信事务</w:t>
            </w:r>
          </w:p>
        </w:tc>
        <w:tc>
          <w:tcPr>
            <w:tcW w:w="2551" w:type="dxa"/>
            <w:vAlign w:val="center"/>
          </w:tcPr>
          <w:p>
            <w:pPr>
              <w:pStyle w:val="12"/>
            </w:pPr>
            <w:r>
              <w:t>219.59</w:t>
            </w:r>
          </w:p>
        </w:tc>
        <w:tc>
          <w:tcPr>
            <w:tcW w:w="2551" w:type="dxa"/>
            <w:vAlign w:val="center"/>
          </w:tcPr>
          <w:p>
            <w:pPr>
              <w:pStyle w:val="12"/>
            </w:pPr>
            <w:r>
              <w:t>95.22</w:t>
            </w:r>
          </w:p>
        </w:tc>
        <w:tc>
          <w:tcPr>
            <w:tcW w:w="2551" w:type="dxa"/>
            <w:vAlign w:val="center"/>
          </w:tcPr>
          <w:p>
            <w:pPr>
              <w:pStyle w:val="12"/>
            </w:pPr>
            <w:r>
              <w:t>124.37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2013701</w:t>
            </w:r>
          </w:p>
        </w:tc>
        <w:tc>
          <w:tcPr>
            <w:tcW w:w="4535" w:type="dxa"/>
            <w:vAlign w:val="center"/>
          </w:tcPr>
          <w:p>
            <w:pPr>
              <w:pStyle w:val="13"/>
            </w:pPr>
            <w:r>
              <w:t>行政运行</w:t>
            </w:r>
          </w:p>
        </w:tc>
        <w:tc>
          <w:tcPr>
            <w:tcW w:w="2551" w:type="dxa"/>
            <w:vAlign w:val="center"/>
          </w:tcPr>
          <w:p>
            <w:pPr>
              <w:pStyle w:val="12"/>
            </w:pPr>
            <w:r>
              <w:t>95.22</w:t>
            </w:r>
          </w:p>
        </w:tc>
        <w:tc>
          <w:tcPr>
            <w:tcW w:w="2551" w:type="dxa"/>
            <w:vAlign w:val="center"/>
          </w:tcPr>
          <w:p>
            <w:pPr>
              <w:pStyle w:val="12"/>
            </w:pPr>
            <w:r>
              <w:t>95.22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2013799</w:t>
            </w:r>
          </w:p>
        </w:tc>
        <w:tc>
          <w:tcPr>
            <w:tcW w:w="4535" w:type="dxa"/>
            <w:vAlign w:val="center"/>
          </w:tcPr>
          <w:p>
            <w:pPr>
              <w:pStyle w:val="13"/>
            </w:pPr>
            <w:r>
              <w:t>其他网信事务支出</w:t>
            </w:r>
          </w:p>
        </w:tc>
        <w:tc>
          <w:tcPr>
            <w:tcW w:w="2551" w:type="dxa"/>
            <w:vAlign w:val="center"/>
          </w:tcPr>
          <w:p>
            <w:pPr>
              <w:pStyle w:val="12"/>
            </w:pPr>
            <w:r>
              <w:t>124.37</w:t>
            </w:r>
          </w:p>
        </w:tc>
        <w:tc>
          <w:tcPr>
            <w:tcW w:w="2551" w:type="dxa"/>
            <w:vAlign w:val="center"/>
          </w:tcPr>
          <w:p>
            <w:pPr>
              <w:pStyle w:val="12"/>
            </w:pPr>
          </w:p>
        </w:tc>
        <w:tc>
          <w:tcPr>
            <w:tcW w:w="2551" w:type="dxa"/>
            <w:vAlign w:val="center"/>
          </w:tcPr>
          <w:p>
            <w:pPr>
              <w:pStyle w:val="12"/>
            </w:pPr>
            <w:r>
              <w:t>124.37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11.70</w:t>
            </w:r>
          </w:p>
        </w:tc>
        <w:tc>
          <w:tcPr>
            <w:tcW w:w="2551" w:type="dxa"/>
            <w:vAlign w:val="center"/>
          </w:tcPr>
          <w:p>
            <w:pPr>
              <w:pStyle w:val="12"/>
            </w:pPr>
            <w:r>
              <w:t>11.70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11.70</w:t>
            </w:r>
          </w:p>
        </w:tc>
        <w:tc>
          <w:tcPr>
            <w:tcW w:w="2551" w:type="dxa"/>
            <w:vAlign w:val="center"/>
          </w:tcPr>
          <w:p>
            <w:pPr>
              <w:pStyle w:val="12"/>
            </w:pPr>
            <w:r>
              <w:t>11.70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11.70</w:t>
            </w:r>
          </w:p>
        </w:tc>
        <w:tc>
          <w:tcPr>
            <w:tcW w:w="2551" w:type="dxa"/>
            <w:vAlign w:val="center"/>
          </w:tcPr>
          <w:p>
            <w:pPr>
              <w:pStyle w:val="12"/>
            </w:pPr>
            <w:r>
              <w:t>11.70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10.14</w:t>
            </w:r>
          </w:p>
        </w:tc>
        <w:tc>
          <w:tcPr>
            <w:tcW w:w="2551" w:type="dxa"/>
            <w:vAlign w:val="center"/>
          </w:tcPr>
          <w:p>
            <w:pPr>
              <w:pStyle w:val="12"/>
            </w:pPr>
            <w:r>
              <w:t>10.14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10.14</w:t>
            </w:r>
          </w:p>
        </w:tc>
        <w:tc>
          <w:tcPr>
            <w:tcW w:w="2551" w:type="dxa"/>
            <w:vAlign w:val="center"/>
          </w:tcPr>
          <w:p>
            <w:pPr>
              <w:pStyle w:val="12"/>
            </w:pPr>
            <w:r>
              <w:t>10.14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4.80</w:t>
            </w:r>
          </w:p>
        </w:tc>
        <w:tc>
          <w:tcPr>
            <w:tcW w:w="2551" w:type="dxa"/>
            <w:vAlign w:val="center"/>
          </w:tcPr>
          <w:p>
            <w:pPr>
              <w:pStyle w:val="12"/>
            </w:pPr>
            <w:r>
              <w:t>4.80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5.34</w:t>
            </w:r>
          </w:p>
        </w:tc>
        <w:tc>
          <w:tcPr>
            <w:tcW w:w="2551" w:type="dxa"/>
            <w:vAlign w:val="center"/>
          </w:tcPr>
          <w:p>
            <w:pPr>
              <w:pStyle w:val="12"/>
            </w:pPr>
            <w:r>
              <w:t>5.34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9.43</w:t>
            </w:r>
          </w:p>
        </w:tc>
        <w:tc>
          <w:tcPr>
            <w:tcW w:w="2551" w:type="dxa"/>
            <w:vAlign w:val="center"/>
          </w:tcPr>
          <w:p>
            <w:pPr>
              <w:pStyle w:val="12"/>
            </w:pPr>
            <w:r>
              <w:t>9.43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9.43</w:t>
            </w:r>
          </w:p>
        </w:tc>
        <w:tc>
          <w:tcPr>
            <w:tcW w:w="2551" w:type="dxa"/>
            <w:vAlign w:val="center"/>
          </w:tcPr>
          <w:p>
            <w:pPr>
              <w:pStyle w:val="12"/>
            </w:pPr>
            <w:r>
              <w:t>9.43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9.43</w:t>
            </w:r>
          </w:p>
        </w:tc>
        <w:tc>
          <w:tcPr>
            <w:tcW w:w="2551" w:type="dxa"/>
            <w:vAlign w:val="center"/>
          </w:tcPr>
          <w:p>
            <w:pPr>
              <w:pStyle w:val="12"/>
            </w:pPr>
            <w:r>
              <w:t>9.43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224网信办</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126.49</w:t>
            </w:r>
          </w:p>
        </w:tc>
        <w:tc>
          <w:tcPr>
            <w:tcW w:w="2551" w:type="dxa"/>
            <w:vAlign w:val="center"/>
          </w:tcPr>
          <w:p>
            <w:pPr>
              <w:pStyle w:val="16"/>
            </w:pPr>
            <w:r>
              <w:t>117.03</w:t>
            </w:r>
          </w:p>
        </w:tc>
        <w:tc>
          <w:tcPr>
            <w:tcW w:w="2551" w:type="dxa"/>
            <w:vAlign w:val="center"/>
          </w:tcPr>
          <w:p>
            <w:pPr>
              <w:pStyle w:val="16"/>
            </w:pPr>
            <w:r>
              <w:t>9.46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117.01</w:t>
            </w:r>
          </w:p>
        </w:tc>
        <w:tc>
          <w:tcPr>
            <w:tcW w:w="2551" w:type="dxa"/>
            <w:vAlign w:val="center"/>
          </w:tcPr>
          <w:p>
            <w:pPr>
              <w:pStyle w:val="12"/>
            </w:pPr>
            <w:r>
              <w:t>117.01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30.08</w:t>
            </w:r>
          </w:p>
        </w:tc>
        <w:tc>
          <w:tcPr>
            <w:tcW w:w="2551" w:type="dxa"/>
            <w:vAlign w:val="center"/>
          </w:tcPr>
          <w:p>
            <w:pPr>
              <w:pStyle w:val="12"/>
            </w:pPr>
            <w:r>
              <w:t>30.08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20.32</w:t>
            </w:r>
          </w:p>
        </w:tc>
        <w:tc>
          <w:tcPr>
            <w:tcW w:w="2551" w:type="dxa"/>
            <w:vAlign w:val="center"/>
          </w:tcPr>
          <w:p>
            <w:pPr>
              <w:pStyle w:val="12"/>
            </w:pPr>
            <w:r>
              <w:t>20.32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8.81</w:t>
            </w:r>
          </w:p>
        </w:tc>
        <w:tc>
          <w:tcPr>
            <w:tcW w:w="2551" w:type="dxa"/>
            <w:vAlign w:val="center"/>
          </w:tcPr>
          <w:p>
            <w:pPr>
              <w:pStyle w:val="12"/>
            </w:pPr>
            <w:r>
              <w:t>8.81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26.21</w:t>
            </w:r>
          </w:p>
        </w:tc>
        <w:tc>
          <w:tcPr>
            <w:tcW w:w="2551" w:type="dxa"/>
            <w:vAlign w:val="center"/>
          </w:tcPr>
          <w:p>
            <w:pPr>
              <w:pStyle w:val="12"/>
            </w:pPr>
            <w:r>
              <w:t>26.21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11.70</w:t>
            </w:r>
          </w:p>
        </w:tc>
        <w:tc>
          <w:tcPr>
            <w:tcW w:w="2551" w:type="dxa"/>
            <w:vAlign w:val="center"/>
          </w:tcPr>
          <w:p>
            <w:pPr>
              <w:pStyle w:val="12"/>
            </w:pPr>
            <w:r>
              <w:t>11.70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4.80</w:t>
            </w:r>
          </w:p>
        </w:tc>
        <w:tc>
          <w:tcPr>
            <w:tcW w:w="2551" w:type="dxa"/>
            <w:vAlign w:val="center"/>
          </w:tcPr>
          <w:p>
            <w:pPr>
              <w:pStyle w:val="12"/>
            </w:pPr>
            <w:r>
              <w:t>4.80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5.34</w:t>
            </w:r>
          </w:p>
        </w:tc>
        <w:tc>
          <w:tcPr>
            <w:tcW w:w="2551" w:type="dxa"/>
            <w:vAlign w:val="center"/>
          </w:tcPr>
          <w:p>
            <w:pPr>
              <w:pStyle w:val="12"/>
            </w:pPr>
            <w:r>
              <w:t>5.34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0.32</w:t>
            </w:r>
          </w:p>
        </w:tc>
        <w:tc>
          <w:tcPr>
            <w:tcW w:w="2551" w:type="dxa"/>
            <w:vAlign w:val="center"/>
          </w:tcPr>
          <w:p>
            <w:pPr>
              <w:pStyle w:val="12"/>
            </w:pPr>
            <w:r>
              <w:t>0.32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9.43</w:t>
            </w:r>
          </w:p>
        </w:tc>
        <w:tc>
          <w:tcPr>
            <w:tcW w:w="2551" w:type="dxa"/>
            <w:vAlign w:val="center"/>
          </w:tcPr>
          <w:p>
            <w:pPr>
              <w:pStyle w:val="12"/>
            </w:pPr>
            <w:r>
              <w:t>9.43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9.46</w:t>
            </w:r>
          </w:p>
        </w:tc>
        <w:tc>
          <w:tcPr>
            <w:tcW w:w="2551" w:type="dxa"/>
            <w:vAlign w:val="center"/>
          </w:tcPr>
          <w:p>
            <w:pPr>
              <w:pStyle w:val="12"/>
            </w:pPr>
          </w:p>
        </w:tc>
        <w:tc>
          <w:tcPr>
            <w:tcW w:w="2551" w:type="dxa"/>
            <w:vAlign w:val="center"/>
          </w:tcPr>
          <w:p>
            <w:pPr>
              <w:pStyle w:val="12"/>
            </w:pPr>
            <w:r>
              <w:t>9.46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2.03</w:t>
            </w:r>
          </w:p>
        </w:tc>
        <w:tc>
          <w:tcPr>
            <w:tcW w:w="2551" w:type="dxa"/>
            <w:vAlign w:val="center"/>
          </w:tcPr>
          <w:p>
            <w:pPr>
              <w:pStyle w:val="12"/>
            </w:pPr>
          </w:p>
        </w:tc>
        <w:tc>
          <w:tcPr>
            <w:tcW w:w="2551" w:type="dxa"/>
            <w:vAlign w:val="center"/>
          </w:tcPr>
          <w:p>
            <w:pPr>
              <w:pStyle w:val="12"/>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2.10</w:t>
            </w:r>
          </w:p>
        </w:tc>
        <w:tc>
          <w:tcPr>
            <w:tcW w:w="2551" w:type="dxa"/>
            <w:vAlign w:val="center"/>
          </w:tcPr>
          <w:p>
            <w:pPr>
              <w:pStyle w:val="12"/>
            </w:pPr>
          </w:p>
        </w:tc>
        <w:tc>
          <w:tcPr>
            <w:tcW w:w="2551" w:type="dxa"/>
            <w:vAlign w:val="center"/>
          </w:tcPr>
          <w:p>
            <w:pPr>
              <w:pStyle w:val="12"/>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0.91</w:t>
            </w:r>
          </w:p>
        </w:tc>
        <w:tc>
          <w:tcPr>
            <w:tcW w:w="2551" w:type="dxa"/>
            <w:vAlign w:val="center"/>
          </w:tcPr>
          <w:p>
            <w:pPr>
              <w:pStyle w:val="12"/>
            </w:pPr>
          </w:p>
        </w:tc>
        <w:tc>
          <w:tcPr>
            <w:tcW w:w="2551" w:type="dxa"/>
            <w:vAlign w:val="center"/>
          </w:tcPr>
          <w:p>
            <w:pPr>
              <w:pStyle w:val="12"/>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1.24</w:t>
            </w:r>
          </w:p>
        </w:tc>
        <w:tc>
          <w:tcPr>
            <w:tcW w:w="2551" w:type="dxa"/>
            <w:vAlign w:val="center"/>
          </w:tcPr>
          <w:p>
            <w:pPr>
              <w:pStyle w:val="12"/>
            </w:pPr>
          </w:p>
        </w:tc>
        <w:tc>
          <w:tcPr>
            <w:tcW w:w="2551" w:type="dxa"/>
            <w:vAlign w:val="center"/>
          </w:tcPr>
          <w:p>
            <w:pPr>
              <w:pStyle w:val="12"/>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0.76</w:t>
            </w:r>
          </w:p>
        </w:tc>
        <w:tc>
          <w:tcPr>
            <w:tcW w:w="2551" w:type="dxa"/>
            <w:vAlign w:val="center"/>
          </w:tcPr>
          <w:p>
            <w:pPr>
              <w:pStyle w:val="12"/>
            </w:pPr>
          </w:p>
        </w:tc>
        <w:tc>
          <w:tcPr>
            <w:tcW w:w="2551" w:type="dxa"/>
            <w:vAlign w:val="center"/>
          </w:tcPr>
          <w:p>
            <w:pPr>
              <w:pStyle w:val="12"/>
            </w:pPr>
            <w:r>
              <w:t>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2.34</w:t>
            </w:r>
          </w:p>
        </w:tc>
        <w:tc>
          <w:tcPr>
            <w:tcW w:w="2551" w:type="dxa"/>
            <w:vAlign w:val="center"/>
          </w:tcPr>
          <w:p>
            <w:pPr>
              <w:pStyle w:val="12"/>
            </w:pPr>
          </w:p>
        </w:tc>
        <w:tc>
          <w:tcPr>
            <w:tcW w:w="2551" w:type="dxa"/>
            <w:vAlign w:val="center"/>
          </w:tcPr>
          <w:p>
            <w:pPr>
              <w:pStyle w:val="12"/>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0.08</w:t>
            </w:r>
          </w:p>
        </w:tc>
        <w:tc>
          <w:tcPr>
            <w:tcW w:w="2551" w:type="dxa"/>
            <w:vAlign w:val="center"/>
          </w:tcPr>
          <w:p>
            <w:pPr>
              <w:pStyle w:val="12"/>
            </w:pPr>
          </w:p>
        </w:tc>
        <w:tc>
          <w:tcPr>
            <w:tcW w:w="2551"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0.02</w:t>
            </w:r>
          </w:p>
        </w:tc>
        <w:tc>
          <w:tcPr>
            <w:tcW w:w="2551" w:type="dxa"/>
            <w:vAlign w:val="center"/>
          </w:tcPr>
          <w:p>
            <w:pPr>
              <w:pStyle w:val="12"/>
            </w:pPr>
            <w:r>
              <w:t>0.02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0.02</w:t>
            </w:r>
          </w:p>
        </w:tc>
        <w:tc>
          <w:tcPr>
            <w:tcW w:w="2551" w:type="dxa"/>
            <w:vAlign w:val="center"/>
          </w:tcPr>
          <w:p>
            <w:pPr>
              <w:pStyle w:val="12"/>
            </w:pPr>
            <w:r>
              <w:t>0.02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224网信办</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224网信办</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224网信办</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网信办2024年部门预算信息公开情况说明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网信办2024年部门预算信息公开情况说明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按照《中华人民共和国预算法》、《地方预决算公开操作规程》和《关于进一步推进预算公开工作的实施意见》规定，现将网信办2024年部门预算公开如下：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根据《网信办职能配置、内设机构和人员编制规定》，网信办的主要职责是：</w:t>
      </w:r>
    </w:p>
    <w:p>
      <w:pPr>
        <w:pStyle w:val="18"/>
      </w:pPr>
      <w:r>
        <w:t>本单位是行政单位。内设机构1个，单列科室1个，二级事业单位1个。</w:t>
      </w:r>
    </w:p>
    <w:p>
      <w:pPr>
        <w:pStyle w:val="18"/>
      </w:pPr>
      <w:r>
        <w:t>主要职责及重点工作如下：</w:t>
      </w:r>
    </w:p>
    <w:p>
      <w:pPr>
        <w:pStyle w:val="18"/>
      </w:pPr>
      <w:r>
        <w:t>1.负责处理区委网络安全和信息化委员会日常事务和网信干部队伍建设管理工作。</w:t>
      </w:r>
    </w:p>
    <w:p>
      <w:pPr>
        <w:pStyle w:val="18"/>
      </w:pPr>
      <w:r>
        <w:t>2.负责全区网络宣传引导、网络文化文明建设和网络社会工作，推动全区网络阵地建设。</w:t>
      </w:r>
    </w:p>
    <w:p>
      <w:pPr>
        <w:pStyle w:val="18"/>
      </w:pPr>
      <w:r>
        <w:t>3.负责指导协调全区网络舆情工作。</w:t>
      </w:r>
    </w:p>
    <w:p>
      <w:pPr>
        <w:pStyle w:val="18"/>
      </w:pPr>
      <w:r>
        <w:t>4.负责全区互联网信息内容管理工作。</w:t>
      </w:r>
    </w:p>
    <w:p>
      <w:pPr>
        <w:pStyle w:val="18"/>
      </w:pPr>
      <w:r>
        <w:t>5.负责推动全区网络安全工作。</w:t>
      </w:r>
    </w:p>
    <w:p>
      <w:pPr>
        <w:pStyle w:val="18"/>
      </w:pPr>
      <w:r>
        <w:t>6.负责推动全区信息化安全工作。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中共北戴河区委网络安全和信息化委员会办公室(本级)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按照预算管理有关规定，目前部门预算的编制实行综合预算管理，即全部收入和支出都反映在预算中。网信办机关及所属事业单位的收支包含在部门预算中。</w:t>
      </w:r>
    </w:p>
    <w:p>
      <w:pPr>
        <w:pStyle w:val="19"/>
      </w:pPr>
      <w:r>
        <w:t>1、收入说明</w:t>
      </w:r>
    </w:p>
    <w:p>
      <w:pPr>
        <w:pStyle w:val="19"/>
      </w:pPr>
      <w:r>
        <w:t>反映本部门当年全部收入。2024年预算收入250.86万元，其中：一般公共预算收入250.86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网信办年度部门预算中支出预算的总体情况。2024年支出预算250.86万元，其中基本支出126.49万元，包括人员经费117.03万元和日常公用经费9.46万元；项目支出124.37万元，主要为基本工资30.08万元，奖金6.38万元，社会保障缴费22.16万元，住房公积金9.43万元，办公费2.03万元，培训费0.91万元，全区电子政务外网网络安全加固经费29.90万元，网络安全工作经费40.22万元，信息化工作经费1.34万元，平台建设网络运行维护费29.50万元。因人员增加，工资及保险也相应增加。本年新增全区电子政务外网网络安全加固等业务支出，增加经费支出。</w:t>
      </w:r>
    </w:p>
    <w:p>
      <w:pPr>
        <w:pStyle w:val="19"/>
      </w:pPr>
      <w:r>
        <w:t>3、比上年增减情况</w:t>
      </w:r>
    </w:p>
    <w:p>
      <w:pPr>
        <w:pStyle w:val="19"/>
      </w:pPr>
      <w:r>
        <w:t>2024年预算收支安排250.86万元，较2023年预算增加93.54万元，其中：基本支出增加20.23万元，主要为基本工资30.08万元，奖金6.38万元，社会保障缴费22.16万元，住房公积金9.43万元。因人员增加，工资及保险也相应增加。项目支出增加73.31万元，主要为全区电子政务外网网络安全加固经费29.90万元，网络安全工作经费40.22万元，信息化工作经费1.34万元，平台建设网络运行维护费29.50万元。本年新增全区电子政务外网网络安全加固等业务支出，增加经费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2024年，我部门机关运行经费共计安排9.46万元，主要用于日常维修等日常运行支出。</w:t>
      </w:r>
      <w:bookmarkStart w:id="20" w:name="_GoBack"/>
      <w:bookmarkEnd w:id="20"/>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本单位是行政单位。内设机构1个，单列科室1个，二级事业单位1个。</w:t>
      </w:r>
    </w:p>
    <w:p>
      <w:pPr>
        <w:pStyle w:val="22"/>
      </w:pPr>
      <w:r>
        <w:t>主要职责及重点工作如下：</w:t>
      </w:r>
    </w:p>
    <w:p>
      <w:pPr>
        <w:pStyle w:val="22"/>
      </w:pPr>
      <w:r>
        <w:t>1.负责处理区委网络安全和信息化委员会日常事务和网信干部队伍建设管理工作。</w:t>
      </w:r>
    </w:p>
    <w:p>
      <w:pPr>
        <w:pStyle w:val="22"/>
      </w:pPr>
      <w:r>
        <w:t>2.负责全区网络宣传引导、网络文化文明建设和网络社会工作，推动全区网络阵地建设。</w:t>
      </w:r>
    </w:p>
    <w:p>
      <w:pPr>
        <w:pStyle w:val="22"/>
      </w:pPr>
      <w:r>
        <w:t>3.负责指导协调全区网络舆情工作。</w:t>
      </w:r>
    </w:p>
    <w:p>
      <w:pPr>
        <w:pStyle w:val="22"/>
      </w:pPr>
      <w:r>
        <w:t>4.负责全区互联网信息内容管理工作。</w:t>
      </w:r>
    </w:p>
    <w:p>
      <w:pPr>
        <w:pStyle w:val="22"/>
      </w:pPr>
      <w:r>
        <w:t>5.负责推动全区网络安全工作。</w:t>
      </w:r>
    </w:p>
    <w:p>
      <w:pPr>
        <w:pStyle w:val="22"/>
      </w:pPr>
      <w:r>
        <w:t>6.负责推动全区信息化安全工作。</w:t>
      </w:r>
    </w:p>
    <w:p>
      <w:pPr>
        <w:pStyle w:val="22"/>
      </w:pPr>
      <w:r>
        <w:t>全面落实党委（党组）网络意识形态工作责任制和网络安全工作责任制。稳妥处置本区网上舆情百余次，开展网络安全检查2次，互联网重大突发事件处理及时率达到95%以上。</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1.网络综合治理和网络舆情工作</w:t>
      </w:r>
    </w:p>
    <w:p>
      <w:pPr>
        <w:pStyle w:val="23"/>
      </w:pPr>
      <w:r>
        <w:t>绩效目标：做好全区网络舆情预警工作。</w:t>
      </w:r>
    </w:p>
    <w:p>
      <w:pPr>
        <w:pStyle w:val="23"/>
      </w:pPr>
      <w:r>
        <w:t>绩效指标：互联网重大突发事件应急处置率≥95%</w:t>
      </w:r>
    </w:p>
    <w:p>
      <w:pPr>
        <w:pStyle w:val="23"/>
      </w:pPr>
      <w:r>
        <w:t>2.网络安全和信息化工作</w:t>
      </w:r>
    </w:p>
    <w:p>
      <w:pPr>
        <w:pStyle w:val="23"/>
      </w:pPr>
      <w:r>
        <w:t>绩效目标：扎实推进网络安全工作责任制落实。</w:t>
      </w:r>
    </w:p>
    <w:p>
      <w:pPr>
        <w:pStyle w:val="23"/>
      </w:pPr>
      <w:r>
        <w:t>绩效指标：网站安全监测处置率≥95%</w:t>
      </w:r>
    </w:p>
    <w:p>
      <w:pPr>
        <w:pStyle w:val="23"/>
      </w:pPr>
      <w:r>
        <w:t>3.网络宣传工作</w:t>
      </w:r>
    </w:p>
    <w:p>
      <w:pPr>
        <w:pStyle w:val="23"/>
      </w:pPr>
      <w:r>
        <w:t>绩效目标：提升网上正面宣传质量和水平。</w:t>
      </w:r>
    </w:p>
    <w:p>
      <w:pPr>
        <w:pStyle w:val="23"/>
      </w:pPr>
      <w:r>
        <w:t>绩效指标：各项宣传工作完成率=100%</w:t>
      </w:r>
    </w:p>
    <w:p>
      <w:pPr>
        <w:pStyle w:val="23"/>
      </w:pPr>
      <w:r>
        <w:t>4.对机关及所属单位干部进行教育、培训、选拔、考核和监督。</w:t>
      </w:r>
    </w:p>
    <w:p>
      <w:pPr>
        <w:pStyle w:val="23"/>
      </w:pPr>
      <w:r>
        <w:t>绩效目标：保障机关工作正常高效运转。</w:t>
      </w:r>
    </w:p>
    <w:p>
      <w:pPr>
        <w:pStyle w:val="23"/>
      </w:pPr>
      <w:r>
        <w:t>绩效指标：单位工作人员满意度≥95%。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1.完善制度建设。制定完善预算绩效管理制度、资金管理办法、工作保障制度等，为全年预算绩效目标的实现奠定制度基础。</w:t>
      </w:r>
    </w:p>
    <w:p>
      <w:pPr>
        <w:pStyle w:val="24"/>
      </w:pPr>
      <w:r>
        <w:t>2.加强支出管理。通过优化支出结构、编细编实预算、加快履行政府采购手续、尽快启动项目、及时支付资金、6月底前细化代编预算、按规定及时下达资金等多种措施，确保支出进度达标。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1、办公辅助服务经费（服务）绩效目标表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13030424P00889311201J</w:t>
            </w:r>
          </w:p>
        </w:tc>
        <w:tc>
          <w:tcPr>
            <w:tcW w:w="2835" w:type="dxa"/>
            <w:vAlign w:val="center"/>
          </w:tcPr>
          <w:p>
            <w:pPr>
              <w:pStyle w:val="11"/>
            </w:pPr>
            <w:r>
              <w:t>项目名称</w:t>
            </w:r>
          </w:p>
        </w:tc>
        <w:tc>
          <w:tcPr>
            <w:tcW w:w="6094" w:type="dxa"/>
            <w:gridSpan w:val="3"/>
            <w:vAlign w:val="center"/>
          </w:tcPr>
          <w:p>
            <w:pPr>
              <w:pStyle w:val="13"/>
            </w:pPr>
            <w:r>
              <w:t>办公辅助服务经费（服务）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11.45</w:t>
            </w:r>
          </w:p>
        </w:tc>
        <w:tc>
          <w:tcPr>
            <w:tcW w:w="2835" w:type="dxa"/>
            <w:vAlign w:val="center"/>
          </w:tcPr>
          <w:p>
            <w:pPr>
              <w:pStyle w:val="11"/>
            </w:pPr>
            <w:r>
              <w:t>其中：财政    资金</w:t>
            </w:r>
          </w:p>
        </w:tc>
        <w:tc>
          <w:tcPr>
            <w:tcW w:w="2551" w:type="dxa"/>
            <w:vAlign w:val="center"/>
          </w:tcPr>
          <w:p>
            <w:pPr>
              <w:pStyle w:val="13"/>
            </w:pPr>
            <w:r>
              <w:t>11.45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用于单位支付办公辅助服务人员工资、保险。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1.保障2名办公辅助服务人员的专项补助。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保障办公辅助服务的人数</w:t>
            </w:r>
          </w:p>
        </w:tc>
        <w:tc>
          <w:tcPr>
            <w:tcW w:w="5386" w:type="dxa"/>
            <w:vAlign w:val="center"/>
          </w:tcPr>
          <w:p>
            <w:pPr>
              <w:pStyle w:val="13"/>
            </w:pPr>
            <w:r>
              <w:t>保障办公辅助服务的人数</w:t>
            </w:r>
          </w:p>
        </w:tc>
        <w:tc>
          <w:tcPr>
            <w:tcW w:w="2268" w:type="dxa"/>
            <w:vAlign w:val="center"/>
          </w:tcPr>
          <w:p>
            <w:pPr>
              <w:pStyle w:val="13"/>
            </w:pPr>
            <w:r>
              <w:t>≤2人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工资发放精准性</w:t>
            </w:r>
          </w:p>
        </w:tc>
        <w:tc>
          <w:tcPr>
            <w:tcW w:w="5386" w:type="dxa"/>
            <w:vAlign w:val="center"/>
          </w:tcPr>
          <w:p>
            <w:pPr>
              <w:pStyle w:val="13"/>
            </w:pPr>
            <w:r>
              <w:t>工资等发放人员范围的精准性和发放数据的准确性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社会保障缴纳的准确性</w:t>
            </w:r>
          </w:p>
        </w:tc>
        <w:tc>
          <w:tcPr>
            <w:tcW w:w="5386" w:type="dxa"/>
            <w:vAlign w:val="center"/>
          </w:tcPr>
          <w:p>
            <w:pPr>
              <w:pStyle w:val="13"/>
            </w:pPr>
            <w:r>
              <w:t>社会保障缴纳数据的准确性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工资发放及时性</w:t>
            </w:r>
          </w:p>
        </w:tc>
        <w:tc>
          <w:tcPr>
            <w:tcW w:w="5386" w:type="dxa"/>
            <w:vAlign w:val="center"/>
          </w:tcPr>
          <w:p>
            <w:pPr>
              <w:pStyle w:val="13"/>
            </w:pPr>
            <w:r>
              <w:t>工资等发放的时效情况</w:t>
            </w:r>
          </w:p>
        </w:tc>
        <w:tc>
          <w:tcPr>
            <w:tcW w:w="2268" w:type="dxa"/>
            <w:vAlign w:val="center"/>
          </w:tcPr>
          <w:p>
            <w:pPr>
              <w:pStyle w:val="13"/>
            </w:pPr>
            <w:r>
              <w:t>按规定时间发放</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社会保障缴纳及时性</w:t>
            </w:r>
          </w:p>
        </w:tc>
        <w:tc>
          <w:tcPr>
            <w:tcW w:w="5386" w:type="dxa"/>
            <w:vAlign w:val="center"/>
          </w:tcPr>
          <w:p>
            <w:pPr>
              <w:pStyle w:val="13"/>
            </w:pPr>
            <w:r>
              <w:t>社会保障缴纳的时效情况</w:t>
            </w:r>
          </w:p>
        </w:tc>
        <w:tc>
          <w:tcPr>
            <w:tcW w:w="2268" w:type="dxa"/>
            <w:vAlign w:val="center"/>
          </w:tcPr>
          <w:p>
            <w:pPr>
              <w:pStyle w:val="13"/>
            </w:pPr>
            <w:r>
              <w:t>按规定时间缴纳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工资、社会保障等发放（缴纳）标准</w:t>
            </w:r>
          </w:p>
        </w:tc>
        <w:tc>
          <w:tcPr>
            <w:tcW w:w="5386" w:type="dxa"/>
            <w:vAlign w:val="center"/>
          </w:tcPr>
          <w:p>
            <w:pPr>
              <w:pStyle w:val="13"/>
            </w:pPr>
            <w:r>
              <w:t>工资、社会保障等发放（缴纳）标准</w:t>
            </w:r>
          </w:p>
        </w:tc>
        <w:tc>
          <w:tcPr>
            <w:tcW w:w="2268" w:type="dxa"/>
            <w:vAlign w:val="center"/>
          </w:tcPr>
          <w:p>
            <w:pPr>
              <w:pStyle w:val="13"/>
            </w:pPr>
            <w:r>
              <w:t>按规定执行</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加强工作人员归属感，保持干部队伍稳定</w:t>
            </w:r>
          </w:p>
        </w:tc>
        <w:tc>
          <w:tcPr>
            <w:tcW w:w="5386" w:type="dxa"/>
            <w:vAlign w:val="center"/>
          </w:tcPr>
          <w:p>
            <w:pPr>
              <w:pStyle w:val="13"/>
            </w:pPr>
            <w:r>
              <w:t>通过按时按标准发放工资等，进一步增强干部职工得归属感，保持干部队伍相对稳定，保障办公正常运转</w:t>
            </w:r>
          </w:p>
        </w:tc>
        <w:tc>
          <w:tcPr>
            <w:tcW w:w="2268" w:type="dxa"/>
            <w:vAlign w:val="center"/>
          </w:tcPr>
          <w:p>
            <w:pPr>
              <w:pStyle w:val="13"/>
            </w:pPr>
            <w:r>
              <w:t>保持干部队伍相对稳定</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单位工作人员满意度</w:t>
            </w:r>
          </w:p>
        </w:tc>
        <w:tc>
          <w:tcPr>
            <w:tcW w:w="5386" w:type="dxa"/>
            <w:vAlign w:val="center"/>
          </w:tcPr>
          <w:p>
            <w:pPr>
              <w:pStyle w:val="13"/>
            </w:pPr>
            <w:r>
              <w:t>调查中单位人员对单位环境满意和较满意的人数占调查总人数的比率</w:t>
            </w:r>
          </w:p>
        </w:tc>
        <w:tc>
          <w:tcPr>
            <w:tcW w:w="2268" w:type="dxa"/>
            <w:vAlign w:val="center"/>
          </w:tcPr>
          <w:p>
            <w:pPr>
              <w:pStyle w:val="13"/>
            </w:pPr>
            <w:r>
              <w:t>≥95%</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2、平台建设网络运行维护费绩效目标表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13030424P008893112026</w:t>
            </w:r>
          </w:p>
        </w:tc>
        <w:tc>
          <w:tcPr>
            <w:tcW w:w="2835" w:type="dxa"/>
            <w:vAlign w:val="center"/>
          </w:tcPr>
          <w:p>
            <w:pPr>
              <w:pStyle w:val="11"/>
            </w:pPr>
            <w:r>
              <w:t>项目名称</w:t>
            </w:r>
          </w:p>
        </w:tc>
        <w:tc>
          <w:tcPr>
            <w:tcW w:w="6094" w:type="dxa"/>
            <w:gridSpan w:val="3"/>
            <w:vAlign w:val="center"/>
          </w:tcPr>
          <w:p>
            <w:pPr>
              <w:pStyle w:val="13"/>
            </w:pPr>
            <w:r>
              <w:t>平台建设网络运行维护费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29.50</w:t>
            </w:r>
          </w:p>
        </w:tc>
        <w:tc>
          <w:tcPr>
            <w:tcW w:w="2835" w:type="dxa"/>
            <w:vAlign w:val="center"/>
          </w:tcPr>
          <w:p>
            <w:pPr>
              <w:pStyle w:val="11"/>
            </w:pPr>
            <w:r>
              <w:t>其中：财政    资金</w:t>
            </w:r>
          </w:p>
        </w:tc>
        <w:tc>
          <w:tcPr>
            <w:tcW w:w="2551" w:type="dxa"/>
            <w:vAlign w:val="center"/>
          </w:tcPr>
          <w:p>
            <w:pPr>
              <w:pStyle w:val="13"/>
            </w:pPr>
            <w:r>
              <w:t>29.50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用于支付舆情监测、网络安全检查服务费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1.稳妥处置舆情工作百余次，确保网络安全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做好网络舆情处置工作</w:t>
            </w:r>
          </w:p>
        </w:tc>
        <w:tc>
          <w:tcPr>
            <w:tcW w:w="5386" w:type="dxa"/>
            <w:vAlign w:val="center"/>
          </w:tcPr>
          <w:p>
            <w:pPr>
              <w:pStyle w:val="13"/>
            </w:pPr>
            <w:r>
              <w:t>稳妥处置本区网上舆情次数</w:t>
            </w:r>
          </w:p>
        </w:tc>
        <w:tc>
          <w:tcPr>
            <w:tcW w:w="2268" w:type="dxa"/>
            <w:vAlign w:val="center"/>
          </w:tcPr>
          <w:p>
            <w:pPr>
              <w:pStyle w:val="13"/>
            </w:pPr>
            <w:r>
              <w:t>≥100次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互联网重大突发事件应急处置率</w:t>
            </w:r>
          </w:p>
        </w:tc>
        <w:tc>
          <w:tcPr>
            <w:tcW w:w="5386" w:type="dxa"/>
            <w:vAlign w:val="center"/>
          </w:tcPr>
          <w:p>
            <w:pPr>
              <w:pStyle w:val="13"/>
            </w:pPr>
            <w:r>
              <w:t>处置互联网重大突发事件数量占互联网重大突发事件数量的比例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互联网重大突发事件处理及时率</w:t>
            </w:r>
          </w:p>
        </w:tc>
        <w:tc>
          <w:tcPr>
            <w:tcW w:w="5386" w:type="dxa"/>
            <w:vAlign w:val="center"/>
          </w:tcPr>
          <w:p>
            <w:pPr>
              <w:pStyle w:val="13"/>
            </w:pPr>
            <w:r>
              <w:t>互联网重大突发事件处理及时率</w:t>
            </w:r>
          </w:p>
        </w:tc>
        <w:tc>
          <w:tcPr>
            <w:tcW w:w="2268" w:type="dxa"/>
            <w:vAlign w:val="center"/>
          </w:tcPr>
          <w:p>
            <w:pPr>
              <w:pStyle w:val="13"/>
            </w:pPr>
            <w:r>
              <w:t>≥95%</w:t>
            </w:r>
          </w:p>
          <w:p>
            <w:pPr>
              <w:pStyle w:val="13"/>
            </w:pP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网站安全监测服务费</w:t>
            </w:r>
          </w:p>
        </w:tc>
        <w:tc>
          <w:tcPr>
            <w:tcW w:w="5386" w:type="dxa"/>
            <w:vAlign w:val="center"/>
          </w:tcPr>
          <w:p>
            <w:pPr>
              <w:pStyle w:val="13"/>
            </w:pPr>
            <w:r>
              <w:t>网站安全监测服务费</w:t>
            </w:r>
          </w:p>
        </w:tc>
        <w:tc>
          <w:tcPr>
            <w:tcW w:w="2268" w:type="dxa"/>
            <w:vAlign w:val="center"/>
          </w:tcPr>
          <w:p>
            <w:pPr>
              <w:pStyle w:val="13"/>
            </w:pPr>
            <w:r>
              <w:t>≤9.5万元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舆情监测、网络安全检查服务费</w:t>
            </w:r>
          </w:p>
        </w:tc>
        <w:tc>
          <w:tcPr>
            <w:tcW w:w="5386" w:type="dxa"/>
            <w:vAlign w:val="center"/>
          </w:tcPr>
          <w:p>
            <w:pPr>
              <w:pStyle w:val="13"/>
            </w:pPr>
            <w:r>
              <w:t>舆情监测、网络安全检查服务费</w:t>
            </w:r>
          </w:p>
        </w:tc>
        <w:tc>
          <w:tcPr>
            <w:tcW w:w="2268" w:type="dxa"/>
            <w:vAlign w:val="center"/>
          </w:tcPr>
          <w:p>
            <w:pPr>
              <w:pStyle w:val="13"/>
            </w:pPr>
            <w:r>
              <w:t>≤20万元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提高网络环境清朗程度</w:t>
            </w:r>
          </w:p>
        </w:tc>
        <w:tc>
          <w:tcPr>
            <w:tcW w:w="5386" w:type="dxa"/>
            <w:vAlign w:val="center"/>
          </w:tcPr>
          <w:p>
            <w:pPr>
              <w:pStyle w:val="13"/>
            </w:pPr>
            <w:r>
              <w:t>确保网络环境清朗，发展健康向上网络文化。</w:t>
            </w:r>
          </w:p>
        </w:tc>
        <w:tc>
          <w:tcPr>
            <w:tcW w:w="2268" w:type="dxa"/>
            <w:vAlign w:val="center"/>
          </w:tcPr>
          <w:p>
            <w:pPr>
              <w:pStyle w:val="13"/>
            </w:pPr>
            <w:r>
              <w:t>比上一年提升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群众对网信工作的满意度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3、信息化工作网络运行维护费绩效目标表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13030424P00889311203R</w:t>
            </w:r>
          </w:p>
        </w:tc>
        <w:tc>
          <w:tcPr>
            <w:tcW w:w="2835" w:type="dxa"/>
            <w:vAlign w:val="center"/>
          </w:tcPr>
          <w:p>
            <w:pPr>
              <w:pStyle w:val="11"/>
            </w:pPr>
            <w:r>
              <w:t>项目名称</w:t>
            </w:r>
          </w:p>
        </w:tc>
        <w:tc>
          <w:tcPr>
            <w:tcW w:w="6094" w:type="dxa"/>
            <w:gridSpan w:val="3"/>
            <w:vAlign w:val="center"/>
          </w:tcPr>
          <w:p>
            <w:pPr>
              <w:pStyle w:val="13"/>
            </w:pPr>
            <w:r>
              <w:t>信息化工作网络运行维护费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11.96</w:t>
            </w:r>
          </w:p>
        </w:tc>
        <w:tc>
          <w:tcPr>
            <w:tcW w:w="2835" w:type="dxa"/>
            <w:vAlign w:val="center"/>
          </w:tcPr>
          <w:p>
            <w:pPr>
              <w:pStyle w:val="11"/>
            </w:pPr>
            <w:r>
              <w:t>其中：财政    资金</w:t>
            </w:r>
          </w:p>
        </w:tc>
        <w:tc>
          <w:tcPr>
            <w:tcW w:w="2551" w:type="dxa"/>
            <w:vAlign w:val="center"/>
          </w:tcPr>
          <w:p>
            <w:pPr>
              <w:pStyle w:val="13"/>
            </w:pPr>
            <w:r>
              <w:t>11.96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加快政务外网的管理运行，提高政府网上履职能力，更好更快促进我区信息化发展。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1.全力做好网络技术保障工作，更好更快促进我区信息化发展。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每年维护的政务外网的条数</w:t>
            </w:r>
          </w:p>
        </w:tc>
        <w:tc>
          <w:tcPr>
            <w:tcW w:w="5386" w:type="dxa"/>
            <w:vAlign w:val="center"/>
          </w:tcPr>
          <w:p>
            <w:pPr>
              <w:pStyle w:val="13"/>
            </w:pPr>
            <w:r>
              <w:t>每年维护的政务外网的条数</w:t>
            </w:r>
          </w:p>
          <w:p>
            <w:pPr>
              <w:pStyle w:val="13"/>
            </w:pPr>
          </w:p>
        </w:tc>
        <w:tc>
          <w:tcPr>
            <w:tcW w:w="2268" w:type="dxa"/>
            <w:vAlign w:val="center"/>
          </w:tcPr>
          <w:p>
            <w:pPr>
              <w:pStyle w:val="13"/>
            </w:pPr>
            <w:r>
              <w:t>≤117条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网络正常运转保障时间</w:t>
            </w:r>
          </w:p>
          <w:p>
            <w:pPr>
              <w:pStyle w:val="13"/>
            </w:pPr>
          </w:p>
        </w:tc>
        <w:tc>
          <w:tcPr>
            <w:tcW w:w="5386" w:type="dxa"/>
            <w:vAlign w:val="center"/>
          </w:tcPr>
          <w:p>
            <w:pPr>
              <w:pStyle w:val="13"/>
            </w:pPr>
            <w:r>
              <w:t>每周网络正常运转时间占每周的比例</w:t>
            </w:r>
          </w:p>
          <w:p>
            <w:pPr>
              <w:pStyle w:val="13"/>
            </w:pP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故障维护及时率</w:t>
            </w:r>
          </w:p>
        </w:tc>
        <w:tc>
          <w:tcPr>
            <w:tcW w:w="5386" w:type="dxa"/>
            <w:vAlign w:val="center"/>
          </w:tcPr>
          <w:p>
            <w:pPr>
              <w:pStyle w:val="13"/>
            </w:pPr>
            <w:r>
              <w:t>故障维护及时率=及时维护故障的数量/总故障数量×100%</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租用视频会议的成本</w:t>
            </w:r>
          </w:p>
        </w:tc>
        <w:tc>
          <w:tcPr>
            <w:tcW w:w="5386" w:type="dxa"/>
            <w:vAlign w:val="center"/>
          </w:tcPr>
          <w:p>
            <w:pPr>
              <w:pStyle w:val="13"/>
            </w:pPr>
            <w:r>
              <w:t>租用视频会议的成本</w:t>
            </w:r>
          </w:p>
        </w:tc>
        <w:tc>
          <w:tcPr>
            <w:tcW w:w="2268" w:type="dxa"/>
            <w:vAlign w:val="center"/>
          </w:tcPr>
          <w:p>
            <w:pPr>
              <w:pStyle w:val="13"/>
            </w:pPr>
            <w:r>
              <w:t>≤0.84万元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政务外网线路的单位成本</w:t>
            </w:r>
          </w:p>
        </w:tc>
        <w:tc>
          <w:tcPr>
            <w:tcW w:w="5386" w:type="dxa"/>
            <w:vAlign w:val="center"/>
          </w:tcPr>
          <w:p>
            <w:pPr>
              <w:pStyle w:val="13"/>
            </w:pPr>
            <w:r>
              <w:t>政务外网线路的单位成本</w:t>
            </w:r>
          </w:p>
          <w:p>
            <w:pPr>
              <w:pStyle w:val="13"/>
            </w:pPr>
          </w:p>
        </w:tc>
        <w:tc>
          <w:tcPr>
            <w:tcW w:w="2268" w:type="dxa"/>
            <w:vAlign w:val="center"/>
          </w:tcPr>
          <w:p>
            <w:pPr>
              <w:pStyle w:val="13"/>
            </w:pPr>
            <w:r>
              <w:t>≤950元/条/年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加快政务外网的管理运行，提高政府网上履职能力</w:t>
            </w:r>
          </w:p>
        </w:tc>
        <w:tc>
          <w:tcPr>
            <w:tcW w:w="5386" w:type="dxa"/>
            <w:vAlign w:val="center"/>
          </w:tcPr>
          <w:p>
            <w:pPr>
              <w:pStyle w:val="13"/>
            </w:pPr>
            <w:r>
              <w:t>提高政府网上履职能力</w:t>
            </w:r>
          </w:p>
        </w:tc>
        <w:tc>
          <w:tcPr>
            <w:tcW w:w="2268" w:type="dxa"/>
            <w:vAlign w:val="center"/>
          </w:tcPr>
          <w:p>
            <w:pPr>
              <w:pStyle w:val="13"/>
            </w:pPr>
            <w:r>
              <w:t>比上年提升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单位工作人员满意度</w:t>
            </w:r>
          </w:p>
        </w:tc>
        <w:tc>
          <w:tcPr>
            <w:tcW w:w="5386" w:type="dxa"/>
            <w:vAlign w:val="center"/>
          </w:tcPr>
          <w:p>
            <w:pPr>
              <w:pStyle w:val="13"/>
            </w:pPr>
            <w:r>
              <w:t>调查中单位人员对单位环境满意和较满意的人数占调查总人数的比率</w:t>
            </w:r>
          </w:p>
          <w:p>
            <w:pPr>
              <w:pStyle w:val="13"/>
            </w:pP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4、全区电子政务外网网络安全加固经费绩效目标表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13030424P008894113392</w:t>
            </w:r>
          </w:p>
        </w:tc>
        <w:tc>
          <w:tcPr>
            <w:tcW w:w="2835" w:type="dxa"/>
            <w:vAlign w:val="center"/>
          </w:tcPr>
          <w:p>
            <w:pPr>
              <w:pStyle w:val="11"/>
            </w:pPr>
            <w:r>
              <w:t>项目名称</w:t>
            </w:r>
          </w:p>
        </w:tc>
        <w:tc>
          <w:tcPr>
            <w:tcW w:w="6094" w:type="dxa"/>
            <w:gridSpan w:val="3"/>
            <w:vAlign w:val="center"/>
          </w:tcPr>
          <w:p>
            <w:pPr>
              <w:pStyle w:val="13"/>
            </w:pPr>
            <w:r>
              <w:t>全区电子政务外网网络安全加固经费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29.90</w:t>
            </w:r>
          </w:p>
        </w:tc>
        <w:tc>
          <w:tcPr>
            <w:tcW w:w="2835" w:type="dxa"/>
            <w:vAlign w:val="center"/>
          </w:tcPr>
          <w:p>
            <w:pPr>
              <w:pStyle w:val="11"/>
            </w:pPr>
            <w:r>
              <w:t>其中：财政    资金</w:t>
            </w:r>
          </w:p>
        </w:tc>
        <w:tc>
          <w:tcPr>
            <w:tcW w:w="2551" w:type="dxa"/>
            <w:vAlign w:val="center"/>
          </w:tcPr>
          <w:p>
            <w:pPr>
              <w:pStyle w:val="13"/>
            </w:pPr>
            <w:r>
              <w:t>29.90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在电子政务外网出口部署防火墙、日志审计、防入侵监测等防护设施。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1.增强安全事件的快速反应和应急处置能力，消除安全隐患，提升网络安全防护水平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购买加固设备的数量</w:t>
            </w:r>
          </w:p>
        </w:tc>
        <w:tc>
          <w:tcPr>
            <w:tcW w:w="5386" w:type="dxa"/>
            <w:vAlign w:val="center"/>
          </w:tcPr>
          <w:p>
            <w:pPr>
              <w:pStyle w:val="13"/>
            </w:pPr>
            <w:r>
              <w:t>购买加固设备的数量</w:t>
            </w:r>
          </w:p>
        </w:tc>
        <w:tc>
          <w:tcPr>
            <w:tcW w:w="2268" w:type="dxa"/>
            <w:vAlign w:val="center"/>
          </w:tcPr>
          <w:p>
            <w:pPr>
              <w:pStyle w:val="13"/>
            </w:pPr>
            <w:r>
              <w:t>≥3套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系统验收合格率</w:t>
            </w:r>
          </w:p>
        </w:tc>
        <w:tc>
          <w:tcPr>
            <w:tcW w:w="5386" w:type="dxa"/>
            <w:vAlign w:val="center"/>
          </w:tcPr>
          <w:p>
            <w:pPr>
              <w:pStyle w:val="13"/>
            </w:pPr>
            <w:r>
              <w:t>系统验收合格率=系统验收合格数量/系统总数量*100%</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业务处理及时性（%）</w:t>
            </w:r>
          </w:p>
        </w:tc>
        <w:tc>
          <w:tcPr>
            <w:tcW w:w="5386" w:type="dxa"/>
            <w:vAlign w:val="center"/>
          </w:tcPr>
          <w:p>
            <w:pPr>
              <w:pStyle w:val="13"/>
            </w:pPr>
            <w:r>
              <w:t>及时处理业务数占总处理数的比率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防火墙成本</w:t>
            </w:r>
          </w:p>
        </w:tc>
        <w:tc>
          <w:tcPr>
            <w:tcW w:w="5386" w:type="dxa"/>
            <w:vAlign w:val="center"/>
          </w:tcPr>
          <w:p>
            <w:pPr>
              <w:pStyle w:val="13"/>
            </w:pPr>
            <w:r>
              <w:t>各项费用不超预算金额</w:t>
            </w:r>
          </w:p>
        </w:tc>
        <w:tc>
          <w:tcPr>
            <w:tcW w:w="2268" w:type="dxa"/>
            <w:vAlign w:val="center"/>
          </w:tcPr>
          <w:p>
            <w:pPr>
              <w:pStyle w:val="13"/>
            </w:pPr>
            <w:r>
              <w:t>≤11.4万元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入侵防御系统成本</w:t>
            </w:r>
          </w:p>
        </w:tc>
        <w:tc>
          <w:tcPr>
            <w:tcW w:w="5386" w:type="dxa"/>
            <w:vAlign w:val="center"/>
          </w:tcPr>
          <w:p>
            <w:pPr>
              <w:pStyle w:val="13"/>
            </w:pPr>
            <w:r>
              <w:t>各项费用不超预算金额</w:t>
            </w:r>
          </w:p>
        </w:tc>
        <w:tc>
          <w:tcPr>
            <w:tcW w:w="2268" w:type="dxa"/>
            <w:vAlign w:val="center"/>
          </w:tcPr>
          <w:p>
            <w:pPr>
              <w:pStyle w:val="13"/>
            </w:pPr>
            <w:r>
              <w:t>≤10.28万元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日志审计成本</w:t>
            </w:r>
          </w:p>
        </w:tc>
        <w:tc>
          <w:tcPr>
            <w:tcW w:w="5386" w:type="dxa"/>
            <w:vAlign w:val="center"/>
          </w:tcPr>
          <w:p>
            <w:pPr>
              <w:pStyle w:val="13"/>
            </w:pPr>
            <w:r>
              <w:t>各项费用不超预算金额</w:t>
            </w:r>
          </w:p>
        </w:tc>
        <w:tc>
          <w:tcPr>
            <w:tcW w:w="2268" w:type="dxa"/>
            <w:vAlign w:val="center"/>
          </w:tcPr>
          <w:p>
            <w:pPr>
              <w:pStyle w:val="13"/>
            </w:pPr>
            <w:r>
              <w:t>≤8.2万元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消除安全隐患，提升网络安全防护水平</w:t>
            </w:r>
          </w:p>
        </w:tc>
        <w:tc>
          <w:tcPr>
            <w:tcW w:w="5386" w:type="dxa"/>
            <w:vAlign w:val="center"/>
          </w:tcPr>
          <w:p>
            <w:pPr>
              <w:pStyle w:val="13"/>
            </w:pPr>
            <w:r>
              <w:t>消除安全隐患，提升网络安全防护水平</w:t>
            </w:r>
          </w:p>
        </w:tc>
        <w:tc>
          <w:tcPr>
            <w:tcW w:w="2268" w:type="dxa"/>
            <w:vAlign w:val="center"/>
          </w:tcPr>
          <w:p>
            <w:pPr>
              <w:pStyle w:val="13"/>
            </w:pPr>
            <w:r>
              <w:t>比上一年提升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群众对网信工作的满意度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5、网络安全工作经费绩效目标表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13030424P00889411338E</w:t>
            </w:r>
          </w:p>
        </w:tc>
        <w:tc>
          <w:tcPr>
            <w:tcW w:w="2835" w:type="dxa"/>
            <w:vAlign w:val="center"/>
          </w:tcPr>
          <w:p>
            <w:pPr>
              <w:pStyle w:val="11"/>
            </w:pPr>
            <w:r>
              <w:t>项目名称</w:t>
            </w:r>
          </w:p>
        </w:tc>
        <w:tc>
          <w:tcPr>
            <w:tcW w:w="6094" w:type="dxa"/>
            <w:gridSpan w:val="3"/>
            <w:vAlign w:val="center"/>
          </w:tcPr>
          <w:p>
            <w:pPr>
              <w:pStyle w:val="13"/>
            </w:pPr>
            <w:r>
              <w:t>网络安全工作经费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40.22</w:t>
            </w:r>
          </w:p>
        </w:tc>
        <w:tc>
          <w:tcPr>
            <w:tcW w:w="2835" w:type="dxa"/>
            <w:vAlign w:val="center"/>
          </w:tcPr>
          <w:p>
            <w:pPr>
              <w:pStyle w:val="11"/>
            </w:pPr>
            <w:r>
              <w:t>其中：财政    资金</w:t>
            </w:r>
          </w:p>
        </w:tc>
        <w:tc>
          <w:tcPr>
            <w:tcW w:w="2551" w:type="dxa"/>
            <w:vAlign w:val="center"/>
          </w:tcPr>
          <w:p>
            <w:pPr>
              <w:pStyle w:val="13"/>
            </w:pPr>
            <w:r>
              <w:t>40.22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提高网络舆情应对处置能力，防范化解重大舆情风险隐患。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1.加强网络安全活动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互联网重大突发事件处置率</w:t>
            </w:r>
          </w:p>
        </w:tc>
        <w:tc>
          <w:tcPr>
            <w:tcW w:w="5386" w:type="dxa"/>
            <w:vAlign w:val="center"/>
          </w:tcPr>
          <w:p>
            <w:pPr>
              <w:pStyle w:val="13"/>
            </w:pPr>
            <w:r>
              <w:t>处置互联网重大突发事件数量占互联网重大突发事件数量的比例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网络宣传覆盖面</w:t>
            </w:r>
          </w:p>
        </w:tc>
        <w:tc>
          <w:tcPr>
            <w:tcW w:w="5386" w:type="dxa"/>
            <w:vAlign w:val="center"/>
          </w:tcPr>
          <w:p>
            <w:pPr>
              <w:pStyle w:val="13"/>
            </w:pPr>
            <w:r>
              <w:t>覆盖全区</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按年度计划和领导批示及时完成</w:t>
            </w:r>
          </w:p>
        </w:tc>
        <w:tc>
          <w:tcPr>
            <w:tcW w:w="5386" w:type="dxa"/>
            <w:vAlign w:val="center"/>
          </w:tcPr>
          <w:p>
            <w:pPr>
              <w:pStyle w:val="13"/>
            </w:pPr>
            <w:r>
              <w:t>及时完成</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项目控制预算数</w:t>
            </w:r>
          </w:p>
        </w:tc>
        <w:tc>
          <w:tcPr>
            <w:tcW w:w="5386" w:type="dxa"/>
            <w:vAlign w:val="center"/>
          </w:tcPr>
          <w:p>
            <w:pPr>
              <w:pStyle w:val="13"/>
            </w:pPr>
            <w:r>
              <w:t>不超过财政支持经费</w:t>
            </w:r>
          </w:p>
        </w:tc>
        <w:tc>
          <w:tcPr>
            <w:tcW w:w="2268" w:type="dxa"/>
            <w:vAlign w:val="center"/>
          </w:tcPr>
          <w:p>
            <w:pPr>
              <w:pStyle w:val="13"/>
            </w:pPr>
            <w:r>
              <w:t>≤40.22万元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提高网络舆情应对处置能力，防范化解重大舆情风险隐患</w:t>
            </w:r>
          </w:p>
        </w:tc>
        <w:tc>
          <w:tcPr>
            <w:tcW w:w="5386" w:type="dxa"/>
            <w:vAlign w:val="center"/>
          </w:tcPr>
          <w:p>
            <w:pPr>
              <w:pStyle w:val="13"/>
            </w:pPr>
            <w:r>
              <w:t>提高网络舆情应对处置能力，防范化解重大舆情风险隐患</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网络环境净化满意度</w:t>
            </w:r>
          </w:p>
        </w:tc>
        <w:tc>
          <w:tcPr>
            <w:tcW w:w="5386" w:type="dxa"/>
            <w:vAlign w:val="center"/>
          </w:tcPr>
          <w:p>
            <w:pPr>
              <w:pStyle w:val="13"/>
            </w:pPr>
            <w:r>
              <w:t>人民群众对北戴河网络空间环境净化程度的满意水平</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6、信息化工作经费绩效目标表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13030424P00889411337T</w:t>
            </w:r>
          </w:p>
        </w:tc>
        <w:tc>
          <w:tcPr>
            <w:tcW w:w="2835" w:type="dxa"/>
            <w:vAlign w:val="center"/>
          </w:tcPr>
          <w:p>
            <w:pPr>
              <w:pStyle w:val="11"/>
            </w:pPr>
            <w:r>
              <w:t>项目名称</w:t>
            </w:r>
          </w:p>
        </w:tc>
        <w:tc>
          <w:tcPr>
            <w:tcW w:w="6094" w:type="dxa"/>
            <w:gridSpan w:val="3"/>
            <w:vAlign w:val="center"/>
          </w:tcPr>
          <w:p>
            <w:pPr>
              <w:pStyle w:val="13"/>
            </w:pPr>
            <w:r>
              <w:t>信息化工作经费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1.34</w:t>
            </w:r>
          </w:p>
        </w:tc>
        <w:tc>
          <w:tcPr>
            <w:tcW w:w="2835" w:type="dxa"/>
            <w:vAlign w:val="center"/>
          </w:tcPr>
          <w:p>
            <w:pPr>
              <w:pStyle w:val="11"/>
            </w:pPr>
            <w:r>
              <w:t>其中：财政    资金</w:t>
            </w:r>
          </w:p>
        </w:tc>
        <w:tc>
          <w:tcPr>
            <w:tcW w:w="2551" w:type="dxa"/>
            <w:vAlign w:val="center"/>
          </w:tcPr>
          <w:p>
            <w:pPr>
              <w:pStyle w:val="13"/>
            </w:pPr>
            <w:r>
              <w:t>1.34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一是开展网络培训与宣传；二是用于信息化相关业务的开展。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1.加快信息化发展速度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宣传牌子</w:t>
            </w:r>
          </w:p>
        </w:tc>
        <w:tc>
          <w:tcPr>
            <w:tcW w:w="5386" w:type="dxa"/>
            <w:vAlign w:val="center"/>
          </w:tcPr>
          <w:p>
            <w:pPr>
              <w:pStyle w:val="13"/>
            </w:pPr>
            <w:r>
              <w:t>制作宣传牌的数量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办公设备正常运行率</w:t>
            </w:r>
          </w:p>
        </w:tc>
        <w:tc>
          <w:tcPr>
            <w:tcW w:w="5386" w:type="dxa"/>
            <w:vAlign w:val="center"/>
          </w:tcPr>
          <w:p>
            <w:pPr>
              <w:pStyle w:val="13"/>
            </w:pPr>
            <w:r>
              <w:t>办公设备正常运行率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按项目计划完成工作的时间</w:t>
            </w:r>
          </w:p>
        </w:tc>
        <w:tc>
          <w:tcPr>
            <w:tcW w:w="5386" w:type="dxa"/>
            <w:vAlign w:val="center"/>
          </w:tcPr>
          <w:p>
            <w:pPr>
              <w:pStyle w:val="13"/>
            </w:pPr>
            <w:r>
              <w:t>按照工作要求按时完成预定计划</w:t>
            </w:r>
          </w:p>
        </w:tc>
        <w:tc>
          <w:tcPr>
            <w:tcW w:w="2268" w:type="dxa"/>
            <w:vAlign w:val="center"/>
          </w:tcPr>
          <w:p>
            <w:pPr>
              <w:pStyle w:val="13"/>
            </w:pPr>
            <w:r>
              <w:t>2024年12月31日之前完成</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展板制作费成本</w:t>
            </w:r>
          </w:p>
        </w:tc>
        <w:tc>
          <w:tcPr>
            <w:tcW w:w="5386" w:type="dxa"/>
            <w:vAlign w:val="center"/>
          </w:tcPr>
          <w:p>
            <w:pPr>
              <w:pStyle w:val="13"/>
            </w:pPr>
            <w:r>
              <w:t>不超过财政支持经费</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技术服务成本</w:t>
            </w:r>
          </w:p>
        </w:tc>
        <w:tc>
          <w:tcPr>
            <w:tcW w:w="5386" w:type="dxa"/>
            <w:vAlign w:val="center"/>
          </w:tcPr>
          <w:p>
            <w:pPr>
              <w:pStyle w:val="13"/>
            </w:pPr>
            <w:r>
              <w:t>不超过财政支持经费</w:t>
            </w:r>
          </w:p>
        </w:tc>
        <w:tc>
          <w:tcPr>
            <w:tcW w:w="2268" w:type="dxa"/>
            <w:vAlign w:val="center"/>
          </w:tcPr>
          <w:p>
            <w:pPr>
              <w:pStyle w:val="13"/>
            </w:pPr>
            <w:r>
              <w:t>≤0.1万元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视频制作费成本</w:t>
            </w:r>
          </w:p>
        </w:tc>
        <w:tc>
          <w:tcPr>
            <w:tcW w:w="5386" w:type="dxa"/>
            <w:vAlign w:val="center"/>
          </w:tcPr>
          <w:p>
            <w:pPr>
              <w:pStyle w:val="13"/>
            </w:pPr>
            <w:r>
              <w:t>不超过财政支持经费</w:t>
            </w:r>
          </w:p>
        </w:tc>
        <w:tc>
          <w:tcPr>
            <w:tcW w:w="2268" w:type="dxa"/>
            <w:vAlign w:val="center"/>
          </w:tcPr>
          <w:p>
            <w:pPr>
              <w:pStyle w:val="13"/>
            </w:pPr>
            <w:r>
              <w:t>≤0.24万元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保障相关业务、工作等开展的情况</w:t>
            </w:r>
          </w:p>
        </w:tc>
        <w:tc>
          <w:tcPr>
            <w:tcW w:w="2268" w:type="dxa"/>
            <w:vAlign w:val="center"/>
          </w:tcPr>
          <w:p>
            <w:pPr>
              <w:pStyle w:val="13"/>
            </w:pPr>
            <w:r>
              <w:t>保障工作正常开展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单位工作人员满意度</w:t>
            </w:r>
          </w:p>
        </w:tc>
        <w:tc>
          <w:tcPr>
            <w:tcW w:w="5386" w:type="dxa"/>
            <w:vAlign w:val="center"/>
          </w:tcPr>
          <w:p>
            <w:pPr>
              <w:pStyle w:val="13"/>
            </w:pPr>
            <w:r>
              <w:t>调查中单位人员对单位环境满意和较满意的人数占调查总人数的比率</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224网信办</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1.72</w:t>
            </w:r>
          </w:p>
        </w:tc>
        <w:tc>
          <w:tcPr>
            <w:tcW w:w="964" w:type="dxa"/>
            <w:vAlign w:val="center"/>
          </w:tcPr>
          <w:p>
            <w:pPr>
              <w:pStyle w:val="16"/>
            </w:pPr>
            <w:r>
              <w:t>1.72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r>
        <w:tblPrEx>
          <w:tblCellMar>
            <w:top w:w="0" w:type="dxa"/>
            <w:left w:w="108" w:type="dxa"/>
            <w:bottom w:w="0" w:type="dxa"/>
            <w:right w:w="108" w:type="dxa"/>
          </w:tblCellMar>
        </w:tblPrEx>
        <w:trPr>
          <w:cantSplit/>
          <w:jc w:val="center"/>
        </w:trPr>
        <w:tc>
          <w:tcPr>
            <w:tcW w:w="1701" w:type="dxa"/>
            <w:vAlign w:val="center"/>
          </w:tcPr>
          <w:p>
            <w:pPr>
              <w:pStyle w:val="15"/>
            </w:pPr>
            <w:r>
              <w:t>中共北戴河区委网络安全和信息化委员会办公室(本级)小计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1.72</w:t>
            </w:r>
          </w:p>
        </w:tc>
        <w:tc>
          <w:tcPr>
            <w:tcW w:w="964" w:type="dxa"/>
            <w:vAlign w:val="center"/>
          </w:tcPr>
          <w:p>
            <w:pPr>
              <w:pStyle w:val="16"/>
            </w:pPr>
            <w:r>
              <w:t>1.72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网络安全工作经费</w:t>
            </w:r>
          </w:p>
        </w:tc>
        <w:tc>
          <w:tcPr>
            <w:tcW w:w="964" w:type="dxa"/>
            <w:vAlign w:val="center"/>
          </w:tcPr>
          <w:p>
            <w:pPr>
              <w:pStyle w:val="12"/>
            </w:pPr>
            <w:r>
              <w:t>40.22</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0.79</w:t>
            </w:r>
          </w:p>
        </w:tc>
        <w:tc>
          <w:tcPr>
            <w:tcW w:w="964" w:type="dxa"/>
            <w:vAlign w:val="center"/>
          </w:tcPr>
          <w:p>
            <w:pPr>
              <w:pStyle w:val="12"/>
            </w:pPr>
            <w:r>
              <w:t>0.79</w:t>
            </w:r>
          </w:p>
        </w:tc>
        <w:tc>
          <w:tcPr>
            <w:tcW w:w="964" w:type="dxa"/>
            <w:vAlign w:val="center"/>
          </w:tcPr>
          <w:p>
            <w:pPr>
              <w:pStyle w:val="12"/>
            </w:pPr>
            <w:r>
              <w:t>0.79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网络安全工作经费</w:t>
            </w:r>
          </w:p>
        </w:tc>
        <w:tc>
          <w:tcPr>
            <w:tcW w:w="964" w:type="dxa"/>
            <w:vAlign w:val="center"/>
          </w:tcPr>
          <w:p>
            <w:pPr>
              <w:pStyle w:val="12"/>
            </w:pPr>
            <w:r>
              <w:t>40.22</w:t>
            </w:r>
          </w:p>
        </w:tc>
        <w:tc>
          <w:tcPr>
            <w:tcW w:w="1134" w:type="dxa"/>
            <w:vAlign w:val="center"/>
          </w:tcPr>
          <w:p>
            <w:pPr>
              <w:pStyle w:val="13"/>
            </w:pPr>
            <w:r>
              <w:t>A4 彩色打印机</w:t>
            </w:r>
          </w:p>
        </w:tc>
        <w:tc>
          <w:tcPr>
            <w:tcW w:w="1134" w:type="dxa"/>
            <w:vAlign w:val="center"/>
          </w:tcPr>
          <w:p>
            <w:pPr>
              <w:pStyle w:val="13"/>
            </w:pPr>
            <w:r>
              <w:t>A02021004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0.93</w:t>
            </w:r>
          </w:p>
        </w:tc>
        <w:tc>
          <w:tcPr>
            <w:tcW w:w="964" w:type="dxa"/>
            <w:vAlign w:val="center"/>
          </w:tcPr>
          <w:p>
            <w:pPr>
              <w:pStyle w:val="12"/>
            </w:pPr>
            <w:r>
              <w:t>0.93</w:t>
            </w:r>
          </w:p>
        </w:tc>
        <w:tc>
          <w:tcPr>
            <w:tcW w:w="964" w:type="dxa"/>
            <w:vAlign w:val="center"/>
          </w:tcPr>
          <w:p>
            <w:pPr>
              <w:pStyle w:val="12"/>
            </w:pPr>
            <w:r>
              <w:t>0.93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网信办（含所属单位）上年末固定资产金额为1.72万元（详见下表）。本年度拟购置固定资产总额为1.72万元，已按要求列入政府采购预算，详见政府采购预算表。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224网信办</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w:t>
            </w:r>
          </w:p>
        </w:tc>
        <w:tc>
          <w:tcPr>
            <w:tcW w:w="2835" w:type="dxa"/>
            <w:vAlign w:val="center"/>
          </w:tcPr>
          <w:p>
            <w:pPr>
              <w:pStyle w:val="12"/>
            </w:pPr>
            <w:r>
              <w:t>1.72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319BD"/>
    <w:rsid w:val="30BE1896"/>
    <w:rsid w:val="34685DC3"/>
    <w:rsid w:val="423E2481"/>
    <w:rsid w:val="481C116F"/>
    <w:rsid w:val="7BB83D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2024-02-05T14:07:37Z</dcterms:created>
  <dcterms:modified xsi:type="dcterms:W3CDTF">2024-02-05T06:07:37Z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2024-02-05T14:07:37Z</dcterms:created>
  <dcterms:modified xsi:type="dcterms:W3CDTF">2024-02-05T06:07:37Z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2024-02-05T14:07:38Z</dcterms:created>
  <dcterms:modified xsi:type="dcterms:W3CDTF">2024-02-05T06:07:38Z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2024-02-05T14:07:36Z</dcterms:created>
  <dcterms:modified xsi:type="dcterms:W3CDTF">2024-02-05T06:07:36Z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2024-02-05T14:07:36Z</dcterms:created>
  <dcterms:modified xsi:type="dcterms:W3CDTF">2024-02-05T06:07:36Z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2024-02-05T14:07:36Z</dcterms:created>
  <dcterms:modified xsi:type="dcterms:W3CDTF">2024-02-05T06:07:36Z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2024-02-05T14:07:37Z</dcterms:created>
  <dcterms:modified xsi:type="dcterms:W3CDTF">2024-02-05T06:07:37Z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2024-02-05T14:07:34Z</dcterms:created>
  <dcterms:modified xsi:type="dcterms:W3CDTF">2024-02-05T06:07:34Z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2024-02-05T14:07:37Z</dcterms:created>
  <dcterms:modified xsi:type="dcterms:W3CDTF">2024-02-05T06:07:37Z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2024-02-05T14:07:37Z</dcterms:created>
  <dcterms:modified xsi:type="dcterms:W3CDTF">2024-02-05T06:07:37Z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ed0d334-9b13-48c0-974d-2689599556ca}">
  <ds:schemaRefs/>
</ds:datastoreItem>
</file>

<file path=customXml/itemProps11.xml><?xml version="1.0" encoding="utf-8"?>
<ds:datastoreItem xmlns:ds="http://schemas.openxmlformats.org/officeDocument/2006/customXml" ds:itemID="{a46d0f79-d2a2-4e2d-8626-6cae87561542}">
  <ds:schemaRefs/>
</ds:datastoreItem>
</file>

<file path=customXml/itemProps12.xml><?xml version="1.0" encoding="utf-8"?>
<ds:datastoreItem xmlns:ds="http://schemas.openxmlformats.org/officeDocument/2006/customXml" ds:itemID="{0c09c78b-c810-4fb5-9fbd-69bc8dbcfda2}">
  <ds:schemaRefs/>
</ds:datastoreItem>
</file>

<file path=customXml/itemProps13.xml><?xml version="1.0" encoding="utf-8"?>
<ds:datastoreItem xmlns:ds="http://schemas.openxmlformats.org/officeDocument/2006/customXml" ds:itemID="{461f6a17-e94d-4f30-aec8-da07d261088f}">
  <ds:schemaRefs/>
</ds:datastoreItem>
</file>

<file path=customXml/itemProps14.xml><?xml version="1.0" encoding="utf-8"?>
<ds:datastoreItem xmlns:ds="http://schemas.openxmlformats.org/officeDocument/2006/customXml" ds:itemID="{5ca7e2af-590b-4bc0-a1d0-7199051d29b2}">
  <ds:schemaRefs/>
</ds:datastoreItem>
</file>

<file path=customXml/itemProps15.xml><?xml version="1.0" encoding="utf-8"?>
<ds:datastoreItem xmlns:ds="http://schemas.openxmlformats.org/officeDocument/2006/customXml" ds:itemID="{53076061-2fe0-431e-a293-9c4410d48aac}">
  <ds:schemaRefs/>
</ds:datastoreItem>
</file>

<file path=customXml/itemProps16.xml><?xml version="1.0" encoding="utf-8"?>
<ds:datastoreItem xmlns:ds="http://schemas.openxmlformats.org/officeDocument/2006/customXml" ds:itemID="{b6bafce4-a1a1-48ee-bf1d-1bdb7332f170}">
  <ds:schemaRefs/>
</ds:datastoreItem>
</file>

<file path=customXml/itemProps17.xml><?xml version="1.0" encoding="utf-8"?>
<ds:datastoreItem xmlns:ds="http://schemas.openxmlformats.org/officeDocument/2006/customXml" ds:itemID="{7e62716d-55be-4109-8510-22a4b8201ca6}">
  <ds:schemaRefs/>
</ds:datastoreItem>
</file>

<file path=customXml/itemProps18.xml><?xml version="1.0" encoding="utf-8"?>
<ds:datastoreItem xmlns:ds="http://schemas.openxmlformats.org/officeDocument/2006/customXml" ds:itemID="{b703a6f9-a84c-49ca-934a-b0442447c393}">
  <ds:schemaRefs/>
</ds:datastoreItem>
</file>

<file path=customXml/itemProps19.xml><?xml version="1.0" encoding="utf-8"?>
<ds:datastoreItem xmlns:ds="http://schemas.openxmlformats.org/officeDocument/2006/customXml" ds:itemID="{badd5719-1979-416e-bca8-2b10420176ae}">
  <ds:schemaRefs/>
</ds:datastoreItem>
</file>

<file path=customXml/itemProps2.xml><?xml version="1.0" encoding="utf-8"?>
<ds:datastoreItem xmlns:ds="http://schemas.openxmlformats.org/officeDocument/2006/customXml" ds:itemID="{1bef4dc5-0a0c-4d77-8df8-ade235d2ea8b}">
  <ds:schemaRefs/>
</ds:datastoreItem>
</file>

<file path=customXml/itemProps20.xml><?xml version="1.0" encoding="utf-8"?>
<ds:datastoreItem xmlns:ds="http://schemas.openxmlformats.org/officeDocument/2006/customXml" ds:itemID="{66cd8a28-9796-4419-95d5-4671280501d7}">
  <ds:schemaRefs/>
</ds:datastoreItem>
</file>

<file path=customXml/itemProps21.xml><?xml version="1.0" encoding="utf-8"?>
<ds:datastoreItem xmlns:ds="http://schemas.openxmlformats.org/officeDocument/2006/customXml" ds:itemID="{dd10b040-8459-4b63-bcef-3d9584656b97}">
  <ds:schemaRefs/>
</ds:datastoreItem>
</file>

<file path=customXml/itemProps3.xml><?xml version="1.0" encoding="utf-8"?>
<ds:datastoreItem xmlns:ds="http://schemas.openxmlformats.org/officeDocument/2006/customXml" ds:itemID="{8a14abaa-a207-4be1-9155-1f7288f0460a}">
  <ds:schemaRefs/>
</ds:datastoreItem>
</file>

<file path=customXml/itemProps4.xml><?xml version="1.0" encoding="utf-8"?>
<ds:datastoreItem xmlns:ds="http://schemas.openxmlformats.org/officeDocument/2006/customXml" ds:itemID="{5913b1f3-0272-4d9a-a667-4df776abe583}">
  <ds:schemaRefs/>
</ds:datastoreItem>
</file>

<file path=customXml/itemProps5.xml><?xml version="1.0" encoding="utf-8"?>
<ds:datastoreItem xmlns:ds="http://schemas.openxmlformats.org/officeDocument/2006/customXml" ds:itemID="{bd1972dd-2d36-4ac5-a55c-1c515a676b5a}">
  <ds:schemaRefs/>
</ds:datastoreItem>
</file>

<file path=customXml/itemProps6.xml><?xml version="1.0" encoding="utf-8"?>
<ds:datastoreItem xmlns:ds="http://schemas.openxmlformats.org/officeDocument/2006/customXml" ds:itemID="{4fafc5bd-97a2-4bf4-b1bd-049eba60ce22}">
  <ds:schemaRefs/>
</ds:datastoreItem>
</file>

<file path=customXml/itemProps7.xml><?xml version="1.0" encoding="utf-8"?>
<ds:datastoreItem xmlns:ds="http://schemas.openxmlformats.org/officeDocument/2006/customXml" ds:itemID="{414d1308-7c82-4b52-b5b8-a46a7b34611b}">
  <ds:schemaRefs/>
</ds:datastoreItem>
</file>

<file path=customXml/itemProps8.xml><?xml version="1.0" encoding="utf-8"?>
<ds:datastoreItem xmlns:ds="http://schemas.openxmlformats.org/officeDocument/2006/customXml" ds:itemID="{bdf9c257-968d-4f0d-a595-b843f8a3fa6b}">
  <ds:schemaRefs/>
</ds:datastoreItem>
</file>

<file path=customXml/itemProps9.xml><?xml version="1.0" encoding="utf-8"?>
<ds:datastoreItem xmlns:ds="http://schemas.openxmlformats.org/officeDocument/2006/customXml" ds:itemID="{30778911-4d0b-4466-8270-8958f5ea12f4}">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Office_11.8.2.10321_F1E327BC-269C-435d-A152-05C5408002CA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2024-02-05T14:07:00Z</dcterms:created>
  <dc:creator>Administrator</dc:creator>
  <cp:lastModifiedBy>lenovo</cp:lastModifiedBy>
  <dcterms:modified xsi:type="dcterms:W3CDTF">2024-02-05T07:25:37Z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