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24年北戴河区城市管理综合行政执法局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val="en-US" w:eastAsia="zh-CN"/>
        </w:rPr>
        <w:t>法治政府建设年度报告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今年以来</w:t>
      </w:r>
      <w:r>
        <w:rPr>
          <w:rFonts w:hint="eastAsia" w:ascii="仿宋_GB2312" w:hAnsi="仿宋_GB2312" w:eastAsia="仿宋_GB2312" w:cs="仿宋_GB2312"/>
          <w:color w:val="auto"/>
          <w:sz w:val="32"/>
          <w:szCs w:val="32"/>
        </w:rPr>
        <w:t>，为全面贯彻</w:t>
      </w:r>
      <w:r>
        <w:rPr>
          <w:rStyle w:val="13"/>
          <w:rFonts w:hint="eastAsia" w:ascii="Times New Roman" w:hAnsi="Times New Roman" w:eastAsia="仿宋_GB2312" w:cs="仿宋_GB2312"/>
          <w:sz w:val="32"/>
          <w:szCs w:val="32"/>
        </w:rPr>
        <w:t>党的二十大和二十届二中、三中全会精神，贯彻落实习近平法治思想</w:t>
      </w:r>
      <w:r>
        <w:rPr>
          <w:rStyle w:val="13"/>
          <w:rFonts w:hint="eastAsia" w:ascii="Times New Roman" w:hAnsi="Times New Roman" w:eastAsia="仿宋_GB2312" w:cs="仿宋_GB2312"/>
          <w:sz w:val="32"/>
          <w:szCs w:val="32"/>
          <w:lang w:val="en-US" w:eastAsia="zh-CN"/>
        </w:rPr>
        <w:t>及</w:t>
      </w:r>
      <w:r>
        <w:rPr>
          <w:rFonts w:hint="eastAsia" w:ascii="仿宋_GB2312" w:hAnsi="仿宋_GB2312" w:eastAsia="仿宋_GB2312" w:cs="仿宋_GB2312"/>
          <w:color w:val="auto"/>
          <w:sz w:val="32"/>
          <w:szCs w:val="32"/>
          <w:lang w:eastAsia="zh-CN"/>
        </w:rPr>
        <w:t>省、市、区法治政府建设</w:t>
      </w:r>
      <w:r>
        <w:rPr>
          <w:rFonts w:hint="eastAsia" w:ascii="仿宋_GB2312" w:hAnsi="仿宋_GB2312" w:eastAsia="仿宋_GB2312" w:cs="仿宋_GB2312"/>
          <w:color w:val="auto"/>
          <w:sz w:val="32"/>
          <w:szCs w:val="32"/>
        </w:rPr>
        <w:t>的工作要求，在区委、区政府的坚强领导下，</w:t>
      </w:r>
      <w:r>
        <w:rPr>
          <w:rFonts w:hint="eastAsia" w:ascii="仿宋" w:hAnsi="仿宋" w:eastAsia="仿宋" w:cs="仿宋"/>
          <w:bCs/>
          <w:sz w:val="32"/>
          <w:szCs w:val="32"/>
          <w:lang w:eastAsia="zh-CN"/>
        </w:rPr>
        <w:t>我局</w:t>
      </w:r>
      <w:r>
        <w:rPr>
          <w:rFonts w:hint="eastAsia" w:ascii="仿宋" w:hAnsi="仿宋" w:eastAsia="仿宋" w:cs="仿宋"/>
          <w:bCs/>
          <w:sz w:val="32"/>
          <w:szCs w:val="32"/>
        </w:rPr>
        <w:t>从群众需求和城市治理突出问题出发,坚持</w:t>
      </w:r>
      <w:r>
        <w:rPr>
          <w:rFonts w:hint="eastAsia" w:ascii="仿宋" w:hAnsi="仿宋" w:eastAsia="仿宋" w:cs="仿宋"/>
          <w:bCs/>
          <w:sz w:val="32"/>
          <w:szCs w:val="32"/>
          <w:lang w:eastAsia="zh-CN"/>
        </w:rPr>
        <w:t>依法行政，全面推进法治政府创建工作，</w:t>
      </w:r>
      <w:r>
        <w:rPr>
          <w:rFonts w:hint="eastAsia" w:ascii="仿宋_GB2312" w:eastAsia="仿宋_GB2312"/>
          <w:sz w:val="32"/>
          <w:szCs w:val="32"/>
          <w:lang w:eastAsia="zh-CN"/>
        </w:rPr>
        <w:t>进一步提高了</w:t>
      </w:r>
      <w:r>
        <w:rPr>
          <w:rFonts w:hint="eastAsia" w:ascii="仿宋_GB2312" w:eastAsia="仿宋_GB2312"/>
          <w:sz w:val="32"/>
          <w:szCs w:val="32"/>
        </w:rPr>
        <w:t>城市管理规范化、制度化、人性化水平</w:t>
      </w:r>
      <w:r>
        <w:rPr>
          <w:rFonts w:hint="eastAsia" w:ascii="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bCs/>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、完善相关制度，确保</w:t>
      </w:r>
      <w:r>
        <w:rPr>
          <w:rFonts w:hint="eastAsia" w:ascii="黑体" w:hAnsi="黑体" w:eastAsia="黑体"/>
          <w:sz w:val="32"/>
          <w:szCs w:val="32"/>
          <w:lang w:eastAsia="zh-CN"/>
        </w:rPr>
        <w:t>行政执法有序开展</w:t>
      </w:r>
      <w:r>
        <w:rPr>
          <w:rFonts w:hint="eastAsia" w:ascii="黑体" w:hAnsi="黑体" w:eastAsia="黑体"/>
          <w:sz w:val="32"/>
          <w:szCs w:val="32"/>
        </w:rPr>
        <w:t>。</w:t>
      </w:r>
      <w:r>
        <w:rPr>
          <w:rFonts w:hint="eastAsia" w:ascii="仿宋_GB2312" w:eastAsia="仿宋_GB2312"/>
          <w:b/>
          <w:sz w:val="32"/>
          <w:szCs w:val="32"/>
          <w:lang w:eastAsia="zh-CN"/>
        </w:rPr>
        <w:t>一是</w:t>
      </w:r>
      <w:r>
        <w:rPr>
          <w:rFonts w:hint="eastAsia" w:ascii="仿宋_GB2312" w:eastAsia="仿宋_GB2312"/>
          <w:b/>
          <w:bCs w:val="0"/>
          <w:sz w:val="32"/>
          <w:szCs w:val="32"/>
          <w:lang w:eastAsia="zh-CN"/>
        </w:rPr>
        <w:t>强化制度建设</w:t>
      </w:r>
      <w:r>
        <w:rPr>
          <w:rFonts w:hint="eastAsia" w:ascii="仿宋_GB2312" w:eastAsia="仿宋_GB2312"/>
          <w:b/>
          <w:bCs w:val="0"/>
          <w:sz w:val="32"/>
          <w:szCs w:val="32"/>
        </w:rPr>
        <w:t>。</w:t>
      </w:r>
      <w:r>
        <w:rPr>
          <w:rFonts w:hint="eastAsia" w:ascii="仿宋_GB2312" w:hAnsi="仿宋_GB2312" w:eastAsia="仿宋_GB2312" w:cs="仿宋_GB2312"/>
          <w:b w:val="0"/>
          <w:bCs w:val="0"/>
          <w:sz w:val="32"/>
          <w:szCs w:val="32"/>
          <w:lang w:val="en-US" w:eastAsia="zh-CN"/>
        </w:rPr>
        <w:t>按照建设法治政府工作要求，进一步完善并执行</w:t>
      </w:r>
      <w:r>
        <w:rPr>
          <w:rFonts w:hint="eastAsia" w:ascii="仿宋" w:hAnsi="仿宋" w:eastAsia="仿宋" w:cs="仿宋"/>
          <w:sz w:val="32"/>
          <w:szCs w:val="32"/>
        </w:rPr>
        <w:t>《北戴河区城市管理综合行政局行政执法公开制度》《</w:t>
      </w:r>
      <w:r>
        <w:rPr>
          <w:rFonts w:hint="eastAsia" w:ascii="仿宋" w:hAnsi="仿宋" w:eastAsia="仿宋" w:cs="仿宋"/>
          <w:bCs/>
          <w:sz w:val="32"/>
          <w:szCs w:val="32"/>
        </w:rPr>
        <w:t>北戴河区城市管理综合行政执法局行政执法全过程记录制度</w:t>
      </w:r>
      <w:r>
        <w:rPr>
          <w:rFonts w:hint="eastAsia" w:ascii="仿宋" w:hAnsi="仿宋" w:eastAsia="仿宋" w:cs="仿宋"/>
          <w:sz w:val="32"/>
          <w:szCs w:val="32"/>
        </w:rPr>
        <w:t>》《</w:t>
      </w:r>
      <w:r>
        <w:rPr>
          <w:rFonts w:hint="eastAsia" w:ascii="仿宋" w:hAnsi="仿宋" w:eastAsia="仿宋" w:cs="仿宋"/>
          <w:bCs/>
          <w:sz w:val="32"/>
          <w:szCs w:val="32"/>
        </w:rPr>
        <w:t>北戴</w:t>
      </w:r>
      <w:r>
        <w:rPr>
          <w:rFonts w:hint="eastAsia" w:ascii="仿宋_GB2312" w:hAnsi="仿宋_GB2312" w:eastAsia="仿宋_GB2312" w:cs="仿宋_GB2312"/>
          <w:bCs/>
          <w:sz w:val="32"/>
          <w:szCs w:val="32"/>
        </w:rPr>
        <w:t>河区城市管理综合行政执法局重大行政执法决定法制审核制度</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20余项工作</w:t>
      </w:r>
      <w:r>
        <w:rPr>
          <w:rFonts w:hint="eastAsia" w:ascii="仿宋_GB2312" w:hAnsi="仿宋_GB2312" w:eastAsia="仿宋_GB2312" w:cs="仿宋_GB2312"/>
          <w:sz w:val="32"/>
          <w:szCs w:val="32"/>
        </w:rPr>
        <w:t>制度</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二</w:t>
      </w:r>
      <w:r>
        <w:rPr>
          <w:rFonts w:hint="eastAsia" w:ascii="仿宋" w:hAnsi="仿宋" w:eastAsia="仿宋" w:cs="仿宋"/>
          <w:b/>
          <w:bCs/>
          <w:sz w:val="32"/>
          <w:szCs w:val="32"/>
          <w:lang w:eastAsia="zh-CN"/>
        </w:rPr>
        <w:t>是</w:t>
      </w:r>
      <w:r>
        <w:rPr>
          <w:rFonts w:hint="eastAsia" w:ascii="仿宋" w:hAnsi="仿宋" w:eastAsia="仿宋" w:cs="仿宋"/>
          <w:b/>
          <w:bCs/>
          <w:sz w:val="32"/>
          <w:szCs w:val="32"/>
        </w:rPr>
        <w:t>严格行政决策。</w:t>
      </w:r>
      <w:r>
        <w:rPr>
          <w:rFonts w:hint="eastAsia" w:ascii="仿宋_GB2312" w:hAnsi="仿宋_GB2312" w:eastAsia="仿宋_GB2312" w:cs="仿宋_GB2312"/>
          <w:sz w:val="32"/>
          <w:szCs w:val="32"/>
        </w:rPr>
        <w:t>为提升科学决策水平，</w:t>
      </w:r>
      <w:r>
        <w:rPr>
          <w:rFonts w:hint="eastAsia" w:ascii="仿宋" w:hAnsi="仿宋" w:eastAsia="仿宋" w:cs="仿宋"/>
          <w:sz w:val="32"/>
          <w:szCs w:val="32"/>
          <w:lang w:val="en-US"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北戴河区城市管理综合行政执法局</w:t>
      </w:r>
      <w:r>
        <w:rPr>
          <w:rFonts w:hint="eastAsia" w:ascii="仿宋_GB2312" w:hAnsi="仿宋_GB2312" w:eastAsia="仿宋_GB2312" w:cs="仿宋_GB2312"/>
          <w:sz w:val="32"/>
          <w:szCs w:val="32"/>
        </w:rPr>
        <w:t>案件审理委员会工作规则》</w:t>
      </w:r>
      <w:r>
        <w:rPr>
          <w:rFonts w:hint="eastAsia" w:ascii="仿宋_GB2312" w:hAnsi="仿宋_GB2312" w:eastAsia="仿宋_GB2312" w:cs="仿宋_GB2312"/>
          <w:sz w:val="32"/>
          <w:szCs w:val="32"/>
          <w:lang w:eastAsia="zh-CN"/>
        </w:rPr>
        <w:t>有关要求</w:t>
      </w:r>
      <w:r>
        <w:rPr>
          <w:rFonts w:hint="eastAsia" w:ascii="仿宋_GB2312" w:hAnsi="仿宋_GB2312" w:eastAsia="仿宋_GB2312" w:cs="仿宋_GB2312"/>
          <w:sz w:val="32"/>
          <w:szCs w:val="32"/>
        </w:rPr>
        <w:t>，严格规范重大决策行为。在重大行政决策出台前，召开局长办公会集体讨论决定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涉及法律问题的，由局外聘的法律顾问进行合法性审查</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val="en-US" w:eastAsia="zh-CN"/>
        </w:rPr>
        <w:t>并</w:t>
      </w:r>
      <w:r>
        <w:rPr>
          <w:rFonts w:hint="eastAsia" w:ascii="仿宋" w:hAnsi="仿宋" w:eastAsia="仿宋" w:cs="仿宋"/>
          <w:sz w:val="32"/>
          <w:szCs w:val="32"/>
        </w:rPr>
        <w:t>及时将重大行政决策事项向区</w:t>
      </w:r>
      <w:r>
        <w:rPr>
          <w:rFonts w:hint="eastAsia" w:ascii="仿宋" w:hAnsi="仿宋" w:eastAsia="仿宋" w:cs="仿宋"/>
          <w:sz w:val="32"/>
          <w:szCs w:val="32"/>
          <w:lang w:val="en-US" w:eastAsia="zh-CN"/>
        </w:rPr>
        <w:t>司法局</w:t>
      </w:r>
      <w:r>
        <w:rPr>
          <w:rFonts w:hint="eastAsia" w:ascii="仿宋" w:hAnsi="仿宋" w:eastAsia="仿宋" w:cs="仿宋"/>
          <w:sz w:val="32"/>
          <w:szCs w:val="32"/>
        </w:rPr>
        <w:t>备案。</w:t>
      </w:r>
      <w:r>
        <w:rPr>
          <w:rFonts w:hint="eastAsia" w:ascii="仿宋" w:hAnsi="仿宋" w:eastAsia="仿宋" w:cs="仿宋"/>
          <w:b/>
          <w:bCs/>
          <w:sz w:val="32"/>
          <w:szCs w:val="32"/>
          <w:lang w:eastAsia="zh-CN"/>
        </w:rPr>
        <w:t>三是</w:t>
      </w:r>
      <w:r>
        <w:rPr>
          <w:rFonts w:hint="eastAsia" w:ascii="仿宋" w:hAnsi="仿宋" w:eastAsia="仿宋" w:cs="仿宋"/>
          <w:b/>
          <w:bCs/>
          <w:color w:val="auto"/>
          <w:sz w:val="32"/>
          <w:szCs w:val="32"/>
          <w:lang w:eastAsia="zh-CN"/>
        </w:rPr>
        <w:t>制定法治建设第一责任人职责清单。</w:t>
      </w:r>
      <w:r>
        <w:rPr>
          <w:rFonts w:hint="eastAsia" w:ascii="仿宋" w:hAnsi="仿宋" w:eastAsia="仿宋" w:cs="仿宋"/>
          <w:bCs/>
          <w:sz w:val="32"/>
          <w:szCs w:val="32"/>
          <w:lang w:eastAsia="zh-CN"/>
        </w:rPr>
        <w:t>作为法治建设第一责任人，本人结合工作实际，充分发挥局党组领导作用，健全完善组织机构，制定职责清单，提高政治站位，自觉履行尽责。</w:t>
      </w:r>
      <w:r>
        <w:rPr>
          <w:rFonts w:hint="eastAsia" w:ascii="仿宋" w:hAnsi="仿宋" w:eastAsia="仿宋" w:cs="仿宋"/>
          <w:bCs/>
          <w:sz w:val="32"/>
          <w:szCs w:val="32"/>
        </w:rPr>
        <w:t>加强对依法办事工作的领导，</w:t>
      </w:r>
      <w:r>
        <w:rPr>
          <w:rFonts w:hint="eastAsia" w:ascii="仿宋" w:hAnsi="仿宋" w:eastAsia="仿宋" w:cs="仿宋"/>
          <w:bCs/>
          <w:sz w:val="32"/>
          <w:szCs w:val="32"/>
          <w:lang w:eastAsia="zh-CN"/>
        </w:rPr>
        <w:t>召开党组会、</w:t>
      </w:r>
      <w:r>
        <w:rPr>
          <w:rFonts w:hint="eastAsia" w:ascii="仿宋" w:hAnsi="仿宋" w:eastAsia="仿宋" w:cs="仿宋"/>
          <w:bCs/>
          <w:sz w:val="32"/>
          <w:szCs w:val="32"/>
          <w:lang w:val="en-US" w:eastAsia="zh-CN"/>
        </w:rPr>
        <w:t>支</w:t>
      </w:r>
      <w:r>
        <w:rPr>
          <w:rFonts w:hint="eastAsia" w:ascii="仿宋" w:hAnsi="仿宋" w:eastAsia="仿宋" w:cs="仿宋"/>
          <w:bCs/>
          <w:sz w:val="32"/>
          <w:szCs w:val="32"/>
          <w:lang w:eastAsia="zh-CN"/>
        </w:rPr>
        <w:t>委会</w:t>
      </w:r>
      <w:r>
        <w:rPr>
          <w:rFonts w:hint="eastAsia" w:ascii="仿宋" w:hAnsi="仿宋" w:eastAsia="仿宋" w:cs="仿宋"/>
          <w:bCs/>
          <w:sz w:val="32"/>
          <w:szCs w:val="32"/>
        </w:rPr>
        <w:t>专题研究依法办事</w:t>
      </w:r>
      <w:r>
        <w:rPr>
          <w:rFonts w:hint="eastAsia" w:ascii="仿宋" w:hAnsi="仿宋" w:eastAsia="仿宋" w:cs="仿宋"/>
          <w:bCs/>
          <w:sz w:val="32"/>
          <w:szCs w:val="32"/>
          <w:lang w:eastAsia="zh-CN"/>
        </w:rPr>
        <w:t>、依法行政</w:t>
      </w:r>
      <w:r>
        <w:rPr>
          <w:rFonts w:hint="eastAsia" w:ascii="仿宋" w:hAnsi="仿宋" w:eastAsia="仿宋" w:cs="仿宋"/>
          <w:bCs/>
          <w:sz w:val="32"/>
          <w:szCs w:val="32"/>
        </w:rPr>
        <w:t>工作，完善领导抓依法办事工作的责任机制。</w:t>
      </w:r>
      <w:r>
        <w:rPr>
          <w:rFonts w:hint="eastAsia" w:ascii="仿宋" w:hAnsi="仿宋" w:eastAsia="仿宋" w:cs="仿宋"/>
          <w:b/>
          <w:bCs w:val="0"/>
          <w:sz w:val="32"/>
          <w:szCs w:val="32"/>
          <w:lang w:val="en-US" w:eastAsia="zh-CN"/>
        </w:rPr>
        <w:t>四</w:t>
      </w:r>
      <w:r>
        <w:rPr>
          <w:rFonts w:hint="eastAsia" w:ascii="仿宋" w:hAnsi="仿宋" w:eastAsia="仿宋" w:cs="仿宋"/>
          <w:b/>
          <w:bCs w:val="0"/>
          <w:sz w:val="32"/>
          <w:szCs w:val="32"/>
          <w:lang w:eastAsia="zh-CN"/>
        </w:rPr>
        <w:t>是规范依法出庭应诉工作。</w:t>
      </w:r>
      <w:r>
        <w:rPr>
          <w:rFonts w:hint="eastAsia" w:ascii="仿宋" w:hAnsi="仿宋" w:eastAsia="仿宋" w:cs="仿宋"/>
          <w:bCs/>
          <w:sz w:val="32"/>
          <w:szCs w:val="32"/>
          <w:lang w:eastAsia="zh-CN"/>
        </w:rPr>
        <w:t>自觉维护司法权威，坚持“谁主管、谁出庭、谁应诉”原则，认真落实行政机关出庭应诉有关要求，支持法院受理的行政案件、依法及时全面履行法院的生效裁判。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lang w:val="en-US" w:eastAsia="zh-CN"/>
        </w:rPr>
        <w:t>坚持与时俱进，扎实开展“八五”普法工作。</w:t>
      </w:r>
      <w:r>
        <w:rPr>
          <w:rFonts w:hint="eastAsia" w:ascii="仿宋_GB2312" w:hAnsi="仿宋_GB2312" w:eastAsia="仿宋_GB2312" w:cs="仿宋_GB2312"/>
          <w:b/>
          <w:bCs/>
          <w:color w:val="auto"/>
          <w:sz w:val="32"/>
          <w:szCs w:val="32"/>
          <w:lang w:val="en-US" w:eastAsia="zh-CN"/>
        </w:rPr>
        <w:t>一是全力推进执法培训。</w:t>
      </w:r>
      <w:r>
        <w:rPr>
          <w:rFonts w:hint="eastAsia" w:ascii="仿宋_GB2312" w:hAnsi="仿宋_GB2312" w:eastAsia="仿宋_GB2312" w:cs="仿宋_GB2312"/>
          <w:color w:val="auto"/>
          <w:sz w:val="32"/>
          <w:szCs w:val="32"/>
          <w:lang w:val="en-US" w:eastAsia="zh-CN"/>
        </w:rPr>
        <w:t>贯彻执行市、区司法部门“八五”普法要求，科学制定法制学习计划。每季度至少开展一次城市管理综合执法专题培训活动，带头认真学习了</w:t>
      </w:r>
      <w:r>
        <w:rPr>
          <w:rFonts w:hint="eastAsia" w:ascii="仿宋_GB2312" w:eastAsia="仿宋_GB2312"/>
          <w:sz w:val="32"/>
          <w:szCs w:val="32"/>
          <w:lang w:eastAsia="zh-CN"/>
        </w:rPr>
        <w:t>《中华人民共和国行政处罚法》、《中华人民共和国宪法》</w:t>
      </w:r>
      <w:r>
        <w:rPr>
          <w:rFonts w:hint="eastAsia" w:ascii="仿宋_GB2312" w:hAnsi="仿宋_GB2312" w:eastAsia="仿宋_GB2312" w:cs="仿宋_GB2312"/>
          <w:color w:val="auto"/>
          <w:sz w:val="32"/>
          <w:szCs w:val="32"/>
          <w:lang w:val="en-US" w:eastAsia="zh-CN"/>
        </w:rPr>
        <w:t>《河北省城乡生活垃圾分类管理条例》等常用法规，</w:t>
      </w:r>
      <w:r>
        <w:rPr>
          <w:rFonts w:hint="eastAsia" w:ascii="Times New Roman" w:hAnsi="Times New Roman" w:eastAsia="仿宋_GB2312" w:cs="Times New Roman"/>
          <w:sz w:val="32"/>
          <w:szCs w:val="32"/>
          <w:lang w:val="en-US" w:eastAsia="zh-CN"/>
        </w:rPr>
        <w:t>并组织了</w:t>
      </w:r>
      <w:r>
        <w:rPr>
          <w:rFonts w:hint="default" w:ascii="Times New Roman" w:hAnsi="Times New Roman" w:eastAsia="仿宋_GB2312" w:cs="Times New Roman"/>
          <w:sz w:val="32"/>
          <w:szCs w:val="32"/>
          <w:lang w:val="en-US" w:eastAsia="zh-CN"/>
        </w:rPr>
        <w:t>公共法律知识现场闭卷考试</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bCs/>
          <w:color w:val="auto"/>
          <w:sz w:val="32"/>
          <w:szCs w:val="32"/>
          <w:lang w:val="en-US" w:eastAsia="zh-CN"/>
        </w:rPr>
        <w:t>二是</w:t>
      </w:r>
      <w:r>
        <w:rPr>
          <w:rFonts w:hint="eastAsia" w:ascii="仿宋" w:hAnsi="仿宋" w:eastAsia="仿宋" w:cs="仿宋"/>
          <w:b/>
          <w:bCs/>
          <w:sz w:val="32"/>
          <w:szCs w:val="32"/>
          <w:lang w:eastAsia="zh-CN"/>
        </w:rPr>
        <w:t>组织开设“微信普法”课程。</w:t>
      </w:r>
      <w:r>
        <w:rPr>
          <w:rFonts w:hint="eastAsia" w:ascii="仿宋" w:hAnsi="仿宋" w:eastAsia="仿宋" w:cs="仿宋"/>
          <w:sz w:val="32"/>
          <w:szCs w:val="32"/>
          <w:lang w:eastAsia="zh-CN"/>
        </w:rPr>
        <w:t>通过发送微信学习《宪</w:t>
      </w:r>
      <w:r>
        <w:rPr>
          <w:rFonts w:hint="eastAsia" w:ascii="仿宋_GB2312" w:hAnsi="仿宋_GB2312" w:eastAsia="仿宋_GB2312" w:cs="仿宋_GB2312"/>
          <w:sz w:val="32"/>
          <w:szCs w:val="32"/>
          <w:lang w:eastAsia="zh-CN"/>
        </w:rPr>
        <w:t>法》《中华人民共和国民法典》《中华人民共和国网络安全法》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rPr>
        <w:t>安全生产法》等法律法规知识</w:t>
      </w:r>
      <w:r>
        <w:rPr>
          <w:rFonts w:hint="eastAsia" w:ascii="仿宋_GB2312" w:hAnsi="仿宋_GB2312" w:eastAsia="仿宋_GB2312" w:cs="仿宋_GB2312"/>
          <w:sz w:val="32"/>
          <w:szCs w:val="32"/>
          <w:lang w:eastAsia="zh-CN"/>
        </w:rPr>
        <w:t>等政策法规和“星火普法”法律常识学习宣传视频，带领干部职工</w:t>
      </w:r>
      <w:r>
        <w:rPr>
          <w:rFonts w:hint="eastAsia" w:ascii="仿宋_GB2312" w:hAnsi="仿宋_GB2312" w:eastAsia="仿宋_GB2312" w:cs="仿宋_GB2312"/>
          <w:sz w:val="32"/>
          <w:szCs w:val="32"/>
        </w:rPr>
        <w:t>提高</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依法决策、依法办事和依法管理的能力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color w:val="auto"/>
          <w:sz w:val="32"/>
          <w:szCs w:val="32"/>
          <w:lang w:val="en-US" w:eastAsia="zh-CN"/>
        </w:rPr>
        <w:t>三是扎实做好普法宣传。</w:t>
      </w:r>
      <w:r>
        <w:rPr>
          <w:rFonts w:hint="eastAsia" w:ascii="仿宋_GB2312" w:hAnsi="仿宋_GB2312" w:eastAsia="仿宋_GB2312" w:cs="仿宋_GB2312"/>
          <w:sz w:val="32"/>
          <w:szCs w:val="32"/>
          <w:lang w:val="en-US" w:eastAsia="zh-CN"/>
        </w:rPr>
        <w:t>带领全体执法人员及相关业务人员学习</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河北省城市管理现场执法服务指引（试行）</w:t>
      </w:r>
      <w:r>
        <w:rPr>
          <w:rFonts w:hint="eastAsia" w:ascii="仿宋_GB2312" w:eastAsia="仿宋_GB2312"/>
          <w:sz w:val="32"/>
          <w:szCs w:val="32"/>
        </w:rPr>
        <w:t>》《</w:t>
      </w:r>
      <w:r>
        <w:rPr>
          <w:rFonts w:hint="eastAsia" w:ascii="仿宋_GB2312" w:eastAsia="仿宋_GB2312"/>
          <w:sz w:val="32"/>
          <w:szCs w:val="32"/>
          <w:lang w:val="en-US" w:eastAsia="zh-CN"/>
        </w:rPr>
        <w:t>河北省住房和城乡建设行政处罚文书</w:t>
      </w:r>
      <w:r>
        <w:rPr>
          <w:rFonts w:hint="eastAsia" w:ascii="仿宋_GB2312" w:eastAsia="仿宋_GB2312"/>
          <w:sz w:val="32"/>
          <w:szCs w:val="32"/>
        </w:rPr>
        <w:t>》和《</w:t>
      </w:r>
      <w:r>
        <w:rPr>
          <w:rFonts w:hint="eastAsia" w:ascii="仿宋_GB2312" w:hAnsi="仿宋_GB2312" w:eastAsia="仿宋_GB2312" w:cs="仿宋_GB2312"/>
          <w:sz w:val="32"/>
          <w:szCs w:val="32"/>
        </w:rPr>
        <w:t>提升行政执法质量三年行动计划（2023-2025年）</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，组织全区5个镇（街道）20余名综合行政执法机构执法骨干和法制审核人员参加城乡建设领域赋权镇街事项业务培训，进一步加强和提升了各镇（街道）城乡建设领域赋权事项的业务能力水平。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color w:val="auto"/>
          <w:sz w:val="32"/>
          <w:szCs w:val="32"/>
          <w:lang w:val="en-US" w:eastAsia="zh-CN"/>
        </w:rPr>
        <w:t>三、落实各级要求</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不断规范行政执法行为</w:t>
      </w:r>
      <w:r>
        <w:rPr>
          <w:rFonts w:hint="eastAsia" w:ascii="黑体" w:hAnsi="黑体" w:eastAsia="黑体" w:cs="黑体"/>
          <w:color w:val="auto"/>
          <w:sz w:val="32"/>
          <w:szCs w:val="32"/>
        </w:rPr>
        <w:t>。</w:t>
      </w:r>
      <w:r>
        <w:rPr>
          <w:rFonts w:hint="eastAsia" w:ascii="仿宋_GB2312" w:hAnsi="仿宋_GB2312" w:eastAsia="仿宋_GB2312" w:cs="仿宋_GB2312"/>
          <w:b/>
          <w:bCs/>
          <w:color w:val="auto"/>
          <w:sz w:val="32"/>
          <w:szCs w:val="32"/>
          <w:lang w:val="en-US" w:eastAsia="zh-CN"/>
        </w:rPr>
        <w:t>一是</w:t>
      </w:r>
      <w:r>
        <w:rPr>
          <w:rFonts w:hint="eastAsia" w:ascii="仿宋_GB2312" w:eastAsia="仿宋_GB2312"/>
          <w:b/>
          <w:sz w:val="32"/>
          <w:szCs w:val="32"/>
        </w:rPr>
        <w:t>强化执法保障。</w:t>
      </w:r>
      <w:r>
        <w:rPr>
          <w:rFonts w:hint="eastAsia" w:ascii="仿宋_GB2312" w:eastAsia="仿宋_GB2312"/>
          <w:sz w:val="32"/>
          <w:szCs w:val="32"/>
        </w:rPr>
        <w:t>以一线执法人员为重点，按照上级要求配齐配全各季节的执法制服，配备对讲机、执法记录仪、警戒防护等执法装备及电动车、机动车等执法车辆，做到定期检修，及时维修。</w:t>
      </w:r>
      <w:r>
        <w:rPr>
          <w:rFonts w:hint="eastAsia" w:ascii="仿宋_GB2312" w:hAnsi="仿宋_GB2312" w:eastAsia="仿宋_GB2312" w:cs="仿宋_GB2312"/>
          <w:sz w:val="32"/>
          <w:szCs w:val="32"/>
        </w:rPr>
        <w:t>改造提升问询室、器材室内部设置，确保执法工作规范有序开展。</w:t>
      </w:r>
      <w:r>
        <w:rPr>
          <w:rFonts w:hint="eastAsia" w:ascii="仿宋_GB2312" w:hAnsi="仿宋_GB2312" w:eastAsia="仿宋_GB2312" w:cs="仿宋_GB2312"/>
          <w:b/>
          <w:bCs/>
          <w:sz w:val="32"/>
          <w:szCs w:val="32"/>
          <w:lang w:eastAsia="zh-CN"/>
        </w:rPr>
        <w:t>二是严格规范着装。</w:t>
      </w:r>
      <w:r>
        <w:rPr>
          <w:rFonts w:hint="eastAsia" w:ascii="仿宋_GB2312" w:hAnsi="仿宋_GB2312" w:eastAsia="仿宋_GB2312" w:cs="仿宋_GB2312"/>
          <w:b w:val="0"/>
          <w:bCs w:val="0"/>
          <w:color w:val="auto"/>
          <w:sz w:val="32"/>
          <w:szCs w:val="32"/>
          <w:lang w:val="en-US" w:eastAsia="zh-CN"/>
        </w:rPr>
        <w:t>为提升城市管理执法队伍形象，严格落实秦皇岛市城市管理综合行政执法局印发的《秦皇岛市城市管理执法人员着装规定》，所有执法人员工作期间一律按照规定配套穿着制式服装，佩戴统一的标志标识，做到精神饱满、仪表端庄、举止文明、着装整洁、规范统一，切实维护城市管理执法人员工作形象。</w:t>
      </w:r>
      <w:r>
        <w:rPr>
          <w:rFonts w:hint="eastAsia" w:ascii="仿宋_GB2312" w:hAnsi="仿宋_GB2312" w:eastAsia="仿宋_GB2312" w:cs="仿宋_GB2312"/>
          <w:b/>
          <w:bCs/>
          <w:color w:val="auto"/>
          <w:sz w:val="32"/>
          <w:szCs w:val="32"/>
          <w:lang w:val="en-US" w:eastAsia="zh-CN"/>
        </w:rPr>
        <w:t>三是突出柔性执法。</w:t>
      </w:r>
      <w:r>
        <w:rPr>
          <w:rFonts w:hint="eastAsia" w:ascii="仿宋_GB2312" w:hAnsi="仿宋_GB2312" w:eastAsia="仿宋_GB2312" w:cs="仿宋_GB2312"/>
          <w:b w:val="0"/>
          <w:bCs w:val="0"/>
          <w:color w:val="auto"/>
          <w:sz w:val="32"/>
          <w:szCs w:val="32"/>
          <w:lang w:val="en-US" w:eastAsia="zh-CN"/>
        </w:rPr>
        <w:t>在行政执法过程中，落实轻微不罚、首违免罚要求，认真执行城市管理“721”工作法，突出70%的服务和20%的管理作用，强化10%的执法作用，努力将温情城管、柔性执法、以人为本、文明执法、规范执法的理念贯穿行政执法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四、抓好“三项制度”，推进执法队伍规范化管理工作。</w:t>
      </w:r>
      <w:r>
        <w:rPr>
          <w:rFonts w:hint="eastAsia" w:ascii="仿宋_GB2312" w:hAnsi="仿宋_GB2312" w:eastAsia="仿宋_GB2312" w:cs="仿宋_GB2312"/>
          <w:b/>
          <w:bCs/>
          <w:color w:val="auto"/>
          <w:sz w:val="32"/>
          <w:szCs w:val="32"/>
          <w:lang w:val="en-US" w:eastAsia="zh-CN"/>
        </w:rPr>
        <w:t>一是落实持证上岗制度。</w:t>
      </w:r>
      <w:r>
        <w:rPr>
          <w:rFonts w:hint="eastAsia" w:ascii="仿宋_GB2312" w:hAnsi="仿宋_GB2312" w:eastAsia="仿宋_GB2312" w:cs="仿宋_GB2312"/>
          <w:color w:val="auto"/>
          <w:sz w:val="32"/>
          <w:szCs w:val="32"/>
          <w:lang w:val="en-US" w:eastAsia="zh-CN"/>
        </w:rPr>
        <w:t>按照区司法局统一工作要求，对本单位30名执法人员执法证进行年检，同时对</w:t>
      </w:r>
      <w:r>
        <w:rPr>
          <w:rFonts w:hint="eastAsia" w:ascii="仿宋_GB2312" w:hAnsi="仿宋_GB2312" w:eastAsia="仿宋_GB2312" w:cs="仿宋_GB2312"/>
          <w:sz w:val="32"/>
          <w:szCs w:val="32"/>
          <w:lang w:val="en-US" w:eastAsia="zh-CN"/>
        </w:rPr>
        <w:t>我局39名</w:t>
      </w:r>
      <w:r>
        <w:rPr>
          <w:rFonts w:hint="eastAsia" w:ascii="仿宋_GB2312" w:hAnsi="仿宋_GB2312" w:eastAsia="仿宋_GB2312" w:cs="仿宋_GB2312"/>
          <w:color w:val="auto"/>
          <w:sz w:val="32"/>
          <w:szCs w:val="32"/>
          <w:lang w:val="en-US" w:eastAsia="zh-CN"/>
        </w:rPr>
        <w:t>执法辅助人员进行岗前培训，并</w:t>
      </w:r>
      <w:r>
        <w:rPr>
          <w:rFonts w:hint="eastAsia" w:ascii="仿宋_GB2312" w:hAnsi="仿宋_GB2312" w:eastAsia="仿宋_GB2312" w:cs="仿宋_GB2312"/>
          <w:sz w:val="32"/>
          <w:szCs w:val="32"/>
          <w:lang w:val="en-US" w:eastAsia="zh-CN"/>
        </w:rPr>
        <w:t>发放城市管理辅助行政执法证，</w:t>
      </w:r>
      <w:r>
        <w:rPr>
          <w:rFonts w:hint="eastAsia" w:ascii="仿宋_GB2312" w:hAnsi="仿宋_GB2312" w:eastAsia="仿宋_GB2312" w:cs="仿宋_GB2312"/>
          <w:color w:val="auto"/>
          <w:sz w:val="32"/>
          <w:szCs w:val="32"/>
          <w:lang w:val="en-US" w:eastAsia="zh-CN"/>
        </w:rPr>
        <w:t>以便服务对象了解工作人员身份，接受社会监督。</w:t>
      </w:r>
      <w:r>
        <w:rPr>
          <w:rFonts w:hint="eastAsia" w:ascii="仿宋_GB2312" w:hAnsi="仿宋_GB2312" w:eastAsia="仿宋_GB2312" w:cs="仿宋_GB2312"/>
          <w:b/>
          <w:bCs/>
          <w:color w:val="auto"/>
          <w:sz w:val="32"/>
          <w:szCs w:val="32"/>
          <w:lang w:val="en-US" w:eastAsia="zh-CN"/>
        </w:rPr>
        <w:t>二是实行执法过程全纪录。</w:t>
      </w:r>
      <w:r>
        <w:rPr>
          <w:rFonts w:hint="eastAsia" w:ascii="仿宋_GB2312" w:hAnsi="仿宋_GB2312" w:eastAsia="仿宋_GB2312" w:cs="仿宋_GB2312"/>
          <w:color w:val="auto"/>
          <w:sz w:val="32"/>
          <w:szCs w:val="32"/>
          <w:lang w:val="en-US" w:eastAsia="zh-CN"/>
        </w:rPr>
        <w:t>要求执法人员行政执法过程中，通过充分利用执法记录仪、视频监控设施等手段，对日常巡查、调查取证、案卷制作等行政执法活动进行全过程记录。</w:t>
      </w:r>
      <w:r>
        <w:rPr>
          <w:rFonts w:hint="eastAsia" w:ascii="仿宋_GB2312" w:hAnsi="仿宋_GB2312" w:eastAsia="仿宋_GB2312" w:cs="仿宋_GB2312"/>
          <w:b/>
          <w:bCs/>
          <w:color w:val="auto"/>
          <w:sz w:val="32"/>
          <w:szCs w:val="32"/>
          <w:lang w:val="en-US" w:eastAsia="zh-CN"/>
        </w:rPr>
        <w:t>三是处罚案卷整理有序。</w:t>
      </w:r>
      <w:r>
        <w:rPr>
          <w:rFonts w:hint="eastAsia" w:ascii="仿宋_GB2312" w:hAnsi="仿宋_GB2312" w:eastAsia="仿宋_GB2312" w:cs="仿宋_GB2312"/>
          <w:sz w:val="32"/>
          <w:szCs w:val="32"/>
          <w:lang w:val="en-US" w:eastAsia="zh-CN"/>
        </w:rPr>
        <w:t>严格按照行政处罚程序及案卷制作规范加强案卷管理和制作，从案件主体适格性、</w:t>
      </w:r>
      <w:r>
        <w:rPr>
          <w:rFonts w:hint="eastAsia" w:ascii="仿宋_GB2312" w:hAnsi="仿宋_GB2312" w:eastAsia="仿宋_GB2312" w:cs="仿宋_GB2312"/>
          <w:sz w:val="32"/>
          <w:szCs w:val="32"/>
        </w:rPr>
        <w:t>违法事实认定、适用法律准确性、案件程序合法性、文书制作规范性、案卷归档合规性等方面着手，对案卷进行认真审核，并就发现的问题详细记录、及时纠正。案卷卷宗整理做到一案一卷、格式统一、排序一致、材料齐全、装订整齐，并及时进行归档，妥善保存，随用随调。</w:t>
      </w:r>
      <w:r>
        <w:rPr>
          <w:rFonts w:hint="eastAsia" w:ascii="仿宋_GB2312" w:hAnsi="仿宋_GB2312" w:eastAsia="仿宋_GB2312" w:cs="仿宋_GB2312"/>
          <w:sz w:val="32"/>
          <w:szCs w:val="32"/>
          <w:highlight w:val="none"/>
          <w:lang w:val="en-US" w:eastAsia="zh-CN"/>
        </w:rPr>
        <w:t>2024</w:t>
      </w:r>
      <w:r>
        <w:rPr>
          <w:rFonts w:hint="eastAsia" w:ascii="仿宋_GB2312" w:hAnsi="仿宋_GB2312" w:eastAsia="仿宋_GB2312" w:cs="仿宋_GB2312"/>
          <w:sz w:val="32"/>
          <w:szCs w:val="32"/>
          <w:highlight w:val="none"/>
        </w:rPr>
        <w:t>以来，共计处罚</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起，制作简易案卷</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件，罚款</w:t>
      </w:r>
      <w:r>
        <w:rPr>
          <w:rFonts w:hint="eastAsia" w:ascii="仿宋_GB2312" w:hAnsi="仿宋_GB2312" w:eastAsia="仿宋_GB2312" w:cs="仿宋_GB2312"/>
          <w:sz w:val="32"/>
          <w:szCs w:val="32"/>
          <w:highlight w:val="none"/>
          <w:lang w:val="en-US" w:eastAsia="zh-CN"/>
        </w:rPr>
        <w:t>2.525万余</w:t>
      </w:r>
      <w:r>
        <w:rPr>
          <w:rFonts w:hint="eastAsia" w:ascii="仿宋_GB2312" w:hAnsi="仿宋_GB2312" w:eastAsia="仿宋_GB2312" w:cs="仿宋_GB2312"/>
          <w:sz w:val="32"/>
          <w:szCs w:val="32"/>
          <w:highlight w:val="none"/>
        </w:rPr>
        <w:t>元。</w:t>
      </w:r>
      <w:r>
        <w:rPr>
          <w:rFonts w:hint="eastAsia" w:ascii="仿宋_GB2312" w:hAnsi="仿宋_GB2312" w:eastAsia="仿宋_GB2312" w:cs="仿宋_GB2312"/>
          <w:b/>
          <w:bCs/>
          <w:color w:val="auto"/>
          <w:sz w:val="32"/>
          <w:szCs w:val="32"/>
          <w:lang w:val="en-US" w:eastAsia="zh-CN"/>
        </w:rPr>
        <w:t>四是严格落实执法信息公开制度。</w:t>
      </w:r>
      <w:r>
        <w:rPr>
          <w:rFonts w:hint="eastAsia" w:ascii="仿宋_GB2312" w:hAnsi="仿宋_GB2312" w:eastAsia="仿宋_GB2312" w:cs="仿宋_GB2312"/>
          <w:color w:val="auto"/>
          <w:sz w:val="32"/>
          <w:szCs w:val="32"/>
          <w:lang w:val="en-US" w:eastAsia="zh-CN"/>
        </w:rPr>
        <w:t>充分利用</w:t>
      </w:r>
      <w:r>
        <w:rPr>
          <w:rFonts w:hint="eastAsia" w:ascii="仿宋_GB2312" w:hAnsi="仿宋_GB2312" w:eastAsia="仿宋_GB2312" w:cs="仿宋_GB2312"/>
          <w:color w:val="auto"/>
          <w:sz w:val="32"/>
          <w:szCs w:val="32"/>
          <w:highlight w:val="none"/>
          <w:lang w:val="en-US" w:eastAsia="zh-CN"/>
        </w:rPr>
        <w:t>信息公开平台、河北“双公示”信用信息公示系统等媒介及时公</w:t>
      </w:r>
      <w:r>
        <w:rPr>
          <w:rFonts w:hint="eastAsia" w:ascii="仿宋_GB2312" w:hAnsi="仿宋_GB2312" w:eastAsia="仿宋_GB2312" w:cs="仿宋_GB2312"/>
          <w:color w:val="auto"/>
          <w:sz w:val="32"/>
          <w:szCs w:val="32"/>
          <w:lang w:val="en-US" w:eastAsia="zh-CN"/>
        </w:rPr>
        <w:t>示服务的内容、办事程序、办理时限等相关具体事项，向社会和公众作出公开承诺，接受社会公众监督。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认真履职尽责，扎实做好</w:t>
      </w:r>
      <w:r>
        <w:rPr>
          <w:rFonts w:hint="eastAsia" w:ascii="黑体" w:hAnsi="黑体" w:eastAsia="黑体" w:cs="黑体"/>
          <w:color w:val="auto"/>
          <w:sz w:val="32"/>
          <w:szCs w:val="32"/>
          <w:lang w:val="en-US" w:eastAsia="zh-CN"/>
        </w:rPr>
        <w:t>2025年</w:t>
      </w:r>
      <w:r>
        <w:rPr>
          <w:rFonts w:hint="eastAsia" w:ascii="黑体" w:hAnsi="黑体" w:eastAsia="黑体" w:cs="黑体"/>
          <w:color w:val="auto"/>
          <w:sz w:val="32"/>
          <w:szCs w:val="32"/>
        </w:rPr>
        <w:t>工作</w:t>
      </w:r>
      <w:r>
        <w:rPr>
          <w:rFonts w:hint="eastAsia" w:ascii="黑体" w:hAnsi="黑体" w:eastAsia="黑体" w:cs="黑体"/>
          <w:color w:val="auto"/>
          <w:sz w:val="32"/>
          <w:szCs w:val="32"/>
          <w:lang w:eastAsia="zh-CN"/>
        </w:rPr>
        <w:t>谋划。</w:t>
      </w:r>
      <w:r>
        <w:rPr>
          <w:rFonts w:hint="eastAsia" w:ascii="仿宋_GB2312" w:hAnsi="仿宋_GB2312" w:eastAsia="仿宋_GB2312" w:cs="仿宋_GB2312"/>
          <w:b/>
          <w:bCs/>
          <w:color w:val="auto"/>
          <w:sz w:val="32"/>
          <w:szCs w:val="32"/>
          <w:lang w:val="en-US" w:eastAsia="zh-CN"/>
        </w:rPr>
        <w:t>一是强化队伍建设。</w:t>
      </w:r>
      <w:r>
        <w:rPr>
          <w:rFonts w:hint="eastAsia" w:ascii="仿宋_GB2312" w:hAnsi="仿宋_GB2312" w:eastAsia="仿宋_GB2312" w:cs="仿宋_GB2312"/>
          <w:color w:val="auto"/>
          <w:sz w:val="32"/>
          <w:szCs w:val="32"/>
          <w:lang w:val="en-US" w:eastAsia="zh-CN"/>
        </w:rPr>
        <w:t>牢固树立“四个意识”，不断强化“四个自信”、始终做到“两个维护”，坚决拥护“两个确立”，始终坚持以党建工作为引领，持续深入强化执法人员业务能力培训，努力打造业务素质高、综合能力强，士气高昂精神焕发，与城市管理工作发展要求相适应的执法队伍。</w:t>
      </w:r>
      <w:r>
        <w:rPr>
          <w:rFonts w:hint="eastAsia" w:ascii="仿宋_GB2312" w:hAnsi="仿宋_GB2312" w:eastAsia="仿宋_GB2312" w:cs="仿宋_GB2312"/>
          <w:b/>
          <w:bCs/>
          <w:color w:val="auto"/>
          <w:sz w:val="32"/>
          <w:szCs w:val="32"/>
          <w:lang w:val="en-US" w:eastAsia="zh-CN"/>
        </w:rPr>
        <w:t>二是规范制度管理。</w:t>
      </w:r>
      <w:r>
        <w:rPr>
          <w:rFonts w:hint="eastAsia" w:ascii="仿宋_GB2312" w:hAnsi="仿宋_GB2312" w:eastAsia="仿宋_GB2312" w:cs="仿宋_GB2312"/>
          <w:color w:val="auto"/>
          <w:sz w:val="32"/>
          <w:szCs w:val="32"/>
          <w:lang w:val="en-US" w:eastAsia="zh-CN"/>
        </w:rPr>
        <w:t>将制度建设作为提升执法水平、提高管理能力的重要抓手，结合工作实际对现行各项执法管理制度进行细化和深化，对于今年工作中发现各类问题建立有针对性的制度机制，压实责任、强化考核，提高制度的执行力与约束力，形成用制度管人、用制度管事的良好氛围，督促各级执法人员履职尽责。</w:t>
      </w:r>
      <w:r>
        <w:rPr>
          <w:rFonts w:hint="eastAsia" w:ascii="仿宋_GB2312" w:hAnsi="仿宋_GB2312" w:eastAsia="仿宋_GB2312" w:cs="仿宋_GB2312"/>
          <w:b/>
          <w:bCs/>
          <w:color w:val="auto"/>
          <w:sz w:val="32"/>
          <w:szCs w:val="32"/>
          <w:lang w:val="en-US" w:eastAsia="zh-CN"/>
        </w:rPr>
        <w:t>三是整治城市顽疾。</w:t>
      </w:r>
      <w:r>
        <w:rPr>
          <w:rFonts w:hint="eastAsia" w:ascii="仿宋_GB2312" w:hAnsi="仿宋_GB2312" w:eastAsia="仿宋_GB2312" w:cs="仿宋_GB2312"/>
          <w:color w:val="auto"/>
          <w:sz w:val="32"/>
          <w:szCs w:val="32"/>
          <w:lang w:val="en-US" w:eastAsia="zh-CN"/>
        </w:rPr>
        <w:t>针对各类城市顽疾问题，区城管执法局继续采取巡查和盯守相结合的办法，依托网格化管理体系，对于重点区域开展滚动式、不间断巡查。建立联动机制，形成上下联动、问题联处的工作机制，对流动商贩、店外经营等影响市容市貌的顽疾进行大力整治，加大处罚力度，做到严格执法、应罚尽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六、存在问题及整改措施</w:t>
      </w:r>
    </w:p>
    <w:p>
      <w:pPr>
        <w:pStyle w:val="4"/>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在当前的城管局法制工作中，存在着一些亟待解决的问题。</w:t>
      </w:r>
      <w:r>
        <w:rPr>
          <w:rFonts w:hint="default" w:ascii="仿宋_GB2312" w:hAnsi="仿宋_GB2312" w:eastAsia="仿宋_GB2312" w:cs="仿宋_GB2312"/>
          <w:b/>
          <w:bCs/>
          <w:color w:val="auto"/>
          <w:sz w:val="32"/>
          <w:szCs w:val="32"/>
          <w:lang w:val="en-US" w:eastAsia="zh-CN"/>
        </w:rPr>
        <w:t>一方面，行政执法人员培训形式较为单一。</w:t>
      </w:r>
      <w:r>
        <w:rPr>
          <w:rFonts w:hint="default" w:ascii="仿宋_GB2312" w:hAnsi="仿宋_GB2312" w:eastAsia="仿宋_GB2312" w:cs="仿宋_GB2312"/>
          <w:b w:val="0"/>
          <w:bCs w:val="0"/>
          <w:color w:val="auto"/>
          <w:sz w:val="32"/>
          <w:szCs w:val="32"/>
          <w:lang w:val="en-US" w:eastAsia="zh-CN"/>
        </w:rPr>
        <w:t>当前的培训方式主要依赖于区司法局组织的培训、局内班子成员召开的培训会议，以及借助网络媒体学习与工作相关的法律法规。这种模式使得学习不够深入与系统，难以全方位提升执法人员的素养。下一步，我们计划在条件允许时，聘请专业法律顾问，针对执法中的实际问题开展有针对性的培训课程，丰富培训形式与内容，提高培训质量。</w:t>
      </w:r>
      <w:r>
        <w:rPr>
          <w:rFonts w:hint="default" w:ascii="仿宋_GB2312" w:hAnsi="仿宋_GB2312" w:eastAsia="仿宋_GB2312" w:cs="仿宋_GB2312"/>
          <w:b/>
          <w:bCs/>
          <w:color w:val="auto"/>
          <w:sz w:val="32"/>
          <w:szCs w:val="32"/>
          <w:lang w:val="en-US" w:eastAsia="zh-CN"/>
        </w:rPr>
        <w:t>另一方面，对商户市容秩序的法治宣传覆盖面不够广。</w:t>
      </w:r>
      <w:r>
        <w:rPr>
          <w:rFonts w:hint="default" w:ascii="仿宋_GB2312" w:hAnsi="仿宋_GB2312" w:eastAsia="仿宋_GB2312" w:cs="仿宋_GB2312"/>
          <w:b w:val="0"/>
          <w:bCs w:val="0"/>
          <w:color w:val="auto"/>
          <w:sz w:val="32"/>
          <w:szCs w:val="32"/>
          <w:lang w:val="en-US" w:eastAsia="zh-CN"/>
        </w:rPr>
        <w:t>在日常工作中，由于时间紧、任务重，常常会侧重于主要干道的管理，而忽视了次要干道商户的市容秩序问题。后续，我们将进一步加强法治宣传工作，加大巡查力度，合理分配执法资源，确保主次干道的市容秩序管理都能落实到位，实现全方位、无死角的管理覆盖，提升城市整体的市容市貌水平与法治秩序。</w:t>
      </w:r>
    </w:p>
    <w:sectPr>
      <w:footerReference r:id="rId3" w:type="default"/>
      <w:pgSz w:w="11906" w:h="16838"/>
      <w:pgMar w:top="1984" w:right="1587" w:bottom="1701" w:left="1587" w:header="851" w:footer="116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lMGEyMzY5NTFhMWMxZjAxZGZhNGNmNDlmMTU3ZjgifQ=="/>
  </w:docVars>
  <w:rsids>
    <w:rsidRoot w:val="00D96E0E"/>
    <w:rsid w:val="0001523F"/>
    <w:rsid w:val="00015F0C"/>
    <w:rsid w:val="0004641B"/>
    <w:rsid w:val="00186A5C"/>
    <w:rsid w:val="001A6BA8"/>
    <w:rsid w:val="001B0470"/>
    <w:rsid w:val="0023447C"/>
    <w:rsid w:val="00290501"/>
    <w:rsid w:val="002C7440"/>
    <w:rsid w:val="003641DB"/>
    <w:rsid w:val="003A2508"/>
    <w:rsid w:val="005104CC"/>
    <w:rsid w:val="00521C19"/>
    <w:rsid w:val="005B103A"/>
    <w:rsid w:val="005B17FB"/>
    <w:rsid w:val="0061766C"/>
    <w:rsid w:val="007F2DD2"/>
    <w:rsid w:val="0089435A"/>
    <w:rsid w:val="009E02F7"/>
    <w:rsid w:val="009E3E4B"/>
    <w:rsid w:val="00A53548"/>
    <w:rsid w:val="00C04D1B"/>
    <w:rsid w:val="00C10140"/>
    <w:rsid w:val="00CD67A1"/>
    <w:rsid w:val="00CE1312"/>
    <w:rsid w:val="00D96E0E"/>
    <w:rsid w:val="00EE7C9F"/>
    <w:rsid w:val="00F3090B"/>
    <w:rsid w:val="00FA3667"/>
    <w:rsid w:val="0121401F"/>
    <w:rsid w:val="01D27A88"/>
    <w:rsid w:val="01EB1D2D"/>
    <w:rsid w:val="02822443"/>
    <w:rsid w:val="02B942D1"/>
    <w:rsid w:val="02FF0F19"/>
    <w:rsid w:val="032015EE"/>
    <w:rsid w:val="037E25D7"/>
    <w:rsid w:val="03E021FC"/>
    <w:rsid w:val="03EE3E89"/>
    <w:rsid w:val="03F1638D"/>
    <w:rsid w:val="041A66C6"/>
    <w:rsid w:val="04C17856"/>
    <w:rsid w:val="04D25CEF"/>
    <w:rsid w:val="058F67F9"/>
    <w:rsid w:val="06335641"/>
    <w:rsid w:val="06856C96"/>
    <w:rsid w:val="068B7415"/>
    <w:rsid w:val="07873133"/>
    <w:rsid w:val="07C84D35"/>
    <w:rsid w:val="07D50C81"/>
    <w:rsid w:val="081A2C20"/>
    <w:rsid w:val="08F35573"/>
    <w:rsid w:val="09A96A5B"/>
    <w:rsid w:val="0A2B1552"/>
    <w:rsid w:val="0A4264AC"/>
    <w:rsid w:val="0BF0309C"/>
    <w:rsid w:val="0BF174A3"/>
    <w:rsid w:val="0C1E5395"/>
    <w:rsid w:val="0C3F5561"/>
    <w:rsid w:val="0CCB1C19"/>
    <w:rsid w:val="0D1A1E57"/>
    <w:rsid w:val="0DFD38A1"/>
    <w:rsid w:val="0E393071"/>
    <w:rsid w:val="0E580B20"/>
    <w:rsid w:val="0E994AAA"/>
    <w:rsid w:val="0EA652D6"/>
    <w:rsid w:val="0F905FA4"/>
    <w:rsid w:val="10181477"/>
    <w:rsid w:val="11466861"/>
    <w:rsid w:val="1166520A"/>
    <w:rsid w:val="11CA7FD6"/>
    <w:rsid w:val="12594D38"/>
    <w:rsid w:val="125F6C91"/>
    <w:rsid w:val="12724A89"/>
    <w:rsid w:val="130A156D"/>
    <w:rsid w:val="13B250F4"/>
    <w:rsid w:val="14733880"/>
    <w:rsid w:val="154532F3"/>
    <w:rsid w:val="156D5535"/>
    <w:rsid w:val="15D1271D"/>
    <w:rsid w:val="16303364"/>
    <w:rsid w:val="16BF6A9B"/>
    <w:rsid w:val="17001244"/>
    <w:rsid w:val="171102F5"/>
    <w:rsid w:val="17D561F0"/>
    <w:rsid w:val="180A5AE6"/>
    <w:rsid w:val="181C2CF4"/>
    <w:rsid w:val="18354622"/>
    <w:rsid w:val="196C0258"/>
    <w:rsid w:val="19FB46DA"/>
    <w:rsid w:val="1AC6544F"/>
    <w:rsid w:val="1AEB3038"/>
    <w:rsid w:val="1B744402"/>
    <w:rsid w:val="1C3F28E6"/>
    <w:rsid w:val="1C7F776F"/>
    <w:rsid w:val="1D654CF4"/>
    <w:rsid w:val="1E06716D"/>
    <w:rsid w:val="1E4D7663"/>
    <w:rsid w:val="1E5C229C"/>
    <w:rsid w:val="1EE90FB6"/>
    <w:rsid w:val="1F34472E"/>
    <w:rsid w:val="1FA35333"/>
    <w:rsid w:val="1FDF2C23"/>
    <w:rsid w:val="215E617C"/>
    <w:rsid w:val="21C75AF7"/>
    <w:rsid w:val="22197D3B"/>
    <w:rsid w:val="224D599D"/>
    <w:rsid w:val="226405EC"/>
    <w:rsid w:val="233653EE"/>
    <w:rsid w:val="23542AD1"/>
    <w:rsid w:val="235957F7"/>
    <w:rsid w:val="23B55B07"/>
    <w:rsid w:val="247D4792"/>
    <w:rsid w:val="24CF545C"/>
    <w:rsid w:val="267C2752"/>
    <w:rsid w:val="26EA238E"/>
    <w:rsid w:val="270D081A"/>
    <w:rsid w:val="273F4C8A"/>
    <w:rsid w:val="27853028"/>
    <w:rsid w:val="27A01D5C"/>
    <w:rsid w:val="27BD6A0B"/>
    <w:rsid w:val="280132CF"/>
    <w:rsid w:val="28017B0C"/>
    <w:rsid w:val="280C5CF6"/>
    <w:rsid w:val="282A3E33"/>
    <w:rsid w:val="28D64B15"/>
    <w:rsid w:val="29044DBE"/>
    <w:rsid w:val="291E4D2F"/>
    <w:rsid w:val="29644ED4"/>
    <w:rsid w:val="29B048AC"/>
    <w:rsid w:val="2A2469CE"/>
    <w:rsid w:val="2AEC7E66"/>
    <w:rsid w:val="2B882AB0"/>
    <w:rsid w:val="2BB91230"/>
    <w:rsid w:val="2BEF75E2"/>
    <w:rsid w:val="2BF13E21"/>
    <w:rsid w:val="2C481AF6"/>
    <w:rsid w:val="2C4C5012"/>
    <w:rsid w:val="2D221293"/>
    <w:rsid w:val="2D2C617D"/>
    <w:rsid w:val="2E223713"/>
    <w:rsid w:val="2E58526F"/>
    <w:rsid w:val="2E7F2EED"/>
    <w:rsid w:val="2F627889"/>
    <w:rsid w:val="300914DE"/>
    <w:rsid w:val="302A57D5"/>
    <w:rsid w:val="30EC0646"/>
    <w:rsid w:val="3216130A"/>
    <w:rsid w:val="323C411A"/>
    <w:rsid w:val="32812BD3"/>
    <w:rsid w:val="33E47315"/>
    <w:rsid w:val="353B6854"/>
    <w:rsid w:val="367619A5"/>
    <w:rsid w:val="368C2DB0"/>
    <w:rsid w:val="36D37190"/>
    <w:rsid w:val="371F54E2"/>
    <w:rsid w:val="37E67CEE"/>
    <w:rsid w:val="37F8731A"/>
    <w:rsid w:val="385652AA"/>
    <w:rsid w:val="39092D7F"/>
    <w:rsid w:val="391F0AB0"/>
    <w:rsid w:val="3950174B"/>
    <w:rsid w:val="3AAD4A15"/>
    <w:rsid w:val="3B176DDF"/>
    <w:rsid w:val="3BD064F7"/>
    <w:rsid w:val="3BD35737"/>
    <w:rsid w:val="3BD45869"/>
    <w:rsid w:val="3C69673C"/>
    <w:rsid w:val="3C744183"/>
    <w:rsid w:val="3EBD484C"/>
    <w:rsid w:val="3F71221E"/>
    <w:rsid w:val="3F8A0978"/>
    <w:rsid w:val="3F914AEC"/>
    <w:rsid w:val="3FB85436"/>
    <w:rsid w:val="401926DF"/>
    <w:rsid w:val="40473A62"/>
    <w:rsid w:val="407600ED"/>
    <w:rsid w:val="40A316D5"/>
    <w:rsid w:val="40D16E67"/>
    <w:rsid w:val="40DD4BC4"/>
    <w:rsid w:val="42602A72"/>
    <w:rsid w:val="42667198"/>
    <w:rsid w:val="42D224D4"/>
    <w:rsid w:val="432B7777"/>
    <w:rsid w:val="442649D8"/>
    <w:rsid w:val="44265B45"/>
    <w:rsid w:val="447A2748"/>
    <w:rsid w:val="44B10FF9"/>
    <w:rsid w:val="4506001C"/>
    <w:rsid w:val="45321187"/>
    <w:rsid w:val="454B4C65"/>
    <w:rsid w:val="458A3676"/>
    <w:rsid w:val="45987E37"/>
    <w:rsid w:val="46A36570"/>
    <w:rsid w:val="470A64A9"/>
    <w:rsid w:val="478C0AD5"/>
    <w:rsid w:val="47CE4361"/>
    <w:rsid w:val="47DD6FA4"/>
    <w:rsid w:val="483E012B"/>
    <w:rsid w:val="48CC0D9A"/>
    <w:rsid w:val="4ACA5D40"/>
    <w:rsid w:val="4B4A5BC5"/>
    <w:rsid w:val="4CFD0E2A"/>
    <w:rsid w:val="4D283CA5"/>
    <w:rsid w:val="4D3E7BDC"/>
    <w:rsid w:val="4D4435A6"/>
    <w:rsid w:val="4DBD4518"/>
    <w:rsid w:val="4E182190"/>
    <w:rsid w:val="4E5F2AB6"/>
    <w:rsid w:val="4EB94BCA"/>
    <w:rsid w:val="4F5C389B"/>
    <w:rsid w:val="4FB9249B"/>
    <w:rsid w:val="503A7084"/>
    <w:rsid w:val="514F2EC6"/>
    <w:rsid w:val="518E5EA7"/>
    <w:rsid w:val="51BB5647"/>
    <w:rsid w:val="51E36A14"/>
    <w:rsid w:val="521D47F5"/>
    <w:rsid w:val="527F3D7A"/>
    <w:rsid w:val="538F34B1"/>
    <w:rsid w:val="53BB74B4"/>
    <w:rsid w:val="53C855A8"/>
    <w:rsid w:val="53D5071C"/>
    <w:rsid w:val="54204A15"/>
    <w:rsid w:val="5459636F"/>
    <w:rsid w:val="54973082"/>
    <w:rsid w:val="54B62DEB"/>
    <w:rsid w:val="55044C30"/>
    <w:rsid w:val="55115F01"/>
    <w:rsid w:val="560F1F22"/>
    <w:rsid w:val="5616469D"/>
    <w:rsid w:val="565D12AB"/>
    <w:rsid w:val="56DB3F7C"/>
    <w:rsid w:val="570935B2"/>
    <w:rsid w:val="577E6D98"/>
    <w:rsid w:val="57A411D6"/>
    <w:rsid w:val="57C46B8E"/>
    <w:rsid w:val="57D93C6A"/>
    <w:rsid w:val="57FB5406"/>
    <w:rsid w:val="58A43AD7"/>
    <w:rsid w:val="58E64BFA"/>
    <w:rsid w:val="593F0BB5"/>
    <w:rsid w:val="5987490C"/>
    <w:rsid w:val="59AD2B9C"/>
    <w:rsid w:val="59B3745B"/>
    <w:rsid w:val="59E81790"/>
    <w:rsid w:val="59F20101"/>
    <w:rsid w:val="5AAF617A"/>
    <w:rsid w:val="5B45337F"/>
    <w:rsid w:val="5B4F3CCC"/>
    <w:rsid w:val="5B9930FD"/>
    <w:rsid w:val="5BFC6AB0"/>
    <w:rsid w:val="5C8C6087"/>
    <w:rsid w:val="5E592D97"/>
    <w:rsid w:val="5E5F0EED"/>
    <w:rsid w:val="5E860865"/>
    <w:rsid w:val="5E940D4D"/>
    <w:rsid w:val="5ED801A9"/>
    <w:rsid w:val="5FC775F9"/>
    <w:rsid w:val="5FF12B52"/>
    <w:rsid w:val="5FFB3BBE"/>
    <w:rsid w:val="615146A6"/>
    <w:rsid w:val="615A3D26"/>
    <w:rsid w:val="63B65ABE"/>
    <w:rsid w:val="63DF4869"/>
    <w:rsid w:val="65334E90"/>
    <w:rsid w:val="65601FAF"/>
    <w:rsid w:val="658B4549"/>
    <w:rsid w:val="6590786B"/>
    <w:rsid w:val="65D63401"/>
    <w:rsid w:val="66605892"/>
    <w:rsid w:val="6787593A"/>
    <w:rsid w:val="681E45D2"/>
    <w:rsid w:val="6866074B"/>
    <w:rsid w:val="68795512"/>
    <w:rsid w:val="690D16FA"/>
    <w:rsid w:val="690F6873"/>
    <w:rsid w:val="69737930"/>
    <w:rsid w:val="6A6F1D89"/>
    <w:rsid w:val="6B5B19AA"/>
    <w:rsid w:val="6BA70ECC"/>
    <w:rsid w:val="6C1F346E"/>
    <w:rsid w:val="6CE91A7A"/>
    <w:rsid w:val="6EBE4BDE"/>
    <w:rsid w:val="6EFB57C8"/>
    <w:rsid w:val="6F393E4E"/>
    <w:rsid w:val="6F6D3F6D"/>
    <w:rsid w:val="706E7C39"/>
    <w:rsid w:val="707B51F9"/>
    <w:rsid w:val="70DC1224"/>
    <w:rsid w:val="70DE42D4"/>
    <w:rsid w:val="71AF5967"/>
    <w:rsid w:val="727913ED"/>
    <w:rsid w:val="72AC612D"/>
    <w:rsid w:val="732D3ECA"/>
    <w:rsid w:val="739C79AD"/>
    <w:rsid w:val="742061E3"/>
    <w:rsid w:val="74396F5C"/>
    <w:rsid w:val="74AF28D0"/>
    <w:rsid w:val="74B47186"/>
    <w:rsid w:val="75E27C7A"/>
    <w:rsid w:val="76F97AB0"/>
    <w:rsid w:val="76FD286B"/>
    <w:rsid w:val="781D643C"/>
    <w:rsid w:val="78512260"/>
    <w:rsid w:val="78593BBF"/>
    <w:rsid w:val="78E10AAA"/>
    <w:rsid w:val="7923116D"/>
    <w:rsid w:val="79F41BAA"/>
    <w:rsid w:val="7A2414DC"/>
    <w:rsid w:val="7A4B136C"/>
    <w:rsid w:val="7A9B5A17"/>
    <w:rsid w:val="7ABD1D11"/>
    <w:rsid w:val="7AEA33BE"/>
    <w:rsid w:val="7AF971ED"/>
    <w:rsid w:val="7C2E38AF"/>
    <w:rsid w:val="7C79219B"/>
    <w:rsid w:val="7C7F13C4"/>
    <w:rsid w:val="7D04761F"/>
    <w:rsid w:val="7D32377F"/>
    <w:rsid w:val="7D45548D"/>
    <w:rsid w:val="7D9D4BCC"/>
    <w:rsid w:val="7E542A4A"/>
    <w:rsid w:val="7E62394D"/>
    <w:rsid w:val="7EF95DEA"/>
    <w:rsid w:val="7F164439"/>
    <w:rsid w:val="7F6C560C"/>
    <w:rsid w:val="7FDA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widowControl/>
      <w:spacing w:before="100" w:beforeAutospacing="1" w:after="100" w:afterAutospacing="1"/>
      <w:jc w:val="left"/>
      <w:outlineLvl w:val="0"/>
    </w:pPr>
    <w:rPr>
      <w:rFonts w:ascii="宋体" w:hAnsi="宋体" w:cs="宋体"/>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正文文本 + 首行缩进:  2 字符"/>
    <w:basedOn w:val="3"/>
    <w:next w:val="4"/>
    <w:qFormat/>
    <w:uiPriority w:val="0"/>
    <w:pPr>
      <w:spacing w:line="360" w:lineRule="auto"/>
      <w:ind w:firstLine="560" w:firstLineChars="200"/>
    </w:pPr>
    <w:rPr>
      <w:szCs w:val="28"/>
    </w:rPr>
  </w:style>
  <w:style w:type="paragraph" w:styleId="3">
    <w:name w:val="Body Text"/>
    <w:basedOn w:val="1"/>
    <w:qFormat/>
    <w:uiPriority w:val="0"/>
    <w:rPr>
      <w:rFonts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6">
    <w:name w:val="Body Text Indent"/>
    <w:basedOn w:val="1"/>
    <w:qFormat/>
    <w:uiPriority w:val="0"/>
    <w:pPr>
      <w:ind w:firstLine="627" w:firstLineChars="196"/>
    </w:pPr>
    <w:rPr>
      <w:rFonts w:eastAsia="仿宋_GB2312"/>
      <w:sz w:val="32"/>
      <w:szCs w:val="20"/>
    </w:rPr>
  </w:style>
  <w:style w:type="paragraph" w:styleId="7">
    <w:name w:val="Date"/>
    <w:basedOn w:val="1"/>
    <w:next w:val="1"/>
    <w:link w:val="16"/>
    <w:qFormat/>
    <w:uiPriority w:val="0"/>
    <w:pPr>
      <w:ind w:left="100" w:leftChars="25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9"/>
    <w:basedOn w:val="1"/>
    <w:next w:val="1"/>
    <w:unhideWhenUsed/>
    <w:qFormat/>
    <w:uiPriority w:val="39"/>
    <w:pPr>
      <w:ind w:left="3360" w:leftChars="1600"/>
    </w:p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2"/>
    <w:basedOn w:val="6"/>
    <w:qFormat/>
    <w:uiPriority w:val="0"/>
    <w:pPr>
      <w:ind w:firstLine="420" w:firstLineChars="200"/>
    </w:pPr>
  </w:style>
  <w:style w:type="paragraph" w:styleId="14">
    <w:name w:val="List Paragraph"/>
    <w:basedOn w:val="1"/>
    <w:qFormat/>
    <w:uiPriority w:val="34"/>
    <w:pPr>
      <w:ind w:firstLine="420" w:firstLineChars="200"/>
    </w:pPr>
  </w:style>
  <w:style w:type="paragraph" w:customStyle="1" w:styleId="15">
    <w:name w:val="Default"/>
    <w:basedOn w:val="1"/>
    <w:semiHidden/>
    <w:qFormat/>
    <w:uiPriority w:val="0"/>
    <w:pPr>
      <w:autoSpaceDE w:val="0"/>
      <w:autoSpaceDN w:val="0"/>
      <w:adjustRightInd w:val="0"/>
      <w:jc w:val="left"/>
    </w:pPr>
    <w:rPr>
      <w:rFonts w:ascii="方正仿宋_GBK" w:hAnsi="方正仿宋_GBK" w:cs="宋体"/>
      <w:color w:val="000000"/>
      <w:kern w:val="0"/>
      <w:sz w:val="24"/>
    </w:rPr>
  </w:style>
  <w:style w:type="character" w:customStyle="1" w:styleId="16">
    <w:name w:val="日期 Char"/>
    <w:basedOn w:val="13"/>
    <w:link w:val="7"/>
    <w:qFormat/>
    <w:uiPriority w:val="0"/>
    <w:rPr>
      <w:rFonts w:ascii="Calibri" w:hAnsi="Calibri"/>
      <w:kern w:val="2"/>
      <w:sz w:val="21"/>
      <w:szCs w:val="24"/>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3263</Words>
  <Characters>3309</Characters>
  <Lines>82</Lines>
  <Paragraphs>23</Paragraphs>
  <TotalTime>15</TotalTime>
  <ScaleCrop>false</ScaleCrop>
  <LinksUpToDate>false</LinksUpToDate>
  <CharactersWithSpaces>3311</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2021-10-14T06:16:00Z</dcterms:created>
  <dc:creator>Administrator</dc:creator>
  <cp:lastModifiedBy>Administrator</cp:lastModifiedBy>
  <cp:lastPrinted>2024-01-03T02:03:00Z</cp:lastPrinted>
  <dcterms:modified xsi:type="dcterms:W3CDTF">2025-01-14T10:42:21Z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D2BCBEA5A81A4AFF896EE026628F66E7</vt:lpwstr>
  </property>
</Properties>
</file>