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324秦皇岛市北戴河区自然资源和规划局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953.75</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100.30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50.19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760.61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42.65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953.75</w:t>
            </w:r>
          </w:p>
        </w:tc>
        <w:tc>
          <w:tcPr>
            <w:tcW w:w="4535" w:type="dxa"/>
            <w:vAlign w:val="center"/>
          </w:tcPr>
          <w:p>
            <w:pPr>
              <w:pStyle w:val="15"/>
            </w:pPr>
            <w:r>
              <w:t>本年支出合计</w:t>
            </w:r>
          </w:p>
        </w:tc>
        <w:tc>
          <w:tcPr>
            <w:tcW w:w="2126" w:type="dxa"/>
            <w:vAlign w:val="center"/>
          </w:tcPr>
          <w:p>
            <w:pPr>
              <w:pStyle w:val="16"/>
            </w:pPr>
            <w:r>
              <w:t>953.75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953.75</w:t>
            </w:r>
          </w:p>
        </w:tc>
        <w:tc>
          <w:tcPr>
            <w:tcW w:w="4535" w:type="dxa"/>
            <w:vAlign w:val="center"/>
          </w:tcPr>
          <w:p>
            <w:pPr>
              <w:pStyle w:val="15"/>
            </w:pPr>
            <w:r>
              <w:t>支出总计</w:t>
            </w:r>
          </w:p>
        </w:tc>
        <w:tc>
          <w:tcPr>
            <w:tcW w:w="2126" w:type="dxa"/>
            <w:vAlign w:val="center"/>
          </w:tcPr>
          <w:p>
            <w:pPr>
              <w:pStyle w:val="16"/>
            </w:pPr>
            <w:r>
              <w:t>953.75</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324秦皇岛市北戴河区自然资源和规划局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953.75</w:t>
            </w:r>
          </w:p>
        </w:tc>
        <w:tc>
          <w:tcPr>
            <w:tcW w:w="1134" w:type="dxa"/>
            <w:vAlign w:val="center"/>
          </w:tcPr>
          <w:p>
            <w:pPr>
              <w:pStyle w:val="16"/>
            </w:pPr>
            <w:r>
              <w:t>953.75</w:t>
            </w:r>
          </w:p>
        </w:tc>
        <w:tc>
          <w:tcPr>
            <w:tcW w:w="1134" w:type="dxa"/>
            <w:vAlign w:val="center"/>
          </w:tcPr>
          <w:p>
            <w:pPr>
              <w:pStyle w:val="16"/>
            </w:pPr>
            <w:r>
              <w:t>953.75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100.30</w:t>
            </w:r>
          </w:p>
        </w:tc>
        <w:tc>
          <w:tcPr>
            <w:tcW w:w="1134" w:type="dxa"/>
            <w:vAlign w:val="center"/>
          </w:tcPr>
          <w:p>
            <w:pPr>
              <w:pStyle w:val="12"/>
            </w:pPr>
            <w:r>
              <w:t>100.30</w:t>
            </w:r>
          </w:p>
        </w:tc>
        <w:tc>
          <w:tcPr>
            <w:tcW w:w="1134" w:type="dxa"/>
            <w:vAlign w:val="center"/>
          </w:tcPr>
          <w:p>
            <w:pPr>
              <w:pStyle w:val="12"/>
            </w:pPr>
            <w:r>
              <w:t>100.30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98.77</w:t>
            </w:r>
          </w:p>
        </w:tc>
        <w:tc>
          <w:tcPr>
            <w:tcW w:w="1134" w:type="dxa"/>
            <w:vAlign w:val="center"/>
          </w:tcPr>
          <w:p>
            <w:pPr>
              <w:pStyle w:val="12"/>
            </w:pPr>
            <w:r>
              <w:t>98.77</w:t>
            </w:r>
          </w:p>
        </w:tc>
        <w:tc>
          <w:tcPr>
            <w:tcW w:w="1134" w:type="dxa"/>
            <w:vAlign w:val="center"/>
          </w:tcPr>
          <w:p>
            <w:pPr>
              <w:pStyle w:val="12"/>
            </w:pPr>
            <w:r>
              <w:t>98.77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37.65</w:t>
            </w:r>
          </w:p>
        </w:tc>
        <w:tc>
          <w:tcPr>
            <w:tcW w:w="1134" w:type="dxa"/>
            <w:vAlign w:val="center"/>
          </w:tcPr>
          <w:p>
            <w:pPr>
              <w:pStyle w:val="12"/>
            </w:pPr>
            <w:r>
              <w:t>37.65</w:t>
            </w:r>
          </w:p>
        </w:tc>
        <w:tc>
          <w:tcPr>
            <w:tcW w:w="1134" w:type="dxa"/>
            <w:vAlign w:val="center"/>
          </w:tcPr>
          <w:p>
            <w:pPr>
              <w:pStyle w:val="12"/>
            </w:pPr>
            <w:r>
              <w:t>37.65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53.12</w:t>
            </w:r>
          </w:p>
        </w:tc>
        <w:tc>
          <w:tcPr>
            <w:tcW w:w="1134" w:type="dxa"/>
            <w:vAlign w:val="center"/>
          </w:tcPr>
          <w:p>
            <w:pPr>
              <w:pStyle w:val="12"/>
            </w:pPr>
            <w:r>
              <w:t>53.12</w:t>
            </w:r>
          </w:p>
        </w:tc>
        <w:tc>
          <w:tcPr>
            <w:tcW w:w="1134" w:type="dxa"/>
            <w:vAlign w:val="center"/>
          </w:tcPr>
          <w:p>
            <w:pPr>
              <w:pStyle w:val="12"/>
            </w:pPr>
            <w:r>
              <w:t>53.12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1.53</w:t>
            </w:r>
          </w:p>
        </w:tc>
        <w:tc>
          <w:tcPr>
            <w:tcW w:w="1134" w:type="dxa"/>
            <w:vAlign w:val="center"/>
          </w:tcPr>
          <w:p>
            <w:pPr>
              <w:pStyle w:val="12"/>
            </w:pPr>
            <w:r>
              <w:t>1.53</w:t>
            </w:r>
          </w:p>
        </w:tc>
        <w:tc>
          <w:tcPr>
            <w:tcW w:w="1134" w:type="dxa"/>
            <w:vAlign w:val="center"/>
          </w:tcPr>
          <w:p>
            <w:pPr>
              <w:pStyle w:val="12"/>
            </w:pPr>
            <w:r>
              <w:t>1.53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1.53</w:t>
            </w:r>
          </w:p>
        </w:tc>
        <w:tc>
          <w:tcPr>
            <w:tcW w:w="1134" w:type="dxa"/>
            <w:vAlign w:val="center"/>
          </w:tcPr>
          <w:p>
            <w:pPr>
              <w:pStyle w:val="12"/>
            </w:pPr>
            <w:r>
              <w:t>1.53</w:t>
            </w:r>
          </w:p>
        </w:tc>
        <w:tc>
          <w:tcPr>
            <w:tcW w:w="1134" w:type="dxa"/>
            <w:vAlign w:val="center"/>
          </w:tcPr>
          <w:p>
            <w:pPr>
              <w:pStyle w:val="12"/>
            </w:pPr>
            <w:r>
              <w:t>1.53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50.19</w:t>
            </w:r>
          </w:p>
        </w:tc>
        <w:tc>
          <w:tcPr>
            <w:tcW w:w="1134" w:type="dxa"/>
            <w:vAlign w:val="center"/>
          </w:tcPr>
          <w:p>
            <w:pPr>
              <w:pStyle w:val="12"/>
            </w:pPr>
            <w:r>
              <w:t>50.19</w:t>
            </w:r>
          </w:p>
        </w:tc>
        <w:tc>
          <w:tcPr>
            <w:tcW w:w="1134" w:type="dxa"/>
            <w:vAlign w:val="center"/>
          </w:tcPr>
          <w:p>
            <w:pPr>
              <w:pStyle w:val="12"/>
            </w:pPr>
            <w:r>
              <w:t>50.19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50.19</w:t>
            </w:r>
          </w:p>
        </w:tc>
        <w:tc>
          <w:tcPr>
            <w:tcW w:w="1134" w:type="dxa"/>
            <w:vAlign w:val="center"/>
          </w:tcPr>
          <w:p>
            <w:pPr>
              <w:pStyle w:val="12"/>
            </w:pPr>
            <w:r>
              <w:t>50.19</w:t>
            </w:r>
          </w:p>
        </w:tc>
        <w:tc>
          <w:tcPr>
            <w:tcW w:w="1134" w:type="dxa"/>
            <w:vAlign w:val="center"/>
          </w:tcPr>
          <w:p>
            <w:pPr>
              <w:pStyle w:val="12"/>
            </w:pPr>
            <w:r>
              <w:t>50.19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20.60</w:t>
            </w:r>
          </w:p>
        </w:tc>
        <w:tc>
          <w:tcPr>
            <w:tcW w:w="1134" w:type="dxa"/>
            <w:vAlign w:val="center"/>
          </w:tcPr>
          <w:p>
            <w:pPr>
              <w:pStyle w:val="12"/>
            </w:pPr>
            <w:r>
              <w:t>20.60</w:t>
            </w:r>
          </w:p>
        </w:tc>
        <w:tc>
          <w:tcPr>
            <w:tcW w:w="1134" w:type="dxa"/>
            <w:vAlign w:val="center"/>
          </w:tcPr>
          <w:p>
            <w:pPr>
              <w:pStyle w:val="12"/>
            </w:pPr>
            <w:r>
              <w:t>20.60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2101103</w:t>
            </w:r>
          </w:p>
        </w:tc>
        <w:tc>
          <w:tcPr>
            <w:tcW w:w="1559" w:type="dxa"/>
            <w:vAlign w:val="center"/>
          </w:tcPr>
          <w:p>
            <w:pPr>
              <w:pStyle w:val="13"/>
            </w:pPr>
            <w:r>
              <w:t>公务员医疗补助</w:t>
            </w:r>
          </w:p>
        </w:tc>
        <w:tc>
          <w:tcPr>
            <w:tcW w:w="1134" w:type="dxa"/>
            <w:vAlign w:val="center"/>
          </w:tcPr>
          <w:p>
            <w:pPr>
              <w:pStyle w:val="12"/>
            </w:pPr>
            <w:r>
              <w:t>29.59</w:t>
            </w:r>
          </w:p>
        </w:tc>
        <w:tc>
          <w:tcPr>
            <w:tcW w:w="1134" w:type="dxa"/>
            <w:vAlign w:val="center"/>
          </w:tcPr>
          <w:p>
            <w:pPr>
              <w:pStyle w:val="12"/>
            </w:pPr>
            <w:r>
              <w:t>29.59</w:t>
            </w:r>
          </w:p>
        </w:tc>
        <w:tc>
          <w:tcPr>
            <w:tcW w:w="1134" w:type="dxa"/>
            <w:vAlign w:val="center"/>
          </w:tcPr>
          <w:p>
            <w:pPr>
              <w:pStyle w:val="12"/>
            </w:pPr>
            <w:r>
              <w:t>29.59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760.61</w:t>
            </w:r>
          </w:p>
        </w:tc>
        <w:tc>
          <w:tcPr>
            <w:tcW w:w="1134" w:type="dxa"/>
            <w:vAlign w:val="center"/>
          </w:tcPr>
          <w:p>
            <w:pPr>
              <w:pStyle w:val="12"/>
            </w:pPr>
            <w:r>
              <w:t>760.61</w:t>
            </w:r>
          </w:p>
        </w:tc>
        <w:tc>
          <w:tcPr>
            <w:tcW w:w="1134" w:type="dxa"/>
            <w:vAlign w:val="center"/>
          </w:tcPr>
          <w:p>
            <w:pPr>
              <w:pStyle w:val="12"/>
            </w:pPr>
            <w:r>
              <w:t>760.61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760.61</w:t>
            </w:r>
          </w:p>
        </w:tc>
        <w:tc>
          <w:tcPr>
            <w:tcW w:w="1134" w:type="dxa"/>
            <w:vAlign w:val="center"/>
          </w:tcPr>
          <w:p>
            <w:pPr>
              <w:pStyle w:val="12"/>
            </w:pPr>
            <w:r>
              <w:t>760.61</w:t>
            </w:r>
          </w:p>
        </w:tc>
        <w:tc>
          <w:tcPr>
            <w:tcW w:w="1134" w:type="dxa"/>
            <w:vAlign w:val="center"/>
          </w:tcPr>
          <w:p>
            <w:pPr>
              <w:pStyle w:val="12"/>
            </w:pPr>
            <w:r>
              <w:t>760.61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2200101</w:t>
            </w:r>
          </w:p>
        </w:tc>
        <w:tc>
          <w:tcPr>
            <w:tcW w:w="1559" w:type="dxa"/>
            <w:vAlign w:val="center"/>
          </w:tcPr>
          <w:p>
            <w:pPr>
              <w:pStyle w:val="13"/>
            </w:pPr>
            <w:r>
              <w:t>行政运行</w:t>
            </w:r>
          </w:p>
        </w:tc>
        <w:tc>
          <w:tcPr>
            <w:tcW w:w="1134" w:type="dxa"/>
            <w:vAlign w:val="center"/>
          </w:tcPr>
          <w:p>
            <w:pPr>
              <w:pStyle w:val="12"/>
            </w:pPr>
            <w:r>
              <w:t>476.45</w:t>
            </w:r>
          </w:p>
        </w:tc>
        <w:tc>
          <w:tcPr>
            <w:tcW w:w="1134" w:type="dxa"/>
            <w:vAlign w:val="center"/>
          </w:tcPr>
          <w:p>
            <w:pPr>
              <w:pStyle w:val="12"/>
            </w:pPr>
            <w:r>
              <w:t>476.45</w:t>
            </w:r>
          </w:p>
        </w:tc>
        <w:tc>
          <w:tcPr>
            <w:tcW w:w="1134" w:type="dxa"/>
            <w:vAlign w:val="center"/>
          </w:tcPr>
          <w:p>
            <w:pPr>
              <w:pStyle w:val="12"/>
            </w:pPr>
            <w:r>
              <w:t>476.45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2200104</w:t>
            </w:r>
          </w:p>
        </w:tc>
        <w:tc>
          <w:tcPr>
            <w:tcW w:w="1559" w:type="dxa"/>
            <w:vAlign w:val="center"/>
          </w:tcPr>
          <w:p>
            <w:pPr>
              <w:pStyle w:val="13"/>
            </w:pPr>
            <w:r>
              <w:t>自然资源规划及管理</w:t>
            </w:r>
          </w:p>
        </w:tc>
        <w:tc>
          <w:tcPr>
            <w:tcW w:w="1134" w:type="dxa"/>
            <w:vAlign w:val="center"/>
          </w:tcPr>
          <w:p>
            <w:pPr>
              <w:pStyle w:val="12"/>
            </w:pPr>
            <w:r>
              <w:t>284.16</w:t>
            </w:r>
          </w:p>
        </w:tc>
        <w:tc>
          <w:tcPr>
            <w:tcW w:w="1134" w:type="dxa"/>
            <w:vAlign w:val="center"/>
          </w:tcPr>
          <w:p>
            <w:pPr>
              <w:pStyle w:val="12"/>
            </w:pPr>
            <w:r>
              <w:t>284.16</w:t>
            </w:r>
          </w:p>
        </w:tc>
        <w:tc>
          <w:tcPr>
            <w:tcW w:w="1134" w:type="dxa"/>
            <w:vAlign w:val="center"/>
          </w:tcPr>
          <w:p>
            <w:pPr>
              <w:pStyle w:val="12"/>
            </w:pPr>
            <w:r>
              <w:t>284.16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42.65</w:t>
            </w:r>
          </w:p>
        </w:tc>
        <w:tc>
          <w:tcPr>
            <w:tcW w:w="1134" w:type="dxa"/>
            <w:vAlign w:val="center"/>
          </w:tcPr>
          <w:p>
            <w:pPr>
              <w:pStyle w:val="12"/>
            </w:pPr>
            <w:r>
              <w:t>42.65</w:t>
            </w:r>
          </w:p>
        </w:tc>
        <w:tc>
          <w:tcPr>
            <w:tcW w:w="1134" w:type="dxa"/>
            <w:vAlign w:val="center"/>
          </w:tcPr>
          <w:p>
            <w:pPr>
              <w:pStyle w:val="12"/>
            </w:pPr>
            <w:r>
              <w:t>42.65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42.65</w:t>
            </w:r>
          </w:p>
        </w:tc>
        <w:tc>
          <w:tcPr>
            <w:tcW w:w="1134" w:type="dxa"/>
            <w:vAlign w:val="center"/>
          </w:tcPr>
          <w:p>
            <w:pPr>
              <w:pStyle w:val="12"/>
            </w:pPr>
            <w:r>
              <w:t>42.65</w:t>
            </w:r>
          </w:p>
        </w:tc>
        <w:tc>
          <w:tcPr>
            <w:tcW w:w="1134" w:type="dxa"/>
            <w:vAlign w:val="center"/>
          </w:tcPr>
          <w:p>
            <w:pPr>
              <w:pStyle w:val="12"/>
            </w:pPr>
            <w:r>
              <w:t>42.65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42.65</w:t>
            </w:r>
          </w:p>
        </w:tc>
        <w:tc>
          <w:tcPr>
            <w:tcW w:w="1134" w:type="dxa"/>
            <w:vAlign w:val="center"/>
          </w:tcPr>
          <w:p>
            <w:pPr>
              <w:pStyle w:val="12"/>
            </w:pPr>
            <w:r>
              <w:t>42.65</w:t>
            </w:r>
          </w:p>
        </w:tc>
        <w:tc>
          <w:tcPr>
            <w:tcW w:w="1134" w:type="dxa"/>
            <w:vAlign w:val="center"/>
          </w:tcPr>
          <w:p>
            <w:pPr>
              <w:pStyle w:val="12"/>
            </w:pPr>
            <w:r>
              <w:t>42.65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324秦皇岛市北戴河区自然资源和规划局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953.75</w:t>
            </w:r>
          </w:p>
        </w:tc>
        <w:tc>
          <w:tcPr>
            <w:tcW w:w="1361" w:type="dxa"/>
            <w:vAlign w:val="center"/>
          </w:tcPr>
          <w:p>
            <w:pPr>
              <w:pStyle w:val="16"/>
            </w:pPr>
            <w:r>
              <w:t>669.59</w:t>
            </w:r>
          </w:p>
        </w:tc>
        <w:tc>
          <w:tcPr>
            <w:tcW w:w="1361" w:type="dxa"/>
            <w:vAlign w:val="center"/>
          </w:tcPr>
          <w:p>
            <w:pPr>
              <w:pStyle w:val="16"/>
            </w:pPr>
            <w:r>
              <w:t>284.16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100.30</w:t>
            </w:r>
          </w:p>
        </w:tc>
        <w:tc>
          <w:tcPr>
            <w:tcW w:w="1361" w:type="dxa"/>
            <w:vAlign w:val="center"/>
          </w:tcPr>
          <w:p>
            <w:pPr>
              <w:pStyle w:val="12"/>
            </w:pPr>
            <w:r>
              <w:t>100.30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98.77</w:t>
            </w:r>
          </w:p>
        </w:tc>
        <w:tc>
          <w:tcPr>
            <w:tcW w:w="1361" w:type="dxa"/>
            <w:vAlign w:val="center"/>
          </w:tcPr>
          <w:p>
            <w:pPr>
              <w:pStyle w:val="12"/>
            </w:pPr>
            <w:r>
              <w:t>98.77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37.65</w:t>
            </w:r>
          </w:p>
        </w:tc>
        <w:tc>
          <w:tcPr>
            <w:tcW w:w="1361" w:type="dxa"/>
            <w:vAlign w:val="center"/>
          </w:tcPr>
          <w:p>
            <w:pPr>
              <w:pStyle w:val="12"/>
            </w:pPr>
            <w:r>
              <w:t>37.65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53.12</w:t>
            </w:r>
          </w:p>
        </w:tc>
        <w:tc>
          <w:tcPr>
            <w:tcW w:w="1361" w:type="dxa"/>
            <w:vAlign w:val="center"/>
          </w:tcPr>
          <w:p>
            <w:pPr>
              <w:pStyle w:val="12"/>
            </w:pPr>
            <w:r>
              <w:t>53.12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8.00</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1.53</w:t>
            </w:r>
          </w:p>
        </w:tc>
        <w:tc>
          <w:tcPr>
            <w:tcW w:w="1361" w:type="dxa"/>
            <w:vAlign w:val="center"/>
          </w:tcPr>
          <w:p>
            <w:pPr>
              <w:pStyle w:val="12"/>
            </w:pPr>
            <w:r>
              <w:t>1.53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1.53</w:t>
            </w:r>
          </w:p>
        </w:tc>
        <w:tc>
          <w:tcPr>
            <w:tcW w:w="1361" w:type="dxa"/>
            <w:vAlign w:val="center"/>
          </w:tcPr>
          <w:p>
            <w:pPr>
              <w:pStyle w:val="12"/>
            </w:pPr>
            <w:r>
              <w:t>1.53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50.19</w:t>
            </w:r>
          </w:p>
        </w:tc>
        <w:tc>
          <w:tcPr>
            <w:tcW w:w="1361" w:type="dxa"/>
            <w:vAlign w:val="center"/>
          </w:tcPr>
          <w:p>
            <w:pPr>
              <w:pStyle w:val="12"/>
            </w:pPr>
            <w:r>
              <w:t>50.19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50.19</w:t>
            </w:r>
          </w:p>
        </w:tc>
        <w:tc>
          <w:tcPr>
            <w:tcW w:w="1361" w:type="dxa"/>
            <w:vAlign w:val="center"/>
          </w:tcPr>
          <w:p>
            <w:pPr>
              <w:pStyle w:val="12"/>
            </w:pPr>
            <w:r>
              <w:t>50.19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20.60</w:t>
            </w:r>
          </w:p>
        </w:tc>
        <w:tc>
          <w:tcPr>
            <w:tcW w:w="1361" w:type="dxa"/>
            <w:vAlign w:val="center"/>
          </w:tcPr>
          <w:p>
            <w:pPr>
              <w:pStyle w:val="12"/>
            </w:pPr>
            <w:r>
              <w:t>20.60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2101103</w:t>
            </w:r>
          </w:p>
        </w:tc>
        <w:tc>
          <w:tcPr>
            <w:tcW w:w="4535" w:type="dxa"/>
            <w:vAlign w:val="center"/>
          </w:tcPr>
          <w:p>
            <w:pPr>
              <w:pStyle w:val="13"/>
            </w:pPr>
            <w:r>
              <w:t>公务员医疗补助</w:t>
            </w:r>
          </w:p>
        </w:tc>
        <w:tc>
          <w:tcPr>
            <w:tcW w:w="1361" w:type="dxa"/>
            <w:vAlign w:val="center"/>
          </w:tcPr>
          <w:p>
            <w:pPr>
              <w:pStyle w:val="12"/>
            </w:pPr>
            <w:r>
              <w:t>29.59</w:t>
            </w:r>
          </w:p>
        </w:tc>
        <w:tc>
          <w:tcPr>
            <w:tcW w:w="1361" w:type="dxa"/>
            <w:vAlign w:val="center"/>
          </w:tcPr>
          <w:p>
            <w:pPr>
              <w:pStyle w:val="12"/>
            </w:pPr>
            <w:r>
              <w:t>29.59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760.61</w:t>
            </w:r>
          </w:p>
        </w:tc>
        <w:tc>
          <w:tcPr>
            <w:tcW w:w="1361" w:type="dxa"/>
            <w:vAlign w:val="center"/>
          </w:tcPr>
          <w:p>
            <w:pPr>
              <w:pStyle w:val="12"/>
            </w:pPr>
            <w:r>
              <w:t>476.45</w:t>
            </w:r>
          </w:p>
        </w:tc>
        <w:tc>
          <w:tcPr>
            <w:tcW w:w="1361" w:type="dxa"/>
            <w:vAlign w:val="center"/>
          </w:tcPr>
          <w:p>
            <w:pPr>
              <w:pStyle w:val="12"/>
            </w:pPr>
            <w:r>
              <w:t>284.16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760.61</w:t>
            </w:r>
          </w:p>
        </w:tc>
        <w:tc>
          <w:tcPr>
            <w:tcW w:w="1361" w:type="dxa"/>
            <w:vAlign w:val="center"/>
          </w:tcPr>
          <w:p>
            <w:pPr>
              <w:pStyle w:val="12"/>
            </w:pPr>
            <w:r>
              <w:t>476.45</w:t>
            </w:r>
          </w:p>
        </w:tc>
        <w:tc>
          <w:tcPr>
            <w:tcW w:w="1361" w:type="dxa"/>
            <w:vAlign w:val="center"/>
          </w:tcPr>
          <w:p>
            <w:pPr>
              <w:pStyle w:val="12"/>
            </w:pPr>
            <w:r>
              <w:t>284.16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2200101</w:t>
            </w:r>
          </w:p>
        </w:tc>
        <w:tc>
          <w:tcPr>
            <w:tcW w:w="4535" w:type="dxa"/>
            <w:vAlign w:val="center"/>
          </w:tcPr>
          <w:p>
            <w:pPr>
              <w:pStyle w:val="13"/>
            </w:pPr>
            <w:r>
              <w:t>行政运行</w:t>
            </w:r>
          </w:p>
        </w:tc>
        <w:tc>
          <w:tcPr>
            <w:tcW w:w="1361" w:type="dxa"/>
            <w:vAlign w:val="center"/>
          </w:tcPr>
          <w:p>
            <w:pPr>
              <w:pStyle w:val="12"/>
            </w:pPr>
            <w:r>
              <w:t>476.45</w:t>
            </w:r>
          </w:p>
        </w:tc>
        <w:tc>
          <w:tcPr>
            <w:tcW w:w="1361" w:type="dxa"/>
            <w:vAlign w:val="center"/>
          </w:tcPr>
          <w:p>
            <w:pPr>
              <w:pStyle w:val="12"/>
            </w:pPr>
            <w:r>
              <w:t>476.45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2200104</w:t>
            </w:r>
          </w:p>
        </w:tc>
        <w:tc>
          <w:tcPr>
            <w:tcW w:w="4535" w:type="dxa"/>
            <w:vAlign w:val="center"/>
          </w:tcPr>
          <w:p>
            <w:pPr>
              <w:pStyle w:val="13"/>
            </w:pPr>
            <w:r>
              <w:t>自然资源规划及管理</w:t>
            </w:r>
          </w:p>
        </w:tc>
        <w:tc>
          <w:tcPr>
            <w:tcW w:w="1361" w:type="dxa"/>
            <w:vAlign w:val="center"/>
          </w:tcPr>
          <w:p>
            <w:pPr>
              <w:pStyle w:val="12"/>
            </w:pPr>
            <w:r>
              <w:t>284.16</w:t>
            </w:r>
          </w:p>
        </w:tc>
        <w:tc>
          <w:tcPr>
            <w:tcW w:w="1361" w:type="dxa"/>
            <w:vAlign w:val="center"/>
          </w:tcPr>
          <w:p>
            <w:pPr>
              <w:pStyle w:val="12"/>
            </w:pPr>
          </w:p>
        </w:tc>
        <w:tc>
          <w:tcPr>
            <w:tcW w:w="1361" w:type="dxa"/>
            <w:vAlign w:val="center"/>
          </w:tcPr>
          <w:p>
            <w:pPr>
              <w:pStyle w:val="12"/>
            </w:pPr>
            <w:r>
              <w:t>284.16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42.65</w:t>
            </w:r>
          </w:p>
        </w:tc>
        <w:tc>
          <w:tcPr>
            <w:tcW w:w="1361" w:type="dxa"/>
            <w:vAlign w:val="center"/>
          </w:tcPr>
          <w:p>
            <w:pPr>
              <w:pStyle w:val="12"/>
            </w:pPr>
            <w:r>
              <w:t>42.65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42.65</w:t>
            </w:r>
          </w:p>
        </w:tc>
        <w:tc>
          <w:tcPr>
            <w:tcW w:w="1361" w:type="dxa"/>
            <w:vAlign w:val="center"/>
          </w:tcPr>
          <w:p>
            <w:pPr>
              <w:pStyle w:val="12"/>
            </w:pPr>
            <w:r>
              <w:t>42.65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42.65</w:t>
            </w:r>
          </w:p>
        </w:tc>
        <w:tc>
          <w:tcPr>
            <w:tcW w:w="1361" w:type="dxa"/>
            <w:vAlign w:val="center"/>
          </w:tcPr>
          <w:p>
            <w:pPr>
              <w:pStyle w:val="12"/>
            </w:pPr>
            <w:r>
              <w:t>42.65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324秦皇岛市北戴河区自然资源和规划局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953.75</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100.30</w:t>
            </w:r>
          </w:p>
        </w:tc>
        <w:tc>
          <w:tcPr>
            <w:tcW w:w="1474" w:type="dxa"/>
            <w:vAlign w:val="center"/>
          </w:tcPr>
          <w:p>
            <w:pPr>
              <w:pStyle w:val="12"/>
            </w:pPr>
            <w:r>
              <w:t>100.30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50.19</w:t>
            </w:r>
          </w:p>
        </w:tc>
        <w:tc>
          <w:tcPr>
            <w:tcW w:w="1474" w:type="dxa"/>
            <w:vAlign w:val="center"/>
          </w:tcPr>
          <w:p>
            <w:pPr>
              <w:pStyle w:val="12"/>
            </w:pPr>
            <w:r>
              <w:t>50.19</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760.61</w:t>
            </w:r>
          </w:p>
        </w:tc>
        <w:tc>
          <w:tcPr>
            <w:tcW w:w="1474" w:type="dxa"/>
            <w:vAlign w:val="center"/>
          </w:tcPr>
          <w:p>
            <w:pPr>
              <w:pStyle w:val="12"/>
            </w:pPr>
            <w:r>
              <w:t>760.61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42.65</w:t>
            </w:r>
          </w:p>
        </w:tc>
        <w:tc>
          <w:tcPr>
            <w:tcW w:w="1474" w:type="dxa"/>
            <w:vAlign w:val="center"/>
          </w:tcPr>
          <w:p>
            <w:pPr>
              <w:pStyle w:val="12"/>
            </w:pPr>
            <w:r>
              <w:t>42.65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953.75</w:t>
            </w:r>
          </w:p>
        </w:tc>
        <w:tc>
          <w:tcPr>
            <w:tcW w:w="3402" w:type="dxa"/>
            <w:vAlign w:val="center"/>
          </w:tcPr>
          <w:p>
            <w:pPr>
              <w:pStyle w:val="15"/>
            </w:pPr>
            <w:r>
              <w:t>本年支出合计</w:t>
            </w:r>
          </w:p>
        </w:tc>
        <w:tc>
          <w:tcPr>
            <w:tcW w:w="1474" w:type="dxa"/>
            <w:vAlign w:val="center"/>
          </w:tcPr>
          <w:p>
            <w:pPr>
              <w:pStyle w:val="16"/>
            </w:pPr>
            <w:r>
              <w:t>953.75</w:t>
            </w:r>
          </w:p>
        </w:tc>
        <w:tc>
          <w:tcPr>
            <w:tcW w:w="1474" w:type="dxa"/>
            <w:vAlign w:val="center"/>
          </w:tcPr>
          <w:p>
            <w:pPr>
              <w:pStyle w:val="16"/>
            </w:pPr>
            <w:r>
              <w:t>953.75</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953.75</w:t>
            </w:r>
          </w:p>
        </w:tc>
        <w:tc>
          <w:tcPr>
            <w:tcW w:w="3402" w:type="dxa"/>
            <w:vAlign w:val="center"/>
          </w:tcPr>
          <w:p>
            <w:pPr>
              <w:pStyle w:val="15"/>
            </w:pPr>
            <w:r>
              <w:t>支出总计</w:t>
            </w:r>
          </w:p>
        </w:tc>
        <w:tc>
          <w:tcPr>
            <w:tcW w:w="1474" w:type="dxa"/>
            <w:vAlign w:val="center"/>
          </w:tcPr>
          <w:p>
            <w:pPr>
              <w:pStyle w:val="16"/>
            </w:pPr>
            <w:r>
              <w:t>953.75</w:t>
            </w:r>
          </w:p>
        </w:tc>
        <w:tc>
          <w:tcPr>
            <w:tcW w:w="1474" w:type="dxa"/>
            <w:vAlign w:val="center"/>
          </w:tcPr>
          <w:p>
            <w:pPr>
              <w:pStyle w:val="16"/>
            </w:pPr>
            <w:r>
              <w:t>953.75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324秦皇岛市北戴河区自然资源和规划局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953.75</w:t>
            </w:r>
          </w:p>
        </w:tc>
        <w:tc>
          <w:tcPr>
            <w:tcW w:w="2551" w:type="dxa"/>
            <w:vAlign w:val="center"/>
          </w:tcPr>
          <w:p>
            <w:pPr>
              <w:pStyle w:val="16"/>
            </w:pPr>
            <w:r>
              <w:t>669.59</w:t>
            </w:r>
          </w:p>
        </w:tc>
        <w:tc>
          <w:tcPr>
            <w:tcW w:w="2551" w:type="dxa"/>
            <w:vAlign w:val="center"/>
          </w:tcPr>
          <w:p>
            <w:pPr>
              <w:pStyle w:val="16"/>
            </w:pPr>
            <w:r>
              <w:t>284.16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100.30</w:t>
            </w:r>
          </w:p>
        </w:tc>
        <w:tc>
          <w:tcPr>
            <w:tcW w:w="2551" w:type="dxa"/>
            <w:vAlign w:val="center"/>
          </w:tcPr>
          <w:p>
            <w:pPr>
              <w:pStyle w:val="12"/>
            </w:pPr>
            <w:r>
              <w:t>100.30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98.77</w:t>
            </w:r>
          </w:p>
        </w:tc>
        <w:tc>
          <w:tcPr>
            <w:tcW w:w="2551" w:type="dxa"/>
            <w:vAlign w:val="center"/>
          </w:tcPr>
          <w:p>
            <w:pPr>
              <w:pStyle w:val="12"/>
            </w:pPr>
            <w:r>
              <w:t>98.77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37.65</w:t>
            </w:r>
          </w:p>
        </w:tc>
        <w:tc>
          <w:tcPr>
            <w:tcW w:w="2551" w:type="dxa"/>
            <w:vAlign w:val="center"/>
          </w:tcPr>
          <w:p>
            <w:pPr>
              <w:pStyle w:val="12"/>
            </w:pPr>
            <w:r>
              <w:t>37.65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53.12</w:t>
            </w:r>
          </w:p>
        </w:tc>
        <w:tc>
          <w:tcPr>
            <w:tcW w:w="2551" w:type="dxa"/>
            <w:vAlign w:val="center"/>
          </w:tcPr>
          <w:p>
            <w:pPr>
              <w:pStyle w:val="12"/>
            </w:pPr>
            <w:r>
              <w:t>53.12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8.00</w:t>
            </w:r>
          </w:p>
        </w:tc>
        <w:tc>
          <w:tcPr>
            <w:tcW w:w="2551" w:type="dxa"/>
            <w:vAlign w:val="center"/>
          </w:tcPr>
          <w:p>
            <w:pPr>
              <w:pStyle w:val="12"/>
            </w:pPr>
            <w:r>
              <w:t>8.00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1.53</w:t>
            </w:r>
          </w:p>
        </w:tc>
        <w:tc>
          <w:tcPr>
            <w:tcW w:w="2551" w:type="dxa"/>
            <w:vAlign w:val="center"/>
          </w:tcPr>
          <w:p>
            <w:pPr>
              <w:pStyle w:val="12"/>
            </w:pPr>
            <w:r>
              <w:t>1.53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1.53</w:t>
            </w:r>
          </w:p>
        </w:tc>
        <w:tc>
          <w:tcPr>
            <w:tcW w:w="2551" w:type="dxa"/>
            <w:vAlign w:val="center"/>
          </w:tcPr>
          <w:p>
            <w:pPr>
              <w:pStyle w:val="12"/>
            </w:pPr>
            <w:r>
              <w:t>1.53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50.19</w:t>
            </w:r>
          </w:p>
        </w:tc>
        <w:tc>
          <w:tcPr>
            <w:tcW w:w="2551" w:type="dxa"/>
            <w:vAlign w:val="center"/>
          </w:tcPr>
          <w:p>
            <w:pPr>
              <w:pStyle w:val="12"/>
            </w:pPr>
            <w:r>
              <w:t>50.19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50.19</w:t>
            </w:r>
          </w:p>
        </w:tc>
        <w:tc>
          <w:tcPr>
            <w:tcW w:w="2551" w:type="dxa"/>
            <w:vAlign w:val="center"/>
          </w:tcPr>
          <w:p>
            <w:pPr>
              <w:pStyle w:val="12"/>
            </w:pPr>
            <w:r>
              <w:t>50.19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20.60</w:t>
            </w:r>
          </w:p>
        </w:tc>
        <w:tc>
          <w:tcPr>
            <w:tcW w:w="2551" w:type="dxa"/>
            <w:vAlign w:val="center"/>
          </w:tcPr>
          <w:p>
            <w:pPr>
              <w:pStyle w:val="12"/>
            </w:pPr>
            <w:r>
              <w:t>20.60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pStyle w:val="12"/>
            </w:pPr>
            <w:r>
              <w:t>29.59</w:t>
            </w:r>
          </w:p>
        </w:tc>
        <w:tc>
          <w:tcPr>
            <w:tcW w:w="2551" w:type="dxa"/>
            <w:vAlign w:val="center"/>
          </w:tcPr>
          <w:p>
            <w:pPr>
              <w:pStyle w:val="12"/>
            </w:pPr>
            <w:r>
              <w:t>29.59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760.61</w:t>
            </w:r>
          </w:p>
        </w:tc>
        <w:tc>
          <w:tcPr>
            <w:tcW w:w="2551" w:type="dxa"/>
            <w:vAlign w:val="center"/>
          </w:tcPr>
          <w:p>
            <w:pPr>
              <w:pStyle w:val="12"/>
            </w:pPr>
            <w:r>
              <w:t>476.45</w:t>
            </w:r>
          </w:p>
        </w:tc>
        <w:tc>
          <w:tcPr>
            <w:tcW w:w="2551" w:type="dxa"/>
            <w:vAlign w:val="center"/>
          </w:tcPr>
          <w:p>
            <w:pPr>
              <w:pStyle w:val="12"/>
            </w:pPr>
            <w:r>
              <w:t>284.16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760.61</w:t>
            </w:r>
          </w:p>
        </w:tc>
        <w:tc>
          <w:tcPr>
            <w:tcW w:w="2551" w:type="dxa"/>
            <w:vAlign w:val="center"/>
          </w:tcPr>
          <w:p>
            <w:pPr>
              <w:pStyle w:val="12"/>
            </w:pPr>
            <w:r>
              <w:t>476.45</w:t>
            </w:r>
          </w:p>
        </w:tc>
        <w:tc>
          <w:tcPr>
            <w:tcW w:w="2551" w:type="dxa"/>
            <w:vAlign w:val="center"/>
          </w:tcPr>
          <w:p>
            <w:pPr>
              <w:pStyle w:val="12"/>
            </w:pPr>
            <w:r>
              <w:t>284.16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2200101</w:t>
            </w:r>
          </w:p>
        </w:tc>
        <w:tc>
          <w:tcPr>
            <w:tcW w:w="4535" w:type="dxa"/>
            <w:vAlign w:val="center"/>
          </w:tcPr>
          <w:p>
            <w:pPr>
              <w:pStyle w:val="13"/>
            </w:pPr>
            <w:r>
              <w:t>行政运行</w:t>
            </w:r>
          </w:p>
        </w:tc>
        <w:tc>
          <w:tcPr>
            <w:tcW w:w="2551" w:type="dxa"/>
            <w:vAlign w:val="center"/>
          </w:tcPr>
          <w:p>
            <w:pPr>
              <w:pStyle w:val="12"/>
            </w:pPr>
            <w:r>
              <w:t>476.45</w:t>
            </w:r>
          </w:p>
        </w:tc>
        <w:tc>
          <w:tcPr>
            <w:tcW w:w="2551" w:type="dxa"/>
            <w:vAlign w:val="center"/>
          </w:tcPr>
          <w:p>
            <w:pPr>
              <w:pStyle w:val="12"/>
            </w:pPr>
            <w:r>
              <w:t>476.45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2200104</w:t>
            </w:r>
          </w:p>
        </w:tc>
        <w:tc>
          <w:tcPr>
            <w:tcW w:w="4535" w:type="dxa"/>
            <w:vAlign w:val="center"/>
          </w:tcPr>
          <w:p>
            <w:pPr>
              <w:pStyle w:val="13"/>
            </w:pPr>
            <w:r>
              <w:t>自然资源规划及管理</w:t>
            </w:r>
          </w:p>
        </w:tc>
        <w:tc>
          <w:tcPr>
            <w:tcW w:w="2551" w:type="dxa"/>
            <w:vAlign w:val="center"/>
          </w:tcPr>
          <w:p>
            <w:pPr>
              <w:pStyle w:val="12"/>
            </w:pPr>
            <w:r>
              <w:t>284.16</w:t>
            </w:r>
          </w:p>
        </w:tc>
        <w:tc>
          <w:tcPr>
            <w:tcW w:w="2551" w:type="dxa"/>
            <w:vAlign w:val="center"/>
          </w:tcPr>
          <w:p>
            <w:pPr>
              <w:pStyle w:val="12"/>
            </w:pPr>
          </w:p>
        </w:tc>
        <w:tc>
          <w:tcPr>
            <w:tcW w:w="2551" w:type="dxa"/>
            <w:vAlign w:val="center"/>
          </w:tcPr>
          <w:p>
            <w:pPr>
              <w:pStyle w:val="12"/>
            </w:pPr>
            <w:r>
              <w:t>284.16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42.65</w:t>
            </w:r>
          </w:p>
        </w:tc>
        <w:tc>
          <w:tcPr>
            <w:tcW w:w="2551" w:type="dxa"/>
            <w:vAlign w:val="center"/>
          </w:tcPr>
          <w:p>
            <w:pPr>
              <w:pStyle w:val="12"/>
            </w:pPr>
            <w:r>
              <w:t>42.65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42.65</w:t>
            </w:r>
          </w:p>
        </w:tc>
        <w:tc>
          <w:tcPr>
            <w:tcW w:w="2551" w:type="dxa"/>
            <w:vAlign w:val="center"/>
          </w:tcPr>
          <w:p>
            <w:pPr>
              <w:pStyle w:val="12"/>
            </w:pPr>
            <w:r>
              <w:t>42.65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42.65</w:t>
            </w:r>
          </w:p>
        </w:tc>
        <w:tc>
          <w:tcPr>
            <w:tcW w:w="2551" w:type="dxa"/>
            <w:vAlign w:val="center"/>
          </w:tcPr>
          <w:p>
            <w:pPr>
              <w:pStyle w:val="12"/>
            </w:pPr>
            <w:r>
              <w:t>42.65</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324秦皇岛市北戴河区自然资源和规划局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669.59</w:t>
            </w:r>
          </w:p>
        </w:tc>
        <w:tc>
          <w:tcPr>
            <w:tcW w:w="2551" w:type="dxa"/>
            <w:vAlign w:val="center"/>
          </w:tcPr>
          <w:p>
            <w:pPr>
              <w:pStyle w:val="16"/>
            </w:pPr>
            <w:r>
              <w:t>605.80</w:t>
            </w:r>
          </w:p>
        </w:tc>
        <w:tc>
          <w:tcPr>
            <w:tcW w:w="2551" w:type="dxa"/>
            <w:vAlign w:val="center"/>
          </w:tcPr>
          <w:p>
            <w:pPr>
              <w:pStyle w:val="16"/>
            </w:pPr>
            <w:r>
              <w:t>63.79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568.64</w:t>
            </w:r>
          </w:p>
        </w:tc>
        <w:tc>
          <w:tcPr>
            <w:tcW w:w="2551" w:type="dxa"/>
            <w:vAlign w:val="center"/>
          </w:tcPr>
          <w:p>
            <w:pPr>
              <w:pStyle w:val="12"/>
            </w:pPr>
            <w:r>
              <w:t>568.64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157.73</w:t>
            </w:r>
          </w:p>
        </w:tc>
        <w:tc>
          <w:tcPr>
            <w:tcW w:w="2551" w:type="dxa"/>
            <w:vAlign w:val="center"/>
          </w:tcPr>
          <w:p>
            <w:pPr>
              <w:pStyle w:val="12"/>
            </w:pPr>
            <w:r>
              <w:t>157.73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65.94</w:t>
            </w:r>
          </w:p>
        </w:tc>
        <w:tc>
          <w:tcPr>
            <w:tcW w:w="2551" w:type="dxa"/>
            <w:vAlign w:val="center"/>
          </w:tcPr>
          <w:p>
            <w:pPr>
              <w:pStyle w:val="12"/>
            </w:pPr>
            <w:r>
              <w:t>65.94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24.80</w:t>
            </w:r>
          </w:p>
        </w:tc>
        <w:tc>
          <w:tcPr>
            <w:tcW w:w="2551" w:type="dxa"/>
            <w:vAlign w:val="center"/>
          </w:tcPr>
          <w:p>
            <w:pPr>
              <w:pStyle w:val="12"/>
            </w:pPr>
            <w:r>
              <w:t>24.80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137.49</w:t>
            </w:r>
          </w:p>
        </w:tc>
        <w:tc>
          <w:tcPr>
            <w:tcW w:w="2551" w:type="dxa"/>
            <w:vAlign w:val="center"/>
          </w:tcPr>
          <w:p>
            <w:pPr>
              <w:pStyle w:val="12"/>
            </w:pPr>
            <w:r>
              <w:t>137.49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53.12</w:t>
            </w:r>
          </w:p>
        </w:tc>
        <w:tc>
          <w:tcPr>
            <w:tcW w:w="2551" w:type="dxa"/>
            <w:vAlign w:val="center"/>
          </w:tcPr>
          <w:p>
            <w:pPr>
              <w:pStyle w:val="12"/>
            </w:pPr>
            <w:r>
              <w:t>53.12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8.00</w:t>
            </w:r>
          </w:p>
        </w:tc>
        <w:tc>
          <w:tcPr>
            <w:tcW w:w="2551" w:type="dxa"/>
            <w:vAlign w:val="center"/>
          </w:tcPr>
          <w:p>
            <w:pPr>
              <w:pStyle w:val="12"/>
            </w:pPr>
            <w:r>
              <w:t>8.00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20.60</w:t>
            </w:r>
          </w:p>
        </w:tc>
        <w:tc>
          <w:tcPr>
            <w:tcW w:w="2551" w:type="dxa"/>
            <w:vAlign w:val="center"/>
          </w:tcPr>
          <w:p>
            <w:pPr>
              <w:pStyle w:val="12"/>
            </w:pPr>
            <w:r>
              <w:t>20.60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29.59</w:t>
            </w:r>
          </w:p>
        </w:tc>
        <w:tc>
          <w:tcPr>
            <w:tcW w:w="2551" w:type="dxa"/>
            <w:vAlign w:val="center"/>
          </w:tcPr>
          <w:p>
            <w:pPr>
              <w:pStyle w:val="12"/>
            </w:pPr>
            <w:r>
              <w:t>29.59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3.18</w:t>
            </w:r>
          </w:p>
        </w:tc>
        <w:tc>
          <w:tcPr>
            <w:tcW w:w="2551" w:type="dxa"/>
            <w:vAlign w:val="center"/>
          </w:tcPr>
          <w:p>
            <w:pPr>
              <w:pStyle w:val="12"/>
            </w:pPr>
            <w:r>
              <w:t>3.18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42.65</w:t>
            </w:r>
          </w:p>
        </w:tc>
        <w:tc>
          <w:tcPr>
            <w:tcW w:w="2551" w:type="dxa"/>
            <w:vAlign w:val="center"/>
          </w:tcPr>
          <w:p>
            <w:pPr>
              <w:pStyle w:val="12"/>
            </w:pPr>
            <w:r>
              <w:t>42.65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25.54</w:t>
            </w:r>
          </w:p>
        </w:tc>
        <w:tc>
          <w:tcPr>
            <w:tcW w:w="2551" w:type="dxa"/>
            <w:vAlign w:val="center"/>
          </w:tcPr>
          <w:p>
            <w:pPr>
              <w:pStyle w:val="12"/>
            </w:pPr>
            <w:r>
              <w:t>25.54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63.79</w:t>
            </w:r>
          </w:p>
        </w:tc>
        <w:tc>
          <w:tcPr>
            <w:tcW w:w="2551" w:type="dxa"/>
            <w:vAlign w:val="center"/>
          </w:tcPr>
          <w:p>
            <w:pPr>
              <w:pStyle w:val="12"/>
            </w:pPr>
          </w:p>
        </w:tc>
        <w:tc>
          <w:tcPr>
            <w:tcW w:w="2551" w:type="dxa"/>
            <w:vAlign w:val="center"/>
          </w:tcPr>
          <w:p>
            <w:pPr>
              <w:pStyle w:val="12"/>
            </w:pPr>
            <w:r>
              <w:t>63.79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8.33</w:t>
            </w:r>
          </w:p>
        </w:tc>
        <w:tc>
          <w:tcPr>
            <w:tcW w:w="2551" w:type="dxa"/>
            <w:vAlign w:val="center"/>
          </w:tcPr>
          <w:p>
            <w:pPr>
              <w:pStyle w:val="12"/>
            </w:pPr>
          </w:p>
        </w:tc>
        <w:tc>
          <w:tcPr>
            <w:tcW w:w="2551" w:type="dxa"/>
            <w:vAlign w:val="center"/>
          </w:tcPr>
          <w:p>
            <w:pPr>
              <w:pStyle w:val="12"/>
            </w:pPr>
            <w:r>
              <w:t>8.33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1.34</w:t>
            </w:r>
          </w:p>
        </w:tc>
        <w:tc>
          <w:tcPr>
            <w:tcW w:w="2551" w:type="dxa"/>
            <w:vAlign w:val="center"/>
          </w:tcPr>
          <w:p>
            <w:pPr>
              <w:pStyle w:val="12"/>
            </w:pPr>
          </w:p>
        </w:tc>
        <w:tc>
          <w:tcPr>
            <w:tcW w:w="2551" w:type="dxa"/>
            <w:vAlign w:val="center"/>
          </w:tcPr>
          <w:p>
            <w:pPr>
              <w:pStyle w:val="12"/>
            </w:pPr>
            <w:r>
              <w:t>1.34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8.14</w:t>
            </w:r>
          </w:p>
        </w:tc>
        <w:tc>
          <w:tcPr>
            <w:tcW w:w="2551" w:type="dxa"/>
            <w:vAlign w:val="center"/>
          </w:tcPr>
          <w:p>
            <w:pPr>
              <w:pStyle w:val="12"/>
            </w:pPr>
          </w:p>
        </w:tc>
        <w:tc>
          <w:tcPr>
            <w:tcW w:w="2551" w:type="dxa"/>
            <w:vAlign w:val="center"/>
          </w:tcPr>
          <w:p>
            <w:pPr>
              <w:pStyle w:val="12"/>
            </w:pPr>
            <w:r>
              <w:t>8.14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5.52</w:t>
            </w:r>
          </w:p>
        </w:tc>
        <w:tc>
          <w:tcPr>
            <w:tcW w:w="2551" w:type="dxa"/>
            <w:vAlign w:val="center"/>
          </w:tcPr>
          <w:p>
            <w:pPr>
              <w:pStyle w:val="12"/>
            </w:pPr>
          </w:p>
        </w:tc>
        <w:tc>
          <w:tcPr>
            <w:tcW w:w="2551" w:type="dxa"/>
            <w:vAlign w:val="center"/>
          </w:tcPr>
          <w:p>
            <w:pPr>
              <w:pStyle w:val="12"/>
            </w:pPr>
            <w:r>
              <w:t>5.52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10.44</w:t>
            </w:r>
          </w:p>
        </w:tc>
        <w:tc>
          <w:tcPr>
            <w:tcW w:w="2551" w:type="dxa"/>
            <w:vAlign w:val="center"/>
          </w:tcPr>
          <w:p>
            <w:pPr>
              <w:pStyle w:val="12"/>
            </w:pPr>
          </w:p>
        </w:tc>
        <w:tc>
          <w:tcPr>
            <w:tcW w:w="2551" w:type="dxa"/>
            <w:vAlign w:val="center"/>
          </w:tcPr>
          <w:p>
            <w:pPr>
              <w:pStyle w:val="12"/>
            </w:pPr>
            <w:r>
              <w:t>10.44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3.99</w:t>
            </w:r>
          </w:p>
        </w:tc>
        <w:tc>
          <w:tcPr>
            <w:tcW w:w="2551" w:type="dxa"/>
            <w:vAlign w:val="center"/>
          </w:tcPr>
          <w:p>
            <w:pPr>
              <w:pStyle w:val="12"/>
            </w:pPr>
          </w:p>
        </w:tc>
        <w:tc>
          <w:tcPr>
            <w:tcW w:w="2551" w:type="dxa"/>
            <w:vAlign w:val="center"/>
          </w:tcPr>
          <w:p>
            <w:pPr>
              <w:pStyle w:val="12"/>
            </w:pPr>
            <w:r>
              <w:t>3.99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30225</w:t>
            </w:r>
          </w:p>
        </w:tc>
        <w:tc>
          <w:tcPr>
            <w:tcW w:w="4535" w:type="dxa"/>
            <w:vAlign w:val="center"/>
          </w:tcPr>
          <w:p>
            <w:pPr>
              <w:pStyle w:val="13"/>
            </w:pPr>
            <w:r>
              <w:t>专用燃料费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5.90</w:t>
            </w:r>
          </w:p>
        </w:tc>
        <w:tc>
          <w:tcPr>
            <w:tcW w:w="2551" w:type="dxa"/>
            <w:vAlign w:val="center"/>
          </w:tcPr>
          <w:p>
            <w:pPr>
              <w:pStyle w:val="12"/>
            </w:pPr>
          </w:p>
        </w:tc>
        <w:tc>
          <w:tcPr>
            <w:tcW w:w="2551" w:type="dxa"/>
            <w:vAlign w:val="center"/>
          </w:tcPr>
          <w:p>
            <w:pPr>
              <w:pStyle w:val="12"/>
            </w:pPr>
            <w:r>
              <w:t>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4.10</w:t>
            </w:r>
          </w:p>
        </w:tc>
        <w:tc>
          <w:tcPr>
            <w:tcW w:w="2551" w:type="dxa"/>
            <w:vAlign w:val="center"/>
          </w:tcPr>
          <w:p>
            <w:pPr>
              <w:pStyle w:val="12"/>
            </w:pPr>
          </w:p>
        </w:tc>
        <w:tc>
          <w:tcPr>
            <w:tcW w:w="2551" w:type="dxa"/>
            <w:vAlign w:val="center"/>
          </w:tcPr>
          <w:p>
            <w:pPr>
              <w:pStyle w:val="12"/>
            </w:pPr>
            <w:r>
              <w:t>4.10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6.96</w:t>
            </w:r>
          </w:p>
        </w:tc>
        <w:tc>
          <w:tcPr>
            <w:tcW w:w="2551" w:type="dxa"/>
            <w:vAlign w:val="center"/>
          </w:tcPr>
          <w:p>
            <w:pPr>
              <w:pStyle w:val="12"/>
            </w:pPr>
          </w:p>
        </w:tc>
        <w:tc>
          <w:tcPr>
            <w:tcW w:w="2551" w:type="dxa"/>
            <w:vAlign w:val="center"/>
          </w:tcPr>
          <w:p>
            <w:pPr>
              <w:pStyle w:val="12"/>
            </w:pPr>
            <w:r>
              <w:t>6.96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7.07</w:t>
            </w:r>
          </w:p>
        </w:tc>
        <w:tc>
          <w:tcPr>
            <w:tcW w:w="2551" w:type="dxa"/>
            <w:vAlign w:val="center"/>
          </w:tcPr>
          <w:p>
            <w:pPr>
              <w:pStyle w:val="12"/>
            </w:pPr>
          </w:p>
        </w:tc>
        <w:tc>
          <w:tcPr>
            <w:tcW w:w="2551" w:type="dxa"/>
            <w:vAlign w:val="center"/>
          </w:tcPr>
          <w:p>
            <w:pPr>
              <w:pStyle w:val="12"/>
            </w:pPr>
            <w:r>
              <w:t>7.07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37.16</w:t>
            </w:r>
          </w:p>
        </w:tc>
        <w:tc>
          <w:tcPr>
            <w:tcW w:w="2551" w:type="dxa"/>
            <w:vAlign w:val="center"/>
          </w:tcPr>
          <w:p>
            <w:pPr>
              <w:pStyle w:val="12"/>
            </w:pPr>
            <w:r>
              <w:t>37.16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35.63</w:t>
            </w:r>
          </w:p>
        </w:tc>
        <w:tc>
          <w:tcPr>
            <w:tcW w:w="2551" w:type="dxa"/>
            <w:vAlign w:val="center"/>
          </w:tcPr>
          <w:p>
            <w:pPr>
              <w:pStyle w:val="12"/>
            </w:pPr>
            <w:r>
              <w:t>35.63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1.53</w:t>
            </w:r>
          </w:p>
        </w:tc>
        <w:tc>
          <w:tcPr>
            <w:tcW w:w="2551" w:type="dxa"/>
            <w:vAlign w:val="center"/>
          </w:tcPr>
          <w:p>
            <w:pPr>
              <w:pStyle w:val="12"/>
            </w:pPr>
            <w:r>
              <w:t>1.53</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324秦皇岛市北戴河区自然资源和规划局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324秦皇岛市北戴河区自然资源和规划局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324秦皇岛市北戴河区自然资源和规划局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1.00</w:t>
            </w:r>
          </w:p>
        </w:tc>
        <w:tc>
          <w:tcPr>
            <w:tcW w:w="2381" w:type="dxa"/>
            <w:vAlign w:val="center"/>
          </w:tcPr>
          <w:p>
            <w:pPr>
              <w:pStyle w:val="16"/>
            </w:pPr>
            <w:r>
              <w:t>1.00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秦皇岛市北戴河区自然资源和规划局2025年部门预算信息公开情况说明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秦皇岛市北戴河区自然资源和规划局2025年部门预算信息公开情况说明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按照《中华人民共和国预算法》、《地方预决算公开操作规程》和《关于进一步推进预算公开工作的实施意见》规定，现将秦皇岛市北戴河区自然资源和规划局2025年部门预算公开如下：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履行全民所有土地、矿产、森林、湿地、水等自然资源资产所有者职责和国土空间用途管制职责。拟订自然资源和国土空间规划等政府政策规范性文件草案，监督检查自然资源和国土空间规划等法律法规的执行情况。</w:t>
      </w:r>
    </w:p>
    <w:p>
      <w:pPr>
        <w:pStyle w:val="18"/>
      </w:pPr>
      <w:r>
        <w:t>2.负责全区自然资源调查监测评价。贯彻执行国家和省自然资源调查监测评价的指标体系、统计标准和自然资源调查监测评价制度。实施自然资源基础调查、专项调查和监测。配合市局开展自然资源调查监测评价成果的监督管理和信息发布。</w:t>
      </w:r>
    </w:p>
    <w:p>
      <w:pPr>
        <w:pStyle w:val="18"/>
      </w:pPr>
      <w:r>
        <w:t>3.负责全区自然资源统一确权登记工作。贯彻执行国家和省、市各类自然资源和不动产统一确权登记、权籍调查、争议调处、成果应用的制度、标准、规范、规定。负责全区自然资源和不动产登记资料收集、整理、共享、汇交管理等。负责区级自然资源和不动产确权登记工作（不含海域使用权登记）。</w:t>
      </w:r>
    </w:p>
    <w:p>
      <w:pPr>
        <w:pStyle w:val="18"/>
      </w:pPr>
      <w:r>
        <w:t>4.负责全区土地、矿产资源资产有偿使用工作。贯彻执行国家和省、市全民所有土地、矿产资源资产统计制度，负责全民所有土地、矿产资源资产核算。协助市局编制全民所有土地、矿产资源资产负债表。贯彻执行全民所有土地、矿产资源资产划拨、出让、租赁、作价出资和土地储备政策，合理配置全民所有土地、矿产资源资产。</w:t>
      </w:r>
    </w:p>
    <w:p>
      <w:pPr>
        <w:pStyle w:val="18"/>
      </w:pPr>
      <w:r>
        <w:t>5.负责全区土地、矿产资源的合理开发利用。配合市局拟订土地、矿产资源发展规划，贯彻国家和省土地、矿产资源开发利用标准并组织实施。负责土地、矿产资源市场监管。组织落实土地、矿产资源管理涉及宏观调控、区域协调和城乡统筹的政策措施。</w:t>
      </w:r>
    </w:p>
    <w:p>
      <w:pPr>
        <w:pStyle w:val="18"/>
      </w:pPr>
      <w:r>
        <w:t>6.配合市局建立全市空间规划体系并监督实施。贯彻实施主体功能区战略和制度，配合市局编制国土空间规划、相关专项规划和详细规划并监督实施。组织编制个别区域修建性详细规划。负责辖区范围内村庄规划的审批。负责受市自然资源和规划局委托临时用地、临时建设工程规划审批。配合市局开展国土空间开发适宜性评价。配合市局划定生态保护红线、永久基本农田、城镇开发边界等控制线，构建节约资源和保护环境的生产、生活、生态空间布局。落实国土空间用途管制制度；配合市局研究拟订城乡规划政策并监督实施。负责土地年度利用计划管理工作。负责土地用途转用初审工作。负责土地征收征用管理。</w:t>
      </w:r>
    </w:p>
    <w:p>
      <w:pPr>
        <w:pStyle w:val="18"/>
      </w:pPr>
      <w:r>
        <w:t>7.负责统筹全区国土空间生态修复。配合市局编制国土空间生态修复规划并组织实施。负责国土空间综合整治、土地整理复垦、矿山地质环境恢复治理工作。建立和实施生态保护补偿制度，制定合理利用社会资金进行生态修复的政策措施，提出重大备选项目。</w:t>
      </w:r>
    </w:p>
    <w:p>
      <w:pPr>
        <w:pStyle w:val="18"/>
      </w:pPr>
      <w:r>
        <w:t>8.负责组织实施最严格的耕地保护制度。贯彻执行耕地保护政策，负责耕地数量、质量、生态保护。组织实施耕地保护责任目标考核和永久基本农田特殊保护。贯彻落实耕地占补平衡制度，执行占用耕地补偿制度。</w:t>
      </w:r>
    </w:p>
    <w:p>
      <w:pPr>
        <w:pStyle w:val="18"/>
      </w:pPr>
      <w:r>
        <w:t>9.负责城乡规划的实施管理工作。负责建设项目选址的初审，拟定上报规划条件，负责建设用地规划、建设工程规划和建设工程规划条件核实的初审。</w:t>
      </w:r>
    </w:p>
    <w:p>
      <w:pPr>
        <w:pStyle w:val="18"/>
      </w:pPr>
      <w:r>
        <w:t>10.负责地质灾害预防和治理。负责落实综合防灾减灾规划相关要求，配合市局编制地质灾害防治规划和防护标准并指导实施。负责地质灾害调查评价及隐患的普查、详查、排查。指导开展群测群防、专业监测和预报预警等工作，指导开展地质灾害工程治理工作。承担地质灾害应急救援的技术支撑工作。监督管理地下水过量开采引发的地面沉降等地质问题。</w:t>
      </w:r>
    </w:p>
    <w:p>
      <w:pPr>
        <w:pStyle w:val="18"/>
      </w:pPr>
      <w:r>
        <w:t>11.负责全区矿产资源管理工作。负责矿产资源储量管理工作，承担压覆矿产资源相关管理工作。负责矿业权管理。负责对矿业权设立、变更、延续、转让、注销登记或矿区范围审批出具核查意见。会同有关部门落实保护性开采的特定矿种、优势矿产的调控及相关管理工作。监督指导矿产资源合理利用和保护。</w:t>
      </w:r>
    </w:p>
    <w:p>
      <w:pPr>
        <w:pStyle w:val="18"/>
      </w:pPr>
      <w:r>
        <w:t>12.组织查处全区土地、矿产资源开发利用和国土空间规划方面的相关违法案件,负责城乡规划法律、法规、规章规定的城市规划区范围内未批先建违法建设巡查及处罚，已批建设项目的跟踪监督管理及擅自改变规划违法建设的处罚。</w:t>
      </w:r>
    </w:p>
    <w:p>
      <w:pPr>
        <w:pStyle w:val="18"/>
      </w:pPr>
      <w:r>
        <w:t>13.负责全区林业及其生态保护修复的监督管理。贯彻执行国家和省、市关于林业及其生态保护修复的政策、规划、地方标准，起草相关政府政策规范性文件草案。组织开展全区森林、湿地和陆生野生动植物资源动态监测与评价。</w:t>
      </w:r>
    </w:p>
    <w:p>
      <w:pPr>
        <w:pStyle w:val="18"/>
      </w:pPr>
      <w:r>
        <w:t>14.组织全区林业生态保护修复和造林绿化工作。组织实施林业重点生态保护修复工程，指导公益林和商品林的培育，指导、监督全民义务植树、城乡绿化工作。负责并指导林业有害生物防治、检疫工作。承担林业应对气候变化的相关工作。</w:t>
      </w:r>
    </w:p>
    <w:p>
      <w:pPr>
        <w:pStyle w:val="18"/>
      </w:pPr>
      <w:r>
        <w:t>15.负责全区森林、湿地资源的监督管理。组织编制我区森林采伐限额，经市政府同意并报省政府批准后监督执行。负责林地管理，拟订全区林地保护利用规划并组织实施，指导全区公益林划定和管理工作。负责全区湿地生态保护修复工作，拟订全区湿地保护规划并组织实施，严格落实上级关于湿地保护相关地方标准，监督管理湿地的开发利用。</w:t>
      </w:r>
    </w:p>
    <w:p>
      <w:pPr>
        <w:pStyle w:val="18"/>
      </w:pPr>
      <w:r>
        <w:t>16.负责监督管理全区荒漠化防治工作。组织开展荒漠调查，配合市局拟订全市防沙治沙及沙化土地封禁保护区建设规划，贯彻实施上级相关地方标准和规定，监督管理沙化土地的开发利用，组织沙尘暴灾害预测预报和应急处置。</w:t>
      </w:r>
    </w:p>
    <w:p>
      <w:pPr>
        <w:pStyle w:val="18"/>
      </w:pPr>
      <w:r>
        <w:t>17.负责全区陆生野生动植物资源监督管理。组织开展陆生野生动植物资源调查，指导全区陆生野生动植物的救护繁育、栖息地恢复发展、疫源疫病监测，监督管理全区陆生野生动植物猎捕或采集、驯养繁殖或培植、经营利用。</w:t>
      </w:r>
    </w:p>
    <w:p>
      <w:pPr>
        <w:pStyle w:val="18"/>
      </w:pPr>
      <w:r>
        <w:t>18.负责监督管理全区各类自然保护地。拟订全区各类自然保护地规划和相关地方标准。负责自然保护地的自然资源资产管理和国土空间用途管制。提出新建、调整各类区级以上自然保护地的审核建议并按程序报批，组织审核世界自然遗产的申报，会同有关部门审核世界自然与文化双重遗产的申报。负责全区生物多样性保护相关工作。</w:t>
      </w:r>
    </w:p>
    <w:p>
      <w:pPr>
        <w:pStyle w:val="18"/>
      </w:pPr>
      <w:r>
        <w:t>19.负责推进全区林业改革相关工作。拟订集体林权制度重大改革意见并监督实施。拟订农村林业发展、维护林业经营者合法权益的政策措施，指导监督农村林地承包经营工作。开展退耕还林，负责天然林保护工作。</w:t>
      </w:r>
    </w:p>
    <w:p>
      <w:pPr>
        <w:pStyle w:val="18"/>
      </w:pPr>
      <w:r>
        <w:t>20.配合市局拟订全市林业资源优化配置及木材利用政策，配合市局拟订相关林业产业地方标准并监督实施，组织、指导林产品质量监督，指导生态扶贫相关工作。</w:t>
      </w:r>
    </w:p>
    <w:p>
      <w:pPr>
        <w:pStyle w:val="18"/>
      </w:pPr>
      <w:r>
        <w:t xml:space="preserve">21.组织开展林木种子种质资源普查，组织建立种质资源库，负责良种选育推广，管理林木种苗生产经营行为，监管林木种苗质量。监督管理林业生物种质资源、转基因生物安全、植物新品种保护。 </w:t>
      </w:r>
    </w:p>
    <w:p>
      <w:pPr>
        <w:pStyle w:val="18"/>
      </w:pPr>
      <w:r>
        <w:t>22.指导全区森林公安工作，监督管理森林公安队伍，指导全区林业重大违法案件的查处，负责相关行政执法监管工作，指导林区社会治安治理工作。</w:t>
      </w:r>
    </w:p>
    <w:p>
      <w:pPr>
        <w:pStyle w:val="18"/>
      </w:pPr>
      <w:r>
        <w:t>23.负责落实全区综合防灾减灾规划相关要求，组织编制全区森林火灾防治规划并监督实施，贯彻落实相关防护标准，指导开展防火巡护、火源管理、防火设施建设等工作。组织指导全区森林防火宣传教育、监测预警、督促检查等防火工作。</w:t>
      </w:r>
    </w:p>
    <w:p>
      <w:pPr>
        <w:pStyle w:val="18"/>
      </w:pPr>
      <w:r>
        <w:t>24.监督管理林业中央和省、市、区级资金及国有资产，提出全区林业预算内投资、中央和省、市、区级财政性资金安排建议，按权限审核规划内和年度计划内投资项目。参与拟订林业经济调节政策，组织实施林业生态补偿工作。</w:t>
      </w:r>
    </w:p>
    <w:p>
      <w:pPr>
        <w:pStyle w:val="18"/>
      </w:pPr>
      <w:r>
        <w:t>25.推动全区自然资源、城乡规划和林业领域科技发展。制定并实施自然资源、城乡规划和林业领域科技创新发展和人才培养战略、规划和计划。贯彻执行上级制定的技术标准、规程规范，组织实施重大科技工程及创新能力建设，推进自然资源、城乡规划和林业信息化和信息资料的公共服务。组织开展自然资源、城乡规划和林业领域对外交流合作。</w:t>
      </w:r>
    </w:p>
    <w:p>
      <w:pPr>
        <w:pStyle w:val="18"/>
      </w:pPr>
      <w:r>
        <w:t>26.落实行业主管部门的安全生产监管职责，各股室落实各自分管领域的安全生产监管职责。</w:t>
      </w:r>
    </w:p>
    <w:p>
      <w:pPr>
        <w:pStyle w:val="18"/>
      </w:pPr>
      <w:r>
        <w:t>27.完成区委、区政府交办的其他任务。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秦皇岛市北戴河区自然资源和规划局（本级）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按照预算管理有关规定，目前部门预算的编制实行综合预算管理，即全部收入和支出都反映在预算中。秦皇岛市北戴河区自然资源和规划局机关及所属事业单位的收支包含在部门预算中。</w:t>
      </w:r>
    </w:p>
    <w:p>
      <w:pPr>
        <w:pStyle w:val="19"/>
      </w:pPr>
      <w:r>
        <w:t>1、收入说明</w:t>
      </w:r>
    </w:p>
    <w:p>
      <w:pPr>
        <w:pStyle w:val="19"/>
      </w:pPr>
      <w:r>
        <w:t>反映本部门当年全部收入。2025年预算收入953.75万元，其中：一般公共预算收入953.75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秦皇岛市北戴河区自然资源和规划局年度部门预算中支出预算的总体情况。2025年支出预算953.75万元，其中基本支出669.59万元，包括人员经费605.80万元和日常公用经费63.79万元；项目支出284.16万元，主要为不动产登记、执法监察及耕地保护辅助服务项目（服务）142.56万元、自然资源和规划事务工作经费120万元、补发清算2021年度工资21.6万元。</w:t>
      </w:r>
    </w:p>
    <w:p>
      <w:pPr>
        <w:pStyle w:val="19"/>
      </w:pPr>
      <w:r>
        <w:t>3、比上年增减情况</w:t>
      </w:r>
    </w:p>
    <w:p>
      <w:pPr>
        <w:pStyle w:val="19"/>
      </w:pPr>
      <w:r>
        <w:t>2025年预算收支安排953.75万元，较2024年预算减少127.36万元，其中：基本支出增加193.64万元，主要为非全额事业单位和人事代理专项、定额补助本年度由上年度的项目支出转为基本支出。项目支出减少321.00万元，主要为非全额事业单位和人事代理专项、定额补助本年度由上年度的项目支出转为基本支出，自然资源和规划事务工作经费本年度减少80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w:t>
      </w:r>
      <w:r>
        <w:rPr>
          <w:rFonts w:hint="eastAsia"/>
        </w:rPr>
        <w:t>63.79万元，主要用于</w:t>
      </w:r>
      <w:r>
        <w:t>办公及印刷费、</w:t>
      </w:r>
      <w:r>
        <w:rPr>
          <w:rFonts w:hint="eastAsia"/>
        </w:rPr>
        <w:t>办公用房水电费、办公用房取暖费</w:t>
      </w:r>
      <w:r>
        <w:t>、公务用车运行维护费等</w:t>
      </w:r>
      <w:r>
        <w:rPr>
          <w:rFonts w:hint="eastAsia"/>
        </w:rPr>
        <w:t>等日常运行支出。</w:t>
      </w:r>
      <w:r>
        <w:t>其中：办公及印刷费</w:t>
      </w:r>
      <w:r>
        <w:rPr>
          <w:rFonts w:hint="eastAsia"/>
          <w:lang w:val="en-US" w:eastAsia="zh-CN"/>
        </w:rPr>
        <w:t>8.33</w:t>
      </w:r>
      <w:r>
        <w:t>万元、</w:t>
      </w:r>
      <w:r>
        <w:rPr>
          <w:rFonts w:hint="eastAsia"/>
        </w:rPr>
        <w:t>办公用房水电费</w:t>
      </w:r>
      <w:r>
        <w:rPr>
          <w:rFonts w:hint="eastAsia"/>
          <w:lang w:val="en-US" w:eastAsia="zh-CN"/>
        </w:rPr>
        <w:t>9.48</w:t>
      </w:r>
      <w:r>
        <w:t>万元、</w:t>
      </w:r>
      <w:r>
        <w:rPr>
          <w:rFonts w:hint="eastAsia"/>
        </w:rPr>
        <w:t>办公用房取暖费</w:t>
      </w:r>
      <w:r>
        <w:rPr>
          <w:rFonts w:hint="eastAsia"/>
          <w:lang w:val="en-US" w:eastAsia="zh-CN"/>
        </w:rPr>
        <w:t>10.44万元</w:t>
      </w:r>
      <w:r>
        <w:t>、公务用车运行维护费以及其他费用</w:t>
      </w:r>
      <w:r>
        <w:rPr>
          <w:rFonts w:hint="eastAsia"/>
          <w:lang w:val="en-US" w:eastAsia="zh-CN"/>
        </w:rPr>
        <w:t>35.54</w:t>
      </w:r>
      <w:r>
        <w:t>万元。</w:t>
      </w:r>
      <w:bookmarkStart w:id="20" w:name="_GoBack"/>
      <w:bookmarkEnd w:id="20"/>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1.00万元，其中因公出国（境）费0.00万元；公务用车购置及运维费1.00万元（其中：公务用车购置费为0.00万元，公务用车运维费1.00万元)；公务接待费0.00万元。与2024年相比增加0.00万元，增减变化的主要原因是落实上级“过紧日子”政策，严控一般性支出，确保“三公”经费只减不增。</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2025年，我局将继续坚持以习近平新时代中国特色社会主义思想为指导，全面贯彻落实党的二十大精神，落实上级关于自然资源和规划工作的方针政策和决策部署，坚持树立和落实习近平生态文明思想和新发展理念。2025年将进一步绘好空间规划蓝图，完成各类规划编制合格率100%；筑牢调查登记之基，发挥用途管制作用，提高登记工作开展率；强化生态保护修复，严格保护耕地红线，耕地流出问题整改率不低于90%；促进资源集约利用，加快构建全市资源规划管理工作新格局，关注热点难点，切实维护群众利益，严厉打击违法行为，保障全区经济社会高质量发展，使中央、省、市、区的决策部署在全区资源规划部门落地生根，奋力推进全区一流国际旅游城市先行示范区建设。</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1.绩效目标：科学编制空间规划和做好用地规划管理工作。</w:t>
      </w:r>
    </w:p>
    <w:p>
      <w:pPr>
        <w:pStyle w:val="23"/>
      </w:pPr>
      <w:r>
        <w:t>绩效指标：</w:t>
      </w:r>
    </w:p>
    <w:p>
      <w:pPr>
        <w:pStyle w:val="23"/>
      </w:pPr>
      <w:r>
        <w:t>做好空间规划、用地规划管理工作。</w:t>
      </w:r>
    </w:p>
    <w:p>
      <w:pPr>
        <w:pStyle w:val="23"/>
      </w:pPr>
      <w:r>
        <w:t>（1）各类规划编制率。评价标准≥95%为优，≥90%为良，≥80%为中，&lt;80%为差。</w:t>
      </w:r>
    </w:p>
    <w:p>
      <w:pPr>
        <w:pStyle w:val="23"/>
      </w:pPr>
      <w:r>
        <w:t>（2）各类规划合格率。评价标准=100%。</w:t>
      </w:r>
    </w:p>
    <w:p>
      <w:pPr>
        <w:pStyle w:val="23"/>
      </w:pPr>
      <w:r>
        <w:t>（3）规划实施监测、评价完成率。评级标准≥95%为优，≥90%为良，≥80%为中，&lt;80%为差。</w:t>
      </w:r>
    </w:p>
    <w:p>
      <w:pPr>
        <w:pStyle w:val="23"/>
      </w:pPr>
      <w:r>
        <w:t>2.绩效目标：做好用地保障和土地出让工作。</w:t>
      </w:r>
    </w:p>
    <w:p>
      <w:pPr>
        <w:pStyle w:val="23"/>
      </w:pPr>
      <w:r>
        <w:t>绩效指标：</w:t>
      </w:r>
    </w:p>
    <w:p>
      <w:pPr>
        <w:pStyle w:val="23"/>
      </w:pPr>
      <w:r>
        <w:t>做好土地出让前期准备工作，为我区项目落地提供用地支撑。</w:t>
      </w:r>
    </w:p>
    <w:p>
      <w:pPr>
        <w:pStyle w:val="23"/>
      </w:pPr>
      <w:r>
        <w:t>（1）征地组卷报批工作合格率。评价标准=100%。</w:t>
      </w:r>
    </w:p>
    <w:p>
      <w:pPr>
        <w:pStyle w:val="23"/>
      </w:pPr>
      <w:r>
        <w:t>（2）完成土地交易成交率。评价标准≥90%为优，89%-70%为良，69%-50%为中，&lt;50%为差。</w:t>
      </w:r>
    </w:p>
    <w:p>
      <w:pPr>
        <w:pStyle w:val="23"/>
      </w:pPr>
      <w:r>
        <w:t>3.绩效目标：强力推进我区自然资源统一确权登记工作。</w:t>
      </w:r>
    </w:p>
    <w:p>
      <w:pPr>
        <w:pStyle w:val="23"/>
      </w:pPr>
      <w:r>
        <w:t>绩效指标：</w:t>
      </w:r>
    </w:p>
    <w:p>
      <w:pPr>
        <w:pStyle w:val="23"/>
      </w:pPr>
      <w:r>
        <w:t>逐步完成自然资源登记单元实地指界测绘工作，加快推进宅基地房地一体化确权登记。</w:t>
      </w:r>
    </w:p>
    <w:p>
      <w:pPr>
        <w:pStyle w:val="23"/>
      </w:pPr>
      <w:r>
        <w:t>（1）不动产登记提质提效工作开展率。评价标准≥90%为优，≥80%为良，≥60%为中，&lt;60%为差。</w:t>
      </w:r>
    </w:p>
    <w:p>
      <w:pPr>
        <w:pStyle w:val="23"/>
      </w:pPr>
      <w:r>
        <w:t>（2）自然资源确权登记工作开展率。评级标准≥90%为优，≥80%为良，≥80%为中，&lt;80%为差。</w:t>
      </w:r>
    </w:p>
    <w:p>
      <w:pPr>
        <w:pStyle w:val="23"/>
      </w:pPr>
      <w:r>
        <w:t>4.绩效目标：严格落实耕地保护制度。</w:t>
      </w:r>
    </w:p>
    <w:p>
      <w:pPr>
        <w:pStyle w:val="23"/>
      </w:pPr>
      <w:r>
        <w:t>绩效指标：</w:t>
      </w:r>
    </w:p>
    <w:p>
      <w:pPr>
        <w:pStyle w:val="23"/>
      </w:pPr>
      <w:r>
        <w:t>（1）耕地流出问题整改率。评价标准≥90%为优，89%-70%为良，69%-50%为中，&lt;50%为差。</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1.加强组织领导，明确工作责任。</w:t>
      </w:r>
    </w:p>
    <w:p>
      <w:pPr>
        <w:pStyle w:val="24"/>
      </w:pPr>
      <w:r>
        <w:t>高度重视预算绩效各项工作，切实加强领导，增强责任意识，召开专题会议精心谋划，周密部署，明确责任分工，重点工作成立工作专班，扎实推动，确保落实。</w:t>
      </w:r>
    </w:p>
    <w:p>
      <w:pPr>
        <w:pStyle w:val="24"/>
      </w:pPr>
      <w:r>
        <w:t>2.完善制度建设。</w:t>
      </w:r>
    </w:p>
    <w:p>
      <w:pPr>
        <w:pStyle w:val="24"/>
      </w:pPr>
      <w:r>
        <w:t>建立健全管理制度，制定了《预算管理制度》、《财务管理暂行规定》等一系列财务规章制度。为落实全面实施预算绩效管理要求，规范预算项目管理，做到部门职责与工作活动一致，认真梳理部门职责、工作活动，形成了本单位 “部门职责-工作活动”目录，建立了规范的绩效预算管理结构，健全了绩效目标指标体系。</w:t>
      </w:r>
    </w:p>
    <w:p>
      <w:pPr>
        <w:pStyle w:val="24"/>
      </w:pPr>
      <w:r>
        <w:t>3.加强支出管理。</w:t>
      </w:r>
    </w:p>
    <w:p>
      <w:pPr>
        <w:pStyle w:val="24"/>
      </w:pP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pPr>
        <w:pStyle w:val="24"/>
      </w:pPr>
      <w:r>
        <w:t>4.加强绩效运行监控。</w:t>
      </w:r>
    </w:p>
    <w:p>
      <w:pPr>
        <w:pStyle w:val="24"/>
      </w:pPr>
      <w:r>
        <w:t>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pPr>
        <w:pStyle w:val="24"/>
      </w:pPr>
      <w:r>
        <w:t>5.做好绩效自评。</w:t>
      </w:r>
    </w:p>
    <w:p>
      <w:pPr>
        <w:pStyle w:val="24"/>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pPr>
        <w:pStyle w:val="24"/>
      </w:pPr>
      <w:r>
        <w:t>6.规范财务资产管理。</w:t>
      </w:r>
    </w:p>
    <w:p>
      <w:pPr>
        <w:pStyle w:val="24"/>
      </w:pPr>
      <w:r>
        <w:t>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收支两条线”管理规定上缴同级国库。</w:t>
      </w:r>
    </w:p>
    <w:p>
      <w:pPr>
        <w:pStyle w:val="24"/>
      </w:pPr>
      <w:r>
        <w:t>7.加强内部监督。</w:t>
      </w:r>
    </w:p>
    <w:p>
      <w:pPr>
        <w:pStyle w:val="24"/>
      </w:pPr>
      <w:r>
        <w:t>建立健全内部控制体系，完善内部控制制度。建立了项目开展、大额资金使用的集体决策机制，建立了专项资金审批、使用和日常经费使用审批流程，强化对权力运行的制约和监督。建立和完善内部控制手册，严格执行《会计法》，财务人员明确岗位职责，保证单位经济活动合法合规、资产安全和使用有效、财务信息真实完整。</w:t>
      </w:r>
    </w:p>
    <w:p>
      <w:pPr>
        <w:pStyle w:val="24"/>
      </w:pPr>
      <w:r>
        <w:t>8.加强宣传培训调研等。</w:t>
      </w:r>
    </w:p>
    <w:p>
      <w:pPr>
        <w:pStyle w:val="24"/>
        <w:sectPr>
          <w:pgSz w:w="16840" w:h="11900" w:orient="landscape"/>
          <w:pgMar w:top="1361" w:right="1020" w:bottom="1361" w:left="1020" w:header="720" w:footer="720" w:gutter="0"/>
        </w:sectPr>
      </w:pPr>
      <w:r>
        <w:t>强化信息宣传，营造良好氛围。进一步加大资源规划领域信息宣传工作力度，扩大宣传范围，创新宣传方式，让各项制度简单明了、人人掌握，确保业务工作顺利进行。最大限度地争取社会各界对资源规划领域法规政策的理解和支持，树立资源规划部门良好的社会形象。</w:t>
      </w: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1、补发清算2021年度工资绩效目标表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13030425P00889910275H</w:t>
            </w:r>
          </w:p>
        </w:tc>
        <w:tc>
          <w:tcPr>
            <w:tcW w:w="2835" w:type="dxa"/>
            <w:vAlign w:val="center"/>
          </w:tcPr>
          <w:p>
            <w:pPr>
              <w:pStyle w:val="11"/>
            </w:pPr>
            <w:r>
              <w:t>项目名称</w:t>
            </w:r>
          </w:p>
        </w:tc>
        <w:tc>
          <w:tcPr>
            <w:tcW w:w="6095" w:type="dxa"/>
            <w:gridSpan w:val="3"/>
            <w:vAlign w:val="center"/>
          </w:tcPr>
          <w:p>
            <w:pPr>
              <w:pStyle w:val="13"/>
            </w:pPr>
            <w:r>
              <w:t>补发清算2021年度工资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21.60</w:t>
            </w:r>
          </w:p>
        </w:tc>
        <w:tc>
          <w:tcPr>
            <w:tcW w:w="2835" w:type="dxa"/>
            <w:vAlign w:val="center"/>
          </w:tcPr>
          <w:p>
            <w:pPr>
              <w:pStyle w:val="11"/>
            </w:pPr>
            <w:r>
              <w:t>其中：财政    资金</w:t>
            </w:r>
          </w:p>
        </w:tc>
        <w:tc>
          <w:tcPr>
            <w:tcW w:w="2551" w:type="dxa"/>
            <w:vAlign w:val="center"/>
          </w:tcPr>
          <w:p>
            <w:pPr>
              <w:pStyle w:val="13"/>
            </w:pPr>
            <w:r>
              <w:t>21.60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补发清算2021年度原国土人员在职28人、退休8人工资。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1.补发清算2021年度原国土人员在职28人、退休8人工资。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保障在职人员数量</w:t>
            </w:r>
          </w:p>
        </w:tc>
        <w:tc>
          <w:tcPr>
            <w:tcW w:w="5386" w:type="dxa"/>
            <w:vAlign w:val="center"/>
          </w:tcPr>
          <w:p>
            <w:pPr>
              <w:pStyle w:val="13"/>
            </w:pPr>
            <w:r>
              <w:t>保障在职人员数量</w:t>
            </w:r>
          </w:p>
        </w:tc>
        <w:tc>
          <w:tcPr>
            <w:tcW w:w="2268" w:type="dxa"/>
            <w:vAlign w:val="center"/>
          </w:tcPr>
          <w:p>
            <w:pPr>
              <w:pStyle w:val="13"/>
            </w:pPr>
            <w:r>
              <w:t>28人</w:t>
            </w:r>
          </w:p>
        </w:tc>
        <w:tc>
          <w:tcPr>
            <w:tcW w:w="1276" w:type="dxa"/>
            <w:vAlign w:val="center"/>
          </w:tcPr>
          <w:p>
            <w:pPr>
              <w:pStyle w:val="13"/>
            </w:pPr>
            <w:r>
              <w:t>实有人数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保障退休人员数量</w:t>
            </w:r>
          </w:p>
        </w:tc>
        <w:tc>
          <w:tcPr>
            <w:tcW w:w="5386" w:type="dxa"/>
            <w:vAlign w:val="center"/>
          </w:tcPr>
          <w:p>
            <w:pPr>
              <w:pStyle w:val="13"/>
            </w:pPr>
            <w:r>
              <w:t>保障退休人员数量</w:t>
            </w:r>
          </w:p>
        </w:tc>
        <w:tc>
          <w:tcPr>
            <w:tcW w:w="2268" w:type="dxa"/>
            <w:vAlign w:val="center"/>
          </w:tcPr>
          <w:p>
            <w:pPr>
              <w:pStyle w:val="13"/>
            </w:pPr>
            <w:r>
              <w:t>8人</w:t>
            </w:r>
          </w:p>
        </w:tc>
        <w:tc>
          <w:tcPr>
            <w:tcW w:w="1276" w:type="dxa"/>
            <w:vAlign w:val="center"/>
          </w:tcPr>
          <w:p>
            <w:pPr>
              <w:pStyle w:val="13"/>
            </w:pPr>
            <w:r>
              <w:t>实有人数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工资发放准确率</w:t>
            </w:r>
          </w:p>
        </w:tc>
        <w:tc>
          <w:tcPr>
            <w:tcW w:w="5386" w:type="dxa"/>
            <w:vAlign w:val="center"/>
          </w:tcPr>
          <w:p>
            <w:pPr>
              <w:pStyle w:val="13"/>
            </w:pPr>
            <w:r>
              <w:t>工资发放准确率</w:t>
            </w:r>
          </w:p>
        </w:tc>
        <w:tc>
          <w:tcPr>
            <w:tcW w:w="2268" w:type="dxa"/>
            <w:vAlign w:val="center"/>
          </w:tcPr>
          <w:p>
            <w:pPr>
              <w:pStyle w:val="13"/>
            </w:pPr>
            <w:r>
              <w:t>100%</w:t>
            </w:r>
          </w:p>
        </w:tc>
        <w:tc>
          <w:tcPr>
            <w:tcW w:w="1276" w:type="dxa"/>
            <w:vAlign w:val="center"/>
          </w:tcPr>
          <w:p>
            <w:pPr>
              <w:pStyle w:val="13"/>
            </w:pPr>
            <w:r>
              <w:t>年初预算安排，组织、人社部门核定标准或依据党中央、国务院批准的文件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工资补发支付及时率</w:t>
            </w:r>
          </w:p>
        </w:tc>
        <w:tc>
          <w:tcPr>
            <w:tcW w:w="2268" w:type="dxa"/>
            <w:vAlign w:val="center"/>
          </w:tcPr>
          <w:p>
            <w:pPr>
              <w:pStyle w:val="13"/>
            </w:pPr>
            <w:r>
              <w:t>100%</w:t>
            </w:r>
          </w:p>
        </w:tc>
        <w:tc>
          <w:tcPr>
            <w:tcW w:w="1276" w:type="dxa"/>
            <w:vAlign w:val="center"/>
          </w:tcPr>
          <w:p>
            <w:pPr>
              <w:pStyle w:val="13"/>
            </w:pPr>
            <w:r>
              <w:t>预算安排及年度支出进度计划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工资成本</w:t>
            </w:r>
          </w:p>
        </w:tc>
        <w:tc>
          <w:tcPr>
            <w:tcW w:w="5386" w:type="dxa"/>
            <w:vAlign w:val="center"/>
          </w:tcPr>
          <w:p>
            <w:pPr>
              <w:pStyle w:val="13"/>
            </w:pPr>
            <w:r>
              <w:t>清算2021年度工资数</w:t>
            </w:r>
          </w:p>
        </w:tc>
        <w:tc>
          <w:tcPr>
            <w:tcW w:w="2268" w:type="dxa"/>
            <w:vAlign w:val="center"/>
          </w:tcPr>
          <w:p>
            <w:pPr>
              <w:pStyle w:val="13"/>
            </w:pPr>
            <w:r>
              <w:t>≤21.6万元</w:t>
            </w:r>
          </w:p>
        </w:tc>
        <w:tc>
          <w:tcPr>
            <w:tcW w:w="1276" w:type="dxa"/>
            <w:vAlign w:val="center"/>
          </w:tcPr>
          <w:p>
            <w:pPr>
              <w:pStyle w:val="13"/>
            </w:pPr>
            <w:r>
              <w:t>预算安排</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保持单位队伍稳定</w:t>
            </w:r>
          </w:p>
        </w:tc>
        <w:tc>
          <w:tcPr>
            <w:tcW w:w="5386" w:type="dxa"/>
            <w:vAlign w:val="center"/>
          </w:tcPr>
          <w:p>
            <w:pPr>
              <w:pStyle w:val="13"/>
            </w:pPr>
            <w:r>
              <w:t>机关运行工作的稳定性</w:t>
            </w:r>
          </w:p>
        </w:tc>
        <w:tc>
          <w:tcPr>
            <w:tcW w:w="2268" w:type="dxa"/>
            <w:vAlign w:val="center"/>
          </w:tcPr>
          <w:p>
            <w:pPr>
              <w:pStyle w:val="13"/>
            </w:pPr>
            <w:r>
              <w:t>人员非正常离职率不高于上年</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单位人员对工资补贴发放工作的满意程度</w:t>
            </w:r>
          </w:p>
        </w:tc>
        <w:tc>
          <w:tcPr>
            <w:tcW w:w="2268" w:type="dxa"/>
            <w:vAlign w:val="center"/>
          </w:tcPr>
          <w:p>
            <w:pPr>
              <w:pStyle w:val="13"/>
            </w:pPr>
            <w:r>
              <w:t>≥95%</w:t>
            </w:r>
          </w:p>
        </w:tc>
        <w:tc>
          <w:tcPr>
            <w:tcW w:w="1276" w:type="dxa"/>
            <w:vAlign w:val="center"/>
          </w:tcPr>
          <w:p>
            <w:pPr>
              <w:pStyle w:val="13"/>
            </w:pPr>
            <w:r>
              <w:t>年度工作计划</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2、不动产登记、执法监察及耕地保护辅助服务项目（服务）绩效目标表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13030425P00889910274X</w:t>
            </w:r>
          </w:p>
        </w:tc>
        <w:tc>
          <w:tcPr>
            <w:tcW w:w="2835" w:type="dxa"/>
            <w:vAlign w:val="center"/>
          </w:tcPr>
          <w:p>
            <w:pPr>
              <w:pStyle w:val="11"/>
            </w:pPr>
            <w:r>
              <w:t>项目名称</w:t>
            </w:r>
          </w:p>
        </w:tc>
        <w:tc>
          <w:tcPr>
            <w:tcW w:w="6095" w:type="dxa"/>
            <w:gridSpan w:val="3"/>
            <w:vAlign w:val="center"/>
          </w:tcPr>
          <w:p>
            <w:pPr>
              <w:pStyle w:val="13"/>
            </w:pPr>
            <w:r>
              <w:t>不动产登记、执法监察及耕地保护辅助服务项目（服务）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142.56</w:t>
            </w:r>
          </w:p>
        </w:tc>
        <w:tc>
          <w:tcPr>
            <w:tcW w:w="2835" w:type="dxa"/>
            <w:vAlign w:val="center"/>
          </w:tcPr>
          <w:p>
            <w:pPr>
              <w:pStyle w:val="11"/>
            </w:pPr>
            <w:r>
              <w:t>其中：财政    资金</w:t>
            </w:r>
          </w:p>
        </w:tc>
        <w:tc>
          <w:tcPr>
            <w:tcW w:w="2551" w:type="dxa"/>
            <w:vAlign w:val="center"/>
          </w:tcPr>
          <w:p>
            <w:pPr>
              <w:pStyle w:val="13"/>
            </w:pPr>
            <w:r>
              <w:t>142.56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通过不动产登记、执法监察及耕地保护辅助服务项目（服务），保障相关业务工作正常开展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1.通过不动产登记、执法监察及耕地保护辅助服务项目（服务），保障相关业务工作正常开展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保障业务工作数量</w:t>
            </w:r>
          </w:p>
        </w:tc>
        <w:tc>
          <w:tcPr>
            <w:tcW w:w="5386" w:type="dxa"/>
            <w:vAlign w:val="center"/>
          </w:tcPr>
          <w:p>
            <w:pPr>
              <w:pStyle w:val="13"/>
            </w:pPr>
            <w:r>
              <w:t>保障业务工作数量</w:t>
            </w:r>
          </w:p>
        </w:tc>
        <w:tc>
          <w:tcPr>
            <w:tcW w:w="2268" w:type="dxa"/>
            <w:vAlign w:val="center"/>
          </w:tcPr>
          <w:p>
            <w:pPr>
              <w:pStyle w:val="13"/>
            </w:pPr>
            <w:r>
              <w:t>3项</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支付准确率</w:t>
            </w:r>
          </w:p>
        </w:tc>
        <w:tc>
          <w:tcPr>
            <w:tcW w:w="5386" w:type="dxa"/>
            <w:vAlign w:val="center"/>
          </w:tcPr>
          <w:p>
            <w:pPr>
              <w:pStyle w:val="13"/>
            </w:pPr>
            <w:r>
              <w:t>支付准确率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支付及时率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控制预算数</w:t>
            </w:r>
          </w:p>
        </w:tc>
        <w:tc>
          <w:tcPr>
            <w:tcW w:w="5386" w:type="dxa"/>
            <w:vAlign w:val="center"/>
          </w:tcPr>
          <w:p>
            <w:pPr>
              <w:pStyle w:val="13"/>
            </w:pPr>
            <w:r>
              <w:t>不超过财政支持经费</w:t>
            </w:r>
          </w:p>
        </w:tc>
        <w:tc>
          <w:tcPr>
            <w:tcW w:w="2268" w:type="dxa"/>
            <w:vAlign w:val="center"/>
          </w:tcPr>
          <w:p>
            <w:pPr>
              <w:pStyle w:val="13"/>
            </w:pPr>
            <w:r>
              <w:t>预算内金额</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有效保证业务工作顺利开展</w:t>
            </w:r>
          </w:p>
        </w:tc>
        <w:tc>
          <w:tcPr>
            <w:tcW w:w="2268" w:type="dxa"/>
            <w:vAlign w:val="center"/>
          </w:tcPr>
          <w:p>
            <w:pPr>
              <w:pStyle w:val="13"/>
            </w:pPr>
            <w:r>
              <w:t>顺利开展</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职工满意度</w:t>
            </w:r>
          </w:p>
        </w:tc>
        <w:tc>
          <w:tcPr>
            <w:tcW w:w="2268" w:type="dxa"/>
            <w:vAlign w:val="center"/>
          </w:tcPr>
          <w:p>
            <w:pPr>
              <w:pStyle w:val="13"/>
            </w:pPr>
            <w:r>
              <w:t>≥95%</w:t>
            </w:r>
          </w:p>
        </w:tc>
        <w:tc>
          <w:tcPr>
            <w:tcW w:w="1276" w:type="dxa"/>
            <w:vAlign w:val="center"/>
          </w:tcPr>
          <w:p>
            <w:pPr>
              <w:pStyle w:val="13"/>
            </w:pPr>
            <w:r>
              <w:t>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3、自然资源和规划事务工作经费绩效目标表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13030425P00888510364D</w:t>
            </w:r>
          </w:p>
        </w:tc>
        <w:tc>
          <w:tcPr>
            <w:tcW w:w="2835" w:type="dxa"/>
            <w:vAlign w:val="center"/>
          </w:tcPr>
          <w:p>
            <w:pPr>
              <w:pStyle w:val="11"/>
            </w:pPr>
            <w:r>
              <w:t>项目名称</w:t>
            </w:r>
          </w:p>
        </w:tc>
        <w:tc>
          <w:tcPr>
            <w:tcW w:w="6095" w:type="dxa"/>
            <w:gridSpan w:val="3"/>
            <w:vAlign w:val="center"/>
          </w:tcPr>
          <w:p>
            <w:pPr>
              <w:pStyle w:val="13"/>
            </w:pPr>
            <w:r>
              <w:t>自然资源和规划事务工作经费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120.00</w:t>
            </w:r>
          </w:p>
        </w:tc>
        <w:tc>
          <w:tcPr>
            <w:tcW w:w="2835" w:type="dxa"/>
            <w:vAlign w:val="center"/>
          </w:tcPr>
          <w:p>
            <w:pPr>
              <w:pStyle w:val="11"/>
            </w:pPr>
            <w:r>
              <w:t>其中：财政    资金</w:t>
            </w:r>
          </w:p>
        </w:tc>
        <w:tc>
          <w:tcPr>
            <w:tcW w:w="2551" w:type="dxa"/>
            <w:vAlign w:val="center"/>
          </w:tcPr>
          <w:p>
            <w:pPr>
              <w:pStyle w:val="13"/>
            </w:pPr>
            <w:r>
              <w:t>120.00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保障日常办公、土地评估、土地测绘、土地规划等业务工作的正常开展，提高便民利民服务水平，履行自然资源和规划工作职责。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1.保障日常办公、土地评估、土地测绘、土地规划等业务工作的正常开展，提高便民利民服务水平，履行自然资源和规划工作职责。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保障办公人数</w:t>
            </w:r>
          </w:p>
        </w:tc>
        <w:tc>
          <w:tcPr>
            <w:tcW w:w="5386" w:type="dxa"/>
            <w:vAlign w:val="center"/>
          </w:tcPr>
          <w:p>
            <w:pPr>
              <w:pStyle w:val="13"/>
            </w:pPr>
            <w:r>
              <w:t>保障办公人数</w:t>
            </w:r>
          </w:p>
        </w:tc>
        <w:tc>
          <w:tcPr>
            <w:tcW w:w="2268" w:type="dxa"/>
            <w:vAlign w:val="center"/>
          </w:tcPr>
          <w:p>
            <w:pPr>
              <w:pStyle w:val="13"/>
            </w:pPr>
            <w:r>
              <w:t>≤37人</w:t>
            </w:r>
          </w:p>
        </w:tc>
        <w:tc>
          <w:tcPr>
            <w:tcW w:w="1276" w:type="dxa"/>
            <w:vAlign w:val="center"/>
          </w:tcPr>
          <w:p>
            <w:pPr>
              <w:pStyle w:val="13"/>
            </w:pPr>
            <w:r>
              <w:t>实有人数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运转保障率</w:t>
            </w:r>
          </w:p>
        </w:tc>
        <w:tc>
          <w:tcPr>
            <w:tcW w:w="5386" w:type="dxa"/>
            <w:vAlign w:val="center"/>
          </w:tcPr>
          <w:p>
            <w:pPr>
              <w:pStyle w:val="13"/>
            </w:pPr>
            <w:r>
              <w:t>各项日常工作保障率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经费保障及时性</w:t>
            </w:r>
          </w:p>
        </w:tc>
        <w:tc>
          <w:tcPr>
            <w:tcW w:w="5386" w:type="dxa"/>
            <w:vAlign w:val="center"/>
          </w:tcPr>
          <w:p>
            <w:pPr>
              <w:pStyle w:val="13"/>
            </w:pPr>
            <w:r>
              <w:t>及时保障各项日常办公需要</w:t>
            </w:r>
          </w:p>
        </w:tc>
        <w:tc>
          <w:tcPr>
            <w:tcW w:w="2268" w:type="dxa"/>
            <w:vAlign w:val="center"/>
          </w:tcPr>
          <w:p>
            <w:pPr>
              <w:pStyle w:val="13"/>
            </w:pPr>
            <w:r>
              <w:t>及时保障</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委托业务费</w:t>
            </w:r>
          </w:p>
        </w:tc>
        <w:tc>
          <w:tcPr>
            <w:tcW w:w="5386" w:type="dxa"/>
            <w:vAlign w:val="center"/>
          </w:tcPr>
          <w:p>
            <w:pPr>
              <w:pStyle w:val="13"/>
            </w:pPr>
            <w:r>
              <w:t>全年委托业务费支出</w:t>
            </w:r>
          </w:p>
        </w:tc>
        <w:tc>
          <w:tcPr>
            <w:tcW w:w="2268" w:type="dxa"/>
            <w:vAlign w:val="center"/>
          </w:tcPr>
          <w:p>
            <w:pPr>
              <w:pStyle w:val="13"/>
            </w:pPr>
            <w:r>
              <w:t>≤110万元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其他商品服务支出</w:t>
            </w:r>
          </w:p>
        </w:tc>
        <w:tc>
          <w:tcPr>
            <w:tcW w:w="5386" w:type="dxa"/>
            <w:vAlign w:val="center"/>
          </w:tcPr>
          <w:p>
            <w:pPr>
              <w:pStyle w:val="13"/>
            </w:pPr>
            <w:r>
              <w:t>全年其他商品服务支出</w:t>
            </w:r>
          </w:p>
        </w:tc>
        <w:tc>
          <w:tcPr>
            <w:tcW w:w="2268" w:type="dxa"/>
            <w:vAlign w:val="center"/>
          </w:tcPr>
          <w:p>
            <w:pPr>
              <w:pStyle w:val="13"/>
            </w:pPr>
            <w:r>
              <w:t>≤10万元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保障日常办公需要，维持单位正常运转</w:t>
            </w:r>
          </w:p>
        </w:tc>
        <w:tc>
          <w:tcPr>
            <w:tcW w:w="5386" w:type="dxa"/>
            <w:vAlign w:val="center"/>
          </w:tcPr>
          <w:p>
            <w:pPr>
              <w:pStyle w:val="13"/>
            </w:pPr>
            <w:r>
              <w:t>保障日常办公需要，维持单位正常运转</w:t>
            </w:r>
          </w:p>
        </w:tc>
        <w:tc>
          <w:tcPr>
            <w:tcW w:w="2268" w:type="dxa"/>
            <w:vAlign w:val="center"/>
          </w:tcPr>
          <w:p>
            <w:pPr>
              <w:pStyle w:val="13"/>
            </w:pPr>
            <w:r>
              <w:t>维持单位正常运转</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324秦皇岛市北戴河区自然资源和规划局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255.55</w:t>
            </w:r>
          </w:p>
        </w:tc>
        <w:tc>
          <w:tcPr>
            <w:tcW w:w="964" w:type="dxa"/>
            <w:vAlign w:val="center"/>
          </w:tcPr>
          <w:p>
            <w:pPr>
              <w:pStyle w:val="16"/>
            </w:pPr>
            <w:r>
              <w:t>255.55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253.75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秦皇岛市北戴河区自然资源和规划局（本级）小计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255.55</w:t>
            </w:r>
          </w:p>
        </w:tc>
        <w:tc>
          <w:tcPr>
            <w:tcW w:w="964" w:type="dxa"/>
            <w:vAlign w:val="center"/>
          </w:tcPr>
          <w:p>
            <w:pPr>
              <w:pStyle w:val="16"/>
            </w:pPr>
            <w:r>
              <w:t>255.55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253.75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公用经费二</w:t>
            </w:r>
          </w:p>
        </w:tc>
        <w:tc>
          <w:tcPr>
            <w:tcW w:w="964" w:type="dxa"/>
            <w:vAlign w:val="center"/>
          </w:tcPr>
          <w:p>
            <w:pPr>
              <w:pStyle w:val="12"/>
            </w:pPr>
            <w:r>
              <w:t>35.46</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28.33</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包</w:t>
            </w:r>
          </w:p>
        </w:tc>
        <w:tc>
          <w:tcPr>
            <w:tcW w:w="850" w:type="dxa"/>
            <w:vAlign w:val="center"/>
          </w:tcPr>
          <w:p>
            <w:pPr>
              <w:pStyle w:val="12"/>
            </w:pPr>
            <w:r>
              <w:t>85</w:t>
            </w:r>
          </w:p>
        </w:tc>
        <w:tc>
          <w:tcPr>
            <w:tcW w:w="850" w:type="dxa"/>
            <w:vAlign w:val="center"/>
          </w:tcPr>
          <w:p>
            <w:pPr>
              <w:pStyle w:val="12"/>
            </w:pPr>
            <w:r>
              <w:t>0.00</w:t>
            </w:r>
          </w:p>
        </w:tc>
        <w:tc>
          <w:tcPr>
            <w:tcW w:w="964" w:type="dxa"/>
            <w:vAlign w:val="center"/>
          </w:tcPr>
          <w:p>
            <w:pPr>
              <w:pStyle w:val="12"/>
            </w:pPr>
            <w:r>
              <w:t>0.39</w:t>
            </w:r>
          </w:p>
        </w:tc>
        <w:tc>
          <w:tcPr>
            <w:tcW w:w="964" w:type="dxa"/>
            <w:vAlign w:val="center"/>
          </w:tcPr>
          <w:p>
            <w:pPr>
              <w:pStyle w:val="12"/>
            </w:pPr>
            <w:r>
              <w:t>0.39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28.33</w:t>
            </w:r>
          </w:p>
        </w:tc>
        <w:tc>
          <w:tcPr>
            <w:tcW w:w="1134" w:type="dxa"/>
            <w:vAlign w:val="center"/>
          </w:tcPr>
          <w:p>
            <w:pPr>
              <w:pStyle w:val="13"/>
            </w:pPr>
            <w:r>
              <w:t>其他硒鼓、粉盒</w:t>
            </w:r>
          </w:p>
        </w:tc>
        <w:tc>
          <w:tcPr>
            <w:tcW w:w="1134" w:type="dxa"/>
            <w:vAlign w:val="center"/>
          </w:tcPr>
          <w:p>
            <w:pPr>
              <w:pStyle w:val="13"/>
            </w:pPr>
            <w:r>
              <w:t>A05040299</w:t>
            </w:r>
          </w:p>
        </w:tc>
        <w:tc>
          <w:tcPr>
            <w:tcW w:w="709" w:type="dxa"/>
            <w:vAlign w:val="center"/>
          </w:tcPr>
          <w:p>
            <w:pPr>
              <w:pStyle w:val="14"/>
            </w:pPr>
            <w:r>
              <w:t>盒</w:t>
            </w:r>
          </w:p>
        </w:tc>
        <w:tc>
          <w:tcPr>
            <w:tcW w:w="850" w:type="dxa"/>
            <w:vAlign w:val="center"/>
          </w:tcPr>
          <w:p>
            <w:pPr>
              <w:pStyle w:val="12"/>
            </w:pPr>
            <w:r>
              <w:t>15</w:t>
            </w:r>
          </w:p>
        </w:tc>
        <w:tc>
          <w:tcPr>
            <w:tcW w:w="850" w:type="dxa"/>
            <w:vAlign w:val="center"/>
          </w:tcPr>
          <w:p>
            <w:pPr>
              <w:pStyle w:val="12"/>
            </w:pPr>
            <w:r>
              <w:t>0.04</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28.33</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28.33</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不动产登记、执法监察及耕地保护辅助服务项目（服务）</w:t>
            </w:r>
          </w:p>
        </w:tc>
        <w:tc>
          <w:tcPr>
            <w:tcW w:w="964" w:type="dxa"/>
            <w:vAlign w:val="center"/>
          </w:tcPr>
          <w:p>
            <w:pPr>
              <w:pStyle w:val="12"/>
            </w:pPr>
            <w:r>
              <w:t>142.56</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142.56</w:t>
            </w:r>
          </w:p>
        </w:tc>
        <w:tc>
          <w:tcPr>
            <w:tcW w:w="964" w:type="dxa"/>
            <w:vAlign w:val="center"/>
          </w:tcPr>
          <w:p>
            <w:pPr>
              <w:pStyle w:val="12"/>
            </w:pPr>
            <w:r>
              <w:t>142.56</w:t>
            </w:r>
          </w:p>
        </w:tc>
        <w:tc>
          <w:tcPr>
            <w:tcW w:w="964" w:type="dxa"/>
            <w:vAlign w:val="center"/>
          </w:tcPr>
          <w:p>
            <w:pPr>
              <w:pStyle w:val="12"/>
            </w:pPr>
            <w:r>
              <w:t>142.56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142.56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自然资源和规划事务工作经费</w:t>
            </w:r>
          </w:p>
        </w:tc>
        <w:tc>
          <w:tcPr>
            <w:tcW w:w="964" w:type="dxa"/>
            <w:vAlign w:val="center"/>
          </w:tcPr>
          <w:p>
            <w:pPr>
              <w:pStyle w:val="12"/>
            </w:pPr>
            <w:r>
              <w:t>120.00</w:t>
            </w:r>
          </w:p>
        </w:tc>
        <w:tc>
          <w:tcPr>
            <w:tcW w:w="1134" w:type="dxa"/>
            <w:vAlign w:val="center"/>
          </w:tcPr>
          <w:p>
            <w:pPr>
              <w:pStyle w:val="13"/>
            </w:pPr>
            <w:r>
              <w:t>其他专业技术服务</w:t>
            </w:r>
          </w:p>
        </w:tc>
        <w:tc>
          <w:tcPr>
            <w:tcW w:w="1134" w:type="dxa"/>
            <w:vAlign w:val="center"/>
          </w:tcPr>
          <w:p>
            <w:pPr>
              <w:pStyle w:val="13"/>
            </w:pPr>
            <w:r>
              <w:t>C19990000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110.00</w:t>
            </w:r>
          </w:p>
        </w:tc>
        <w:tc>
          <w:tcPr>
            <w:tcW w:w="964" w:type="dxa"/>
            <w:vAlign w:val="center"/>
          </w:tcPr>
          <w:p>
            <w:pPr>
              <w:pStyle w:val="12"/>
            </w:pPr>
            <w:r>
              <w:t>110.00</w:t>
            </w:r>
          </w:p>
        </w:tc>
        <w:tc>
          <w:tcPr>
            <w:tcW w:w="964" w:type="dxa"/>
            <w:vAlign w:val="center"/>
          </w:tcPr>
          <w:p>
            <w:pPr>
              <w:pStyle w:val="12"/>
            </w:pPr>
            <w:r>
              <w:t>110.00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秦皇岛市北戴河区自然资源和规划局（含所属单位）上年末固定资产金额为338.79万元（详见下表）。本年度拟购置固定资产总额为0.00万元，已按要求列入政府采购预算，详见政府采购预算表。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324秦皇岛市北戴河区自然资源和规划局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338.79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36.27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668</w:t>
            </w:r>
          </w:p>
        </w:tc>
        <w:tc>
          <w:tcPr>
            <w:tcW w:w="2835" w:type="dxa"/>
            <w:vAlign w:val="center"/>
          </w:tcPr>
          <w:p>
            <w:pPr>
              <w:pStyle w:val="12"/>
            </w:pPr>
            <w:r>
              <w:t>302.52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1B0156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TotalTime>1</TotalTime>
  <ScaleCrop>false</ScaleCrop>
  <LinksUpToDate>false</LinksUpToDate>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2025-02-11T09:06:00Z</dcterms:created>
  <dc:creator>Administrator</dc:creator>
  <cp:lastModifiedBy>Administrator</cp:lastModifiedBy>
  <dcterms:modified xsi:type="dcterms:W3CDTF">2025-02-11T01:13:07Z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