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t xml:space="preserve">部门预算收支总表</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14562"/>
        </w:tabs>
      </w:pPr>
      <w:hyperlink w:anchor="_Toc_2_2_0000000002" w:history="1">
        <w:r>
          <w:t xml:space="preserve">部门预算收入总表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14562"/>
        </w:tabs>
      </w:pPr>
      <w:hyperlink w:anchor="_Toc_2_2_0000000003" w:history="1">
        <w:r>
          <w:t xml:space="preserve">部门预算支出总表</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14562"/>
        </w:tabs>
      </w:pPr>
      <w:hyperlink w:anchor="_Toc_2_2_0000000004" w:history="1">
        <w:r>
          <w:t xml:space="preserve">部门预算财政拨款收支总表</w:t>
        </w:r>
        <w:r>
          <w:tab/>
        </w:r>
        <w:r>
          <w:fldChar w:fldCharType="begin"/>
        </w:r>
        <w:r>
          <w:instrText xml:space="preserve">PAGEREF _Toc_2_2_0000000004 \h</w:instrText>
        </w:r>
        <w:r>
          <w:fldChar w:fldCharType="separate"/>
        </w:r>
        <w:r>
          <w:t xml:space="preserve">7</w:t>
        </w:r>
        <w:r>
          <w:fldChar w:fldCharType="end"/>
        </w:r>
      </w:hyperlink>
    </w:p>
    <w:p>
      <w:pPr>
        <w:pStyle w:val="TOC1"/>
        <w:tabs>
          <w:tab w:val="right" w:leader="dot" w:pos="14562"/>
        </w:tabs>
      </w:pPr>
      <w:hyperlink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9</w:t>
        </w:r>
        <w:r>
          <w:fldChar w:fldCharType="end"/>
        </w:r>
      </w:hyperlink>
    </w:p>
    <w:p>
      <w:pPr>
        <w:pStyle w:val="TOC1"/>
        <w:tabs>
          <w:tab w:val="right" w:leader="dot" w:pos="14562"/>
        </w:tabs>
      </w:pPr>
      <w:hyperlink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10</w:t>
        </w:r>
        <w:r>
          <w:fldChar w:fldCharType="end"/>
        </w:r>
      </w:hyperlink>
    </w:p>
    <w:p>
      <w:pPr>
        <w:pStyle w:val="TOC1"/>
        <w:tabs>
          <w:tab w:val="right" w:leader="dot" w:pos="14562"/>
        </w:tabs>
      </w:pPr>
      <w:hyperlink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12</w:t>
        </w:r>
        <w:r>
          <w:fldChar w:fldCharType="end"/>
        </w:r>
      </w:hyperlink>
    </w:p>
    <w:p>
      <w:pPr>
        <w:pStyle w:val="TOC1"/>
        <w:tabs>
          <w:tab w:val="right" w:leader="dot" w:pos="14562"/>
        </w:tabs>
      </w:pPr>
      <w:hyperlink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13</w:t>
        </w:r>
        <w:r>
          <w:fldChar w:fldCharType="end"/>
        </w:r>
      </w:hyperlink>
    </w:p>
    <w:p>
      <w:pPr>
        <w:pStyle w:val="TOC1"/>
        <w:tabs>
          <w:tab w:val="right" w:leader="dot" w:pos="14562"/>
        </w:tabs>
      </w:pPr>
      <w:hyperlink w:anchor="_Toc_2_2_0000000009" w:history="1">
        <w:r>
          <w:t xml:space="preserve">部门预算财政拨款“三公”经费支出表</w:t>
        </w:r>
        <w:r>
          <w:tab/>
        </w:r>
        <w:r>
          <w:fldChar w:fldCharType="begin"/>
        </w:r>
        <w:r>
          <w:instrText xml:space="preserve">PAGEREF _Toc_2_2_0000000009 \h</w:instrText>
        </w:r>
        <w:r>
          <w:fldChar w:fldCharType="separate"/>
        </w:r>
        <w:r>
          <w:t xml:space="preserve">14</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t xml:space="preserve">一、部门职责及机构设置情况</w:t>
        </w:r>
        <w:r>
          <w:tab/>
        </w:r>
        <w:r>
          <w:fldChar w:fldCharType="begin"/>
        </w:r>
        <w:r>
          <w:instrText xml:space="preserve">PAGEREF _Toc_3_3_0000000010 \h</w:instrText>
        </w:r>
        <w:r>
          <w:fldChar w:fldCharType="separate"/>
        </w:r>
        <w:r>
          <w:t xml:space="preserve">15</w:t>
        </w:r>
        <w:r>
          <w:fldChar w:fldCharType="end"/>
        </w:r>
      </w:hyperlink>
    </w:p>
    <w:p>
      <w:pPr>
        <w:pStyle w:val="TOC1"/>
        <w:tabs>
          <w:tab w:val="right" w:leader="dot" w:pos="14562"/>
        </w:tabs>
      </w:pPr>
      <w:hyperlink w:anchor="_Toc_3_3_0000000011" w:history="1">
        <w:r>
          <w:t xml:space="preserve">二、部门预算安排的总体情况</w:t>
        </w:r>
        <w:r>
          <w:tab/>
        </w:r>
        <w:r>
          <w:fldChar w:fldCharType="begin"/>
        </w:r>
        <w:r>
          <w:instrText xml:space="preserve">PAGEREF _Toc_3_3_0000000011 \h</w:instrText>
        </w:r>
        <w:r>
          <w:fldChar w:fldCharType="separate"/>
        </w:r>
        <w:r>
          <w:t xml:space="preserve">16</w:t>
        </w:r>
        <w:r>
          <w:fldChar w:fldCharType="end"/>
        </w:r>
      </w:hyperlink>
    </w:p>
    <w:p>
      <w:pPr>
        <w:pStyle w:val="TOC1"/>
        <w:tabs>
          <w:tab w:val="right" w:leader="dot" w:pos="14562"/>
        </w:tabs>
      </w:pPr>
      <w:hyperlink w:anchor="_Toc_3_3_0000000012" w:history="1">
        <w:r>
          <w:t xml:space="preserve">三、机关运行经费安排情况</w:t>
        </w:r>
        <w:r>
          <w:tab/>
        </w:r>
        <w:r>
          <w:fldChar w:fldCharType="begin"/>
        </w:r>
        <w:r>
          <w:instrText xml:space="preserve">PAGEREF _Toc_3_3_0000000012 \h</w:instrText>
        </w:r>
        <w:r>
          <w:fldChar w:fldCharType="separate"/>
        </w:r>
        <w:r>
          <w:t xml:space="preserve">17</w:t>
        </w:r>
        <w:r>
          <w:fldChar w:fldCharType="end"/>
        </w:r>
      </w:hyperlink>
    </w:p>
    <w:p>
      <w:pPr>
        <w:pStyle w:val="TOC1"/>
        <w:tabs>
          <w:tab w:val="right" w:leader="dot" w:pos="14562"/>
        </w:tabs>
      </w:pPr>
      <w:hyperlink w:anchor="_Toc_3_3_0000000013" w:history="1">
        <w:r>
          <w:t xml:space="preserve">四、财政拨款“三公”经费预算情况及增减变化原因</w:t>
        </w:r>
        <w:r>
          <w:tab/>
        </w:r>
        <w:r>
          <w:fldChar w:fldCharType="begin"/>
        </w:r>
        <w:r>
          <w:instrText xml:space="preserve">PAGEREF _Toc_3_3_0000000013 \h</w:instrText>
        </w:r>
        <w:r>
          <w:fldChar w:fldCharType="separate"/>
        </w:r>
        <w:r>
          <w:t xml:space="preserve">18</w:t>
        </w:r>
        <w:r>
          <w:fldChar w:fldCharType="end"/>
        </w:r>
      </w:hyperlink>
    </w:p>
    <w:p>
      <w:pPr>
        <w:pStyle w:val="TOC1"/>
        <w:tabs>
          <w:tab w:val="right" w:leader="dot" w:pos="14562"/>
        </w:tabs>
      </w:pPr>
      <w:hyperlink w:anchor="_Toc_3_3_0000000014" w:history="1">
        <w:r>
          <w:t xml:space="preserve">五、部门整体绩效目标</w:t>
        </w:r>
        <w:r>
          <w:tab/>
        </w:r>
        <w:r>
          <w:fldChar w:fldCharType="begin"/>
        </w:r>
        <w:r>
          <w:instrText xml:space="preserve">PAGEREF _Toc_3_3_0000000014 \h</w:instrText>
        </w:r>
        <w:r>
          <w:fldChar w:fldCharType="separate"/>
        </w:r>
        <w:r>
          <w:t xml:space="preserve">18</w:t>
        </w:r>
        <w:r>
          <w:fldChar w:fldCharType="end"/>
        </w:r>
      </w:hyperlink>
    </w:p>
    <w:p>
      <w:pPr>
        <w:pStyle w:val="TOC1"/>
        <w:tabs>
          <w:tab w:val="right" w:leader="dot" w:pos="14562"/>
        </w:tabs>
      </w:pPr>
      <w:hyperlink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21</w:t>
        </w:r>
        <w:r>
          <w:fldChar w:fldCharType="end"/>
        </w:r>
      </w:hyperlink>
    </w:p>
    <w:p>
      <w:pPr>
        <w:pStyle w:val="TOC1"/>
        <w:tabs>
          <w:tab w:val="right" w:leader="dot" w:pos="14562"/>
        </w:tabs>
      </w:pPr>
      <w:hyperlink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22</w:t>
        </w:r>
        <w:r>
          <w:fldChar w:fldCharType="end"/>
        </w:r>
      </w:hyperlink>
    </w:p>
    <w:p>
      <w:pPr>
        <w:pStyle w:val="TOC1"/>
        <w:tabs>
          <w:tab w:val="right" w:leader="dot" w:pos="14562"/>
        </w:tabs>
      </w:pPr>
      <w:hyperlink w:anchor="_Toc_3_3_0000000017" w:history="1">
        <w:r>
          <w:t xml:space="preserve">八、政府采购预算情况</w:t>
        </w:r>
        <w:r>
          <w:tab/>
        </w:r>
        <w:r>
          <w:fldChar w:fldCharType="begin"/>
        </w:r>
        <w:r>
          <w:instrText xml:space="preserve">PAGEREF _Toc_3_3_0000000017 \h</w:instrText>
        </w:r>
        <w:r>
          <w:fldChar w:fldCharType="separate"/>
        </w:r>
        <w:r>
          <w:t xml:space="preserve">28</w:t>
        </w:r>
        <w:r>
          <w:fldChar w:fldCharType="end"/>
        </w:r>
      </w:hyperlink>
    </w:p>
    <w:p>
      <w:pPr>
        <w:pStyle w:val="TOC1"/>
        <w:tabs>
          <w:tab w:val="right" w:leader="dot" w:pos="14562"/>
        </w:tabs>
      </w:pPr>
      <w:hyperlink w:anchor="_Toc_3_3_0000000018" w:history="1">
        <w:r>
          <w:t xml:space="preserve">九、国有资产信息</w:t>
        </w:r>
        <w:r>
          <w:tab/>
        </w:r>
        <w:r>
          <w:fldChar w:fldCharType="begin"/>
        </w:r>
        <w:r>
          <w:instrText xml:space="preserve">PAGEREF _Toc_3_3_0000000018 \h</w:instrText>
        </w:r>
        <w:r>
          <w:fldChar w:fldCharType="separate"/>
        </w:r>
        <w:r>
          <w:t xml:space="preserve">28</w:t>
        </w:r>
        <w:r>
          <w:fldChar w:fldCharType="end"/>
        </w:r>
      </w:hyperlink>
    </w:p>
    <w:p>
      <w:pPr>
        <w:pStyle w:val="TOC1"/>
        <w:tabs>
          <w:tab w:val="right" w:leader="dot" w:pos="14562"/>
        </w:tabs>
      </w:pPr>
      <w:hyperlink w:anchor="_Toc_3_3_0000000019" w:history="1">
        <w:r>
          <w:t xml:space="preserve">十、名词解释</w:t>
        </w:r>
        <w:r>
          <w:tab/>
        </w:r>
        <w:r>
          <w:fldChar w:fldCharType="begin"/>
        </w:r>
        <w:r>
          <w:instrText xml:space="preserve">PAGEREF _Toc_3_3_0000000019 \h</w:instrText>
        </w:r>
        <w:r>
          <w:fldChar w:fldCharType="separate"/>
        </w:r>
        <w:r>
          <w:t xml:space="preserve">29</w:t>
        </w:r>
        <w:r>
          <w:fldChar w:fldCharType="end"/>
        </w:r>
      </w:hyperlink>
    </w:p>
    <w:p>
      <w:pPr>
        <w:pStyle w:val="TOC1"/>
        <w:tabs>
          <w:tab w:val="right" w:leader="dot" w:pos="14562"/>
        </w:tabs>
      </w:pPr>
      <w:hyperlink w:anchor="_Toc_3_3_0000000020" w:history="1">
        <w:r>
          <w:t xml:space="preserve">十一、其他需要说明的事项</w:t>
        </w:r>
        <w:r>
          <w:tab/>
        </w:r>
        <w:r>
          <w:fldChar w:fldCharType="begin"/>
        </w:r>
        <w:r>
          <w:instrText xml:space="preserve">PAGEREF _Toc_3_3_0000000020 \h</w:instrText>
        </w:r>
        <w:r>
          <w:fldChar w:fldCharType="separate"/>
        </w:r>
        <w:r>
          <w:t xml:space="preserve">30</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510.44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400.42</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54.47</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30.99</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24.56</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510.44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510.44</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510.44</w:t>
            </w:r>
          </w:p>
        </w:tc>
        <w:tc>
          <w:tcPr>
            <w:tcW w:w="4535" w:type="dxa"/>
            <w:vAlign w:val="center"/>
          </w:tcPr>
          <w:p>
            <w:pPr>
              <w:pStyle w:val="单元格样式6"/>
            </w:pPr>
            <w:r>
              <w:t xml:space="preserve">支出总计</w:t>
            </w:r>
          </w:p>
        </w:tc>
        <w:tc>
          <w:tcPr>
            <w:tcW w:w="2126" w:type="dxa"/>
            <w:vAlign w:val="center"/>
          </w:tcPr>
          <w:p>
            <w:pPr>
              <w:pStyle w:val="单元格样式7"/>
            </w:pPr>
            <w:r>
              <w:t xml:space="preserve">510.44</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510.44</w:t>
            </w:r>
          </w:p>
        </w:tc>
        <w:tc>
          <w:tcPr>
            <w:tcW w:w="1134" w:type="dxa"/>
            <w:vAlign w:val="center"/>
          </w:tcPr>
          <w:p>
            <w:pPr>
              <w:pStyle w:val="单元格样式7"/>
            </w:pPr>
            <w:r>
              <w:t xml:space="preserve">510.44</w:t>
            </w:r>
          </w:p>
        </w:tc>
        <w:tc>
          <w:tcPr>
            <w:tcW w:w="1134" w:type="dxa"/>
            <w:vAlign w:val="center"/>
          </w:tcPr>
          <w:p>
            <w:pPr>
              <w:pStyle w:val="单元格样式7"/>
            </w:pPr>
            <w:r>
              <w:t xml:space="preserve">510.44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400.42</w:t>
            </w:r>
          </w:p>
        </w:tc>
        <w:tc>
          <w:tcPr>
            <w:tcW w:w="1134" w:type="dxa"/>
            <w:vAlign w:val="center"/>
          </w:tcPr>
          <w:p>
            <w:pPr>
              <w:pStyle w:val="单元格样式4"/>
            </w:pPr>
            <w:r>
              <w:t xml:space="preserve">400.42</w:t>
            </w:r>
          </w:p>
        </w:tc>
        <w:tc>
          <w:tcPr>
            <w:tcW w:w="1134" w:type="dxa"/>
            <w:vAlign w:val="center"/>
          </w:tcPr>
          <w:p>
            <w:pPr>
              <w:pStyle w:val="单元格样式4"/>
            </w:pPr>
            <w:r>
              <w:t xml:space="preserve">400.42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20105</w:t>
            </w:r>
          </w:p>
        </w:tc>
        <w:tc>
          <w:tcPr>
            <w:tcW w:w="1559" w:type="dxa"/>
            <w:vAlign w:val="center"/>
          </w:tcPr>
          <w:p>
            <w:pPr>
              <w:pStyle w:val="单元格样式2"/>
            </w:pPr>
            <w:r>
              <w:t xml:space="preserve">统计信息事务</w:t>
            </w:r>
          </w:p>
        </w:tc>
        <w:tc>
          <w:tcPr>
            <w:tcW w:w="1134" w:type="dxa"/>
            <w:vAlign w:val="center"/>
          </w:tcPr>
          <w:p>
            <w:pPr>
              <w:pStyle w:val="单元格样式4"/>
            </w:pPr>
            <w:r>
              <w:t xml:space="preserve">400.42</w:t>
            </w:r>
          </w:p>
        </w:tc>
        <w:tc>
          <w:tcPr>
            <w:tcW w:w="1134" w:type="dxa"/>
            <w:vAlign w:val="center"/>
          </w:tcPr>
          <w:p>
            <w:pPr>
              <w:pStyle w:val="单元格样式4"/>
            </w:pPr>
            <w:r>
              <w:t xml:space="preserve">400.42</w:t>
            </w:r>
          </w:p>
        </w:tc>
        <w:tc>
          <w:tcPr>
            <w:tcW w:w="1134" w:type="dxa"/>
            <w:vAlign w:val="center"/>
          </w:tcPr>
          <w:p>
            <w:pPr>
              <w:pStyle w:val="单元格样式4"/>
            </w:pPr>
            <w:r>
              <w:t xml:space="preserve">400.42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2010501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269.04</w:t>
            </w:r>
          </w:p>
        </w:tc>
        <w:tc>
          <w:tcPr>
            <w:tcW w:w="1134" w:type="dxa"/>
            <w:vAlign w:val="center"/>
          </w:tcPr>
          <w:p>
            <w:pPr>
              <w:pStyle w:val="单元格样式4"/>
            </w:pPr>
            <w:r>
              <w:t xml:space="preserve">269.04</w:t>
            </w:r>
          </w:p>
        </w:tc>
        <w:tc>
          <w:tcPr>
            <w:tcW w:w="1134" w:type="dxa"/>
            <w:vAlign w:val="center"/>
          </w:tcPr>
          <w:p>
            <w:pPr>
              <w:pStyle w:val="单元格样式4"/>
            </w:pPr>
            <w:r>
              <w:t xml:space="preserve">269.04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2010502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75.84</w:t>
            </w:r>
          </w:p>
        </w:tc>
        <w:tc>
          <w:tcPr>
            <w:tcW w:w="1134" w:type="dxa"/>
            <w:vAlign w:val="center"/>
          </w:tcPr>
          <w:p>
            <w:pPr>
              <w:pStyle w:val="单元格样式4"/>
            </w:pPr>
            <w:r>
              <w:t xml:space="preserve">75.84</w:t>
            </w:r>
          </w:p>
        </w:tc>
        <w:tc>
          <w:tcPr>
            <w:tcW w:w="1134" w:type="dxa"/>
            <w:vAlign w:val="center"/>
          </w:tcPr>
          <w:p>
            <w:pPr>
              <w:pStyle w:val="单元格样式4"/>
            </w:pPr>
            <w:r>
              <w:t xml:space="preserve">75.84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2010506</w:t>
            </w:r>
          </w:p>
        </w:tc>
        <w:tc>
          <w:tcPr>
            <w:tcW w:w="1559" w:type="dxa"/>
            <w:vAlign w:val="center"/>
          </w:tcPr>
          <w:p>
            <w:pPr>
              <w:pStyle w:val="单元格样式2"/>
            </w:pPr>
            <w:r>
              <w:t xml:space="preserve">统计管理</w:t>
            </w:r>
          </w:p>
        </w:tc>
        <w:tc>
          <w:tcPr>
            <w:tcW w:w="1134" w:type="dxa"/>
            <w:vAlign w:val="center"/>
          </w:tcPr>
          <w:p>
            <w:pPr>
              <w:pStyle w:val="单元格样式4"/>
            </w:pPr>
            <w:r>
              <w:t xml:space="preserve">12.80</w:t>
            </w:r>
          </w:p>
        </w:tc>
        <w:tc>
          <w:tcPr>
            <w:tcW w:w="1134" w:type="dxa"/>
            <w:vAlign w:val="center"/>
          </w:tcPr>
          <w:p>
            <w:pPr>
              <w:pStyle w:val="单元格样式4"/>
            </w:pPr>
            <w:r>
              <w:t xml:space="preserve">12.80</w:t>
            </w:r>
          </w:p>
        </w:tc>
        <w:tc>
          <w:tcPr>
            <w:tcW w:w="1134" w:type="dxa"/>
            <w:vAlign w:val="center"/>
          </w:tcPr>
          <w:p>
            <w:pPr>
              <w:pStyle w:val="单元格样式4"/>
            </w:pPr>
            <w:r>
              <w:t xml:space="preserve">12.80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2010507</w:t>
            </w:r>
          </w:p>
        </w:tc>
        <w:tc>
          <w:tcPr>
            <w:tcW w:w="1559" w:type="dxa"/>
            <w:vAlign w:val="center"/>
          </w:tcPr>
          <w:p>
            <w:pPr>
              <w:pStyle w:val="单元格样式2"/>
            </w:pPr>
            <w:r>
              <w:t xml:space="preserve">专项普查活动</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2010508</w:t>
            </w:r>
          </w:p>
        </w:tc>
        <w:tc>
          <w:tcPr>
            <w:tcW w:w="1559" w:type="dxa"/>
            <w:vAlign w:val="center"/>
          </w:tcPr>
          <w:p>
            <w:pPr>
              <w:pStyle w:val="单元格样式2"/>
            </w:pPr>
            <w:r>
              <w:t xml:space="preserve">统计抽样调查</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54.47</w:t>
            </w:r>
          </w:p>
        </w:tc>
        <w:tc>
          <w:tcPr>
            <w:tcW w:w="1134" w:type="dxa"/>
            <w:vAlign w:val="center"/>
          </w:tcPr>
          <w:p>
            <w:pPr>
              <w:pStyle w:val="单元格样式4"/>
            </w:pPr>
            <w:r>
              <w:t xml:space="preserve">54.47</w:t>
            </w:r>
          </w:p>
        </w:tc>
        <w:tc>
          <w:tcPr>
            <w:tcW w:w="1134" w:type="dxa"/>
            <w:vAlign w:val="center"/>
          </w:tcPr>
          <w:p>
            <w:pPr>
              <w:pStyle w:val="单元格样式4"/>
            </w:pPr>
            <w:r>
              <w:t xml:space="preserve">54.47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54.47</w:t>
            </w:r>
          </w:p>
        </w:tc>
        <w:tc>
          <w:tcPr>
            <w:tcW w:w="1134" w:type="dxa"/>
            <w:vAlign w:val="center"/>
          </w:tcPr>
          <w:p>
            <w:pPr>
              <w:pStyle w:val="单元格样式4"/>
            </w:pPr>
            <w:r>
              <w:t xml:space="preserve">54.47</w:t>
            </w:r>
          </w:p>
        </w:tc>
        <w:tc>
          <w:tcPr>
            <w:tcW w:w="1134" w:type="dxa"/>
            <w:vAlign w:val="center"/>
          </w:tcPr>
          <w:p>
            <w:pPr>
              <w:pStyle w:val="单元格样式4"/>
            </w:pPr>
            <w:r>
              <w:t xml:space="preserve">54.47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23.98</w:t>
            </w:r>
          </w:p>
        </w:tc>
        <w:tc>
          <w:tcPr>
            <w:tcW w:w="1134" w:type="dxa"/>
            <w:vAlign w:val="center"/>
          </w:tcPr>
          <w:p>
            <w:pPr>
              <w:pStyle w:val="单元格样式4"/>
            </w:pPr>
            <w:r>
              <w:t xml:space="preserve">23.98</w:t>
            </w:r>
          </w:p>
        </w:tc>
        <w:tc>
          <w:tcPr>
            <w:tcW w:w="1134" w:type="dxa"/>
            <w:vAlign w:val="center"/>
          </w:tcPr>
          <w:p>
            <w:pPr>
              <w:pStyle w:val="单元格样式4"/>
            </w:pPr>
            <w:r>
              <w:t xml:space="preserve">23.98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30.49</w:t>
            </w:r>
          </w:p>
        </w:tc>
        <w:tc>
          <w:tcPr>
            <w:tcW w:w="1134" w:type="dxa"/>
            <w:vAlign w:val="center"/>
          </w:tcPr>
          <w:p>
            <w:pPr>
              <w:pStyle w:val="单元格样式4"/>
            </w:pPr>
            <w:r>
              <w:t xml:space="preserve">30.49</w:t>
            </w:r>
          </w:p>
        </w:tc>
        <w:tc>
          <w:tcPr>
            <w:tcW w:w="1134" w:type="dxa"/>
            <w:vAlign w:val="center"/>
          </w:tcPr>
          <w:p>
            <w:pPr>
              <w:pStyle w:val="单元格样式4"/>
            </w:pPr>
            <w:r>
              <w:t xml:space="preserve">30.49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30.99</w:t>
            </w:r>
          </w:p>
        </w:tc>
        <w:tc>
          <w:tcPr>
            <w:tcW w:w="1134" w:type="dxa"/>
            <w:vAlign w:val="center"/>
          </w:tcPr>
          <w:p>
            <w:pPr>
              <w:pStyle w:val="单元格样式4"/>
            </w:pPr>
            <w:r>
              <w:t xml:space="preserve">30.99</w:t>
            </w:r>
          </w:p>
        </w:tc>
        <w:tc>
          <w:tcPr>
            <w:tcW w:w="1134" w:type="dxa"/>
            <w:vAlign w:val="center"/>
          </w:tcPr>
          <w:p>
            <w:pPr>
              <w:pStyle w:val="单元格样式4"/>
            </w:pPr>
            <w:r>
              <w:t xml:space="preserve">30.99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30.99</w:t>
            </w:r>
          </w:p>
        </w:tc>
        <w:tc>
          <w:tcPr>
            <w:tcW w:w="1134" w:type="dxa"/>
            <w:vAlign w:val="center"/>
          </w:tcPr>
          <w:p>
            <w:pPr>
              <w:pStyle w:val="单元格样式4"/>
            </w:pPr>
            <w:r>
              <w:t xml:space="preserve">30.99</w:t>
            </w:r>
          </w:p>
        </w:tc>
        <w:tc>
          <w:tcPr>
            <w:tcW w:w="1134" w:type="dxa"/>
            <w:vAlign w:val="center"/>
          </w:tcPr>
          <w:p>
            <w:pPr>
              <w:pStyle w:val="单元格样式4"/>
            </w:pPr>
            <w:r>
              <w:t xml:space="preserve">30.99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12.51</w:t>
            </w:r>
          </w:p>
        </w:tc>
        <w:tc>
          <w:tcPr>
            <w:tcW w:w="1134" w:type="dxa"/>
            <w:vAlign w:val="center"/>
          </w:tcPr>
          <w:p>
            <w:pPr>
              <w:pStyle w:val="单元格样式4"/>
            </w:pPr>
            <w:r>
              <w:t xml:space="preserve">12.51</w:t>
            </w:r>
          </w:p>
        </w:tc>
        <w:tc>
          <w:tcPr>
            <w:tcW w:w="1134" w:type="dxa"/>
            <w:vAlign w:val="center"/>
          </w:tcPr>
          <w:p>
            <w:pPr>
              <w:pStyle w:val="单元格样式4"/>
            </w:pPr>
            <w:r>
              <w:t xml:space="preserve">12.51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18.48</w:t>
            </w:r>
          </w:p>
        </w:tc>
        <w:tc>
          <w:tcPr>
            <w:tcW w:w="1134" w:type="dxa"/>
            <w:vAlign w:val="center"/>
          </w:tcPr>
          <w:p>
            <w:pPr>
              <w:pStyle w:val="单元格样式4"/>
            </w:pPr>
            <w:r>
              <w:t xml:space="preserve">18.48</w:t>
            </w:r>
          </w:p>
        </w:tc>
        <w:tc>
          <w:tcPr>
            <w:tcW w:w="1134" w:type="dxa"/>
            <w:vAlign w:val="center"/>
          </w:tcPr>
          <w:p>
            <w:pPr>
              <w:pStyle w:val="单元格样式4"/>
            </w:pPr>
            <w:r>
              <w:t xml:space="preserve">18.48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r>
              <w:t xml:space="preserve">24.56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510.44</w:t>
            </w:r>
          </w:p>
        </w:tc>
        <w:tc>
          <w:tcPr>
            <w:tcW w:w="1361" w:type="dxa"/>
            <w:vAlign w:val="center"/>
          </w:tcPr>
          <w:p>
            <w:pPr>
              <w:pStyle w:val="单元格样式7"/>
            </w:pPr>
            <w:r>
              <w:t xml:space="preserve">379.06</w:t>
            </w:r>
          </w:p>
        </w:tc>
        <w:tc>
          <w:tcPr>
            <w:tcW w:w="1361" w:type="dxa"/>
            <w:vAlign w:val="center"/>
          </w:tcPr>
          <w:p>
            <w:pPr>
              <w:pStyle w:val="单元格样式7"/>
            </w:pPr>
            <w:r>
              <w:t xml:space="preserve">131.38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400.42</w:t>
            </w:r>
          </w:p>
        </w:tc>
        <w:tc>
          <w:tcPr>
            <w:tcW w:w="1361" w:type="dxa"/>
            <w:vAlign w:val="center"/>
          </w:tcPr>
          <w:p>
            <w:pPr>
              <w:pStyle w:val="单元格样式4"/>
            </w:pPr>
            <w:r>
              <w:t xml:space="preserve">269.04</w:t>
            </w:r>
          </w:p>
        </w:tc>
        <w:tc>
          <w:tcPr>
            <w:tcW w:w="1361" w:type="dxa"/>
            <w:vAlign w:val="center"/>
          </w:tcPr>
          <w:p>
            <w:pPr>
              <w:pStyle w:val="单元格样式4"/>
            </w:pPr>
            <w:r>
              <w:t xml:space="preserve">131.38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1361" w:type="dxa"/>
            <w:vAlign w:val="center"/>
          </w:tcPr>
          <w:p>
            <w:pPr>
              <w:pStyle w:val="单元格样式4"/>
            </w:pPr>
            <w:r>
              <w:t xml:space="preserve">400.42</w:t>
            </w:r>
          </w:p>
        </w:tc>
        <w:tc>
          <w:tcPr>
            <w:tcW w:w="1361" w:type="dxa"/>
            <w:vAlign w:val="center"/>
          </w:tcPr>
          <w:p>
            <w:pPr>
              <w:pStyle w:val="单元格样式4"/>
            </w:pPr>
            <w:r>
              <w:t xml:space="preserve">269.04</w:t>
            </w:r>
          </w:p>
        </w:tc>
        <w:tc>
          <w:tcPr>
            <w:tcW w:w="1361" w:type="dxa"/>
            <w:vAlign w:val="center"/>
          </w:tcPr>
          <w:p>
            <w:pPr>
              <w:pStyle w:val="单元格样式4"/>
            </w:pPr>
            <w:r>
              <w:t xml:space="preserve">131.38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269.04</w:t>
            </w:r>
          </w:p>
        </w:tc>
        <w:tc>
          <w:tcPr>
            <w:tcW w:w="1361" w:type="dxa"/>
            <w:vAlign w:val="center"/>
          </w:tcPr>
          <w:p>
            <w:pPr>
              <w:pStyle w:val="单元格样式4"/>
            </w:pPr>
            <w:r>
              <w:t xml:space="preserve">269.04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75.84</w:t>
            </w:r>
          </w:p>
        </w:tc>
        <w:tc>
          <w:tcPr>
            <w:tcW w:w="1361" w:type="dxa"/>
            <w:vAlign w:val="center"/>
          </w:tcPr>
          <w:p>
            <w:pPr>
              <w:pStyle w:val="单元格样式4"/>
            </w:pPr>
          </w:p>
        </w:tc>
        <w:tc>
          <w:tcPr>
            <w:tcW w:w="1361" w:type="dxa"/>
            <w:vAlign w:val="center"/>
          </w:tcPr>
          <w:p>
            <w:pPr>
              <w:pStyle w:val="单元格样式4"/>
            </w:pPr>
            <w:r>
              <w:t xml:space="preserve">75.84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1361" w:type="dxa"/>
            <w:vAlign w:val="center"/>
          </w:tcPr>
          <w:p>
            <w:pPr>
              <w:pStyle w:val="单元格样式4"/>
            </w:pPr>
            <w:r>
              <w:t xml:space="preserve">12.80</w:t>
            </w:r>
          </w:p>
        </w:tc>
        <w:tc>
          <w:tcPr>
            <w:tcW w:w="1361" w:type="dxa"/>
            <w:vAlign w:val="center"/>
          </w:tcPr>
          <w:p>
            <w:pPr>
              <w:pStyle w:val="单元格样式4"/>
            </w:pPr>
          </w:p>
        </w:tc>
        <w:tc>
          <w:tcPr>
            <w:tcW w:w="1361" w:type="dxa"/>
            <w:vAlign w:val="center"/>
          </w:tcPr>
          <w:p>
            <w:pPr>
              <w:pStyle w:val="单元格样式4"/>
            </w:pPr>
            <w:r>
              <w:t xml:space="preserve">12.80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1361" w:type="dxa"/>
            <w:vAlign w:val="center"/>
          </w:tcPr>
          <w:p>
            <w:pPr>
              <w:pStyle w:val="单元格样式4"/>
            </w:pPr>
            <w:r>
              <w:t xml:space="preserve">4.00</w:t>
            </w:r>
          </w:p>
        </w:tc>
        <w:tc>
          <w:tcPr>
            <w:tcW w:w="1361" w:type="dxa"/>
            <w:vAlign w:val="center"/>
          </w:tcPr>
          <w:p>
            <w:pPr>
              <w:pStyle w:val="单元格样式4"/>
            </w:pPr>
          </w:p>
        </w:tc>
        <w:tc>
          <w:tcPr>
            <w:tcW w:w="1361" w:type="dxa"/>
            <w:vAlign w:val="center"/>
          </w:tcPr>
          <w:p>
            <w:pPr>
              <w:pStyle w:val="单元格样式4"/>
            </w:pPr>
            <w:r>
              <w:t xml:space="preserve">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54.47</w:t>
            </w:r>
          </w:p>
        </w:tc>
        <w:tc>
          <w:tcPr>
            <w:tcW w:w="1361" w:type="dxa"/>
            <w:vAlign w:val="center"/>
          </w:tcPr>
          <w:p>
            <w:pPr>
              <w:pStyle w:val="单元格样式4"/>
            </w:pPr>
            <w:r>
              <w:t xml:space="preserve">54.47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54.47</w:t>
            </w:r>
          </w:p>
        </w:tc>
        <w:tc>
          <w:tcPr>
            <w:tcW w:w="1361" w:type="dxa"/>
            <w:vAlign w:val="center"/>
          </w:tcPr>
          <w:p>
            <w:pPr>
              <w:pStyle w:val="单元格样式4"/>
            </w:pPr>
            <w:r>
              <w:t xml:space="preserve">54.47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23.98</w:t>
            </w:r>
          </w:p>
        </w:tc>
        <w:tc>
          <w:tcPr>
            <w:tcW w:w="1361" w:type="dxa"/>
            <w:vAlign w:val="center"/>
          </w:tcPr>
          <w:p>
            <w:pPr>
              <w:pStyle w:val="单元格样式4"/>
            </w:pPr>
            <w:r>
              <w:t xml:space="preserve">23.98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30.49</w:t>
            </w:r>
          </w:p>
        </w:tc>
        <w:tc>
          <w:tcPr>
            <w:tcW w:w="1361" w:type="dxa"/>
            <w:vAlign w:val="center"/>
          </w:tcPr>
          <w:p>
            <w:pPr>
              <w:pStyle w:val="单元格样式4"/>
            </w:pPr>
            <w:r>
              <w:t xml:space="preserve">30.49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30.99</w:t>
            </w:r>
          </w:p>
        </w:tc>
        <w:tc>
          <w:tcPr>
            <w:tcW w:w="1361" w:type="dxa"/>
            <w:vAlign w:val="center"/>
          </w:tcPr>
          <w:p>
            <w:pPr>
              <w:pStyle w:val="单元格样式4"/>
            </w:pPr>
            <w:r>
              <w:t xml:space="preserve">30.99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30.99</w:t>
            </w:r>
          </w:p>
        </w:tc>
        <w:tc>
          <w:tcPr>
            <w:tcW w:w="1361" w:type="dxa"/>
            <w:vAlign w:val="center"/>
          </w:tcPr>
          <w:p>
            <w:pPr>
              <w:pStyle w:val="单元格样式4"/>
            </w:pPr>
            <w:r>
              <w:t xml:space="preserve">30.99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12.51</w:t>
            </w:r>
          </w:p>
        </w:tc>
        <w:tc>
          <w:tcPr>
            <w:tcW w:w="1361" w:type="dxa"/>
            <w:vAlign w:val="center"/>
          </w:tcPr>
          <w:p>
            <w:pPr>
              <w:pStyle w:val="单元格样式4"/>
            </w:pPr>
            <w:r>
              <w:t xml:space="preserve">12.51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18.48</w:t>
            </w:r>
          </w:p>
        </w:tc>
        <w:tc>
          <w:tcPr>
            <w:tcW w:w="1361" w:type="dxa"/>
            <w:vAlign w:val="center"/>
          </w:tcPr>
          <w:p>
            <w:pPr>
              <w:pStyle w:val="单元格样式4"/>
            </w:pPr>
            <w:r>
              <w:t xml:space="preserve">18.48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24.56</w:t>
            </w:r>
          </w:p>
        </w:tc>
        <w:tc>
          <w:tcPr>
            <w:tcW w:w="1361" w:type="dxa"/>
            <w:vAlign w:val="center"/>
          </w:tcPr>
          <w:p>
            <w:pPr>
              <w:pStyle w:val="单元格样式4"/>
            </w:pPr>
            <w:r>
              <w:t xml:space="preserve">24.56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24.56</w:t>
            </w:r>
          </w:p>
        </w:tc>
        <w:tc>
          <w:tcPr>
            <w:tcW w:w="1361" w:type="dxa"/>
            <w:vAlign w:val="center"/>
          </w:tcPr>
          <w:p>
            <w:pPr>
              <w:pStyle w:val="单元格样式4"/>
            </w:pPr>
            <w:r>
              <w:t xml:space="preserve">24.56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24.56</w:t>
            </w:r>
          </w:p>
        </w:tc>
        <w:tc>
          <w:tcPr>
            <w:tcW w:w="1361" w:type="dxa"/>
            <w:vAlign w:val="center"/>
          </w:tcPr>
          <w:p>
            <w:pPr>
              <w:pStyle w:val="单元格样式4"/>
            </w:pPr>
            <w:r>
              <w:t xml:space="preserve">24.56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510.44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400.42</w:t>
            </w:r>
          </w:p>
        </w:tc>
        <w:tc>
          <w:tcPr>
            <w:tcW w:w="1474" w:type="dxa"/>
            <w:vAlign w:val="center"/>
          </w:tcPr>
          <w:p>
            <w:pPr>
              <w:pStyle w:val="单元格样式4"/>
            </w:pPr>
            <w:r>
              <w:t xml:space="preserve">400.42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54.47</w:t>
            </w:r>
          </w:p>
        </w:tc>
        <w:tc>
          <w:tcPr>
            <w:tcW w:w="1474" w:type="dxa"/>
            <w:vAlign w:val="center"/>
          </w:tcPr>
          <w:p>
            <w:pPr>
              <w:pStyle w:val="单元格样式4"/>
            </w:pPr>
            <w:r>
              <w:t xml:space="preserve">54.47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30.99</w:t>
            </w:r>
          </w:p>
        </w:tc>
        <w:tc>
          <w:tcPr>
            <w:tcW w:w="1474" w:type="dxa"/>
            <w:vAlign w:val="center"/>
          </w:tcPr>
          <w:p>
            <w:pPr>
              <w:pStyle w:val="单元格样式4"/>
            </w:pPr>
            <w:r>
              <w:t xml:space="preserve">30.99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24.56</w:t>
            </w:r>
          </w:p>
        </w:tc>
        <w:tc>
          <w:tcPr>
            <w:tcW w:w="1474" w:type="dxa"/>
            <w:vAlign w:val="center"/>
          </w:tcPr>
          <w:p>
            <w:pPr>
              <w:pStyle w:val="单元格样式4"/>
            </w:pPr>
            <w:r>
              <w:t xml:space="preserve">24.56</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510.44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510.44</w:t>
            </w:r>
          </w:p>
        </w:tc>
        <w:tc>
          <w:tcPr>
            <w:tcW w:w="1474" w:type="dxa"/>
            <w:vAlign w:val="center"/>
          </w:tcPr>
          <w:p>
            <w:pPr>
              <w:pStyle w:val="单元格样式7"/>
            </w:pPr>
            <w:r>
              <w:t xml:space="preserve">510.44</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510.44</w:t>
            </w:r>
          </w:p>
        </w:tc>
        <w:tc>
          <w:tcPr>
            <w:tcW w:w="3402" w:type="dxa"/>
            <w:vAlign w:val="center"/>
          </w:tcPr>
          <w:p>
            <w:pPr>
              <w:pStyle w:val="单元格样式6"/>
            </w:pPr>
            <w:r>
              <w:t xml:space="preserve">支出总计</w:t>
            </w:r>
          </w:p>
        </w:tc>
        <w:tc>
          <w:tcPr>
            <w:tcW w:w="1474" w:type="dxa"/>
            <w:vAlign w:val="center"/>
          </w:tcPr>
          <w:p>
            <w:pPr>
              <w:pStyle w:val="单元格样式7"/>
            </w:pPr>
            <w:r>
              <w:t xml:space="preserve">510.44</w:t>
            </w:r>
          </w:p>
        </w:tc>
        <w:tc>
          <w:tcPr>
            <w:tcW w:w="1474" w:type="dxa"/>
            <w:vAlign w:val="center"/>
          </w:tcPr>
          <w:p>
            <w:pPr>
              <w:pStyle w:val="单元格样式7"/>
            </w:pPr>
            <w:r>
              <w:t xml:space="preserve">510.44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510.44</w:t>
            </w:r>
          </w:p>
        </w:tc>
        <w:tc>
          <w:tcPr>
            <w:tcW w:w="2551" w:type="dxa"/>
            <w:vAlign w:val="center"/>
          </w:tcPr>
          <w:p>
            <w:pPr>
              <w:pStyle w:val="单元格样式7"/>
            </w:pPr>
            <w:r>
              <w:t xml:space="preserve">379.06</w:t>
            </w:r>
          </w:p>
        </w:tc>
        <w:tc>
          <w:tcPr>
            <w:tcW w:w="2551" w:type="dxa"/>
            <w:vAlign w:val="center"/>
          </w:tcPr>
          <w:p>
            <w:pPr>
              <w:pStyle w:val="单元格样式7"/>
            </w:pPr>
            <w:r>
              <w:t xml:space="preserve">131.38</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400.42</w:t>
            </w:r>
          </w:p>
        </w:tc>
        <w:tc>
          <w:tcPr>
            <w:tcW w:w="2551" w:type="dxa"/>
            <w:vAlign w:val="center"/>
          </w:tcPr>
          <w:p>
            <w:pPr>
              <w:pStyle w:val="单元格样式4"/>
            </w:pPr>
            <w:r>
              <w:t xml:space="preserve">269.04</w:t>
            </w:r>
          </w:p>
        </w:tc>
        <w:tc>
          <w:tcPr>
            <w:tcW w:w="2551" w:type="dxa"/>
            <w:vAlign w:val="center"/>
          </w:tcPr>
          <w:p>
            <w:pPr>
              <w:pStyle w:val="单元格样式4"/>
            </w:pPr>
            <w:r>
              <w:t xml:space="preserve">131.38</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2551" w:type="dxa"/>
            <w:vAlign w:val="center"/>
          </w:tcPr>
          <w:p>
            <w:pPr>
              <w:pStyle w:val="单元格样式4"/>
            </w:pPr>
            <w:r>
              <w:t xml:space="preserve">400.42</w:t>
            </w:r>
          </w:p>
        </w:tc>
        <w:tc>
          <w:tcPr>
            <w:tcW w:w="2551" w:type="dxa"/>
            <w:vAlign w:val="center"/>
          </w:tcPr>
          <w:p>
            <w:pPr>
              <w:pStyle w:val="单元格样式4"/>
            </w:pPr>
            <w:r>
              <w:t xml:space="preserve">269.04</w:t>
            </w:r>
          </w:p>
        </w:tc>
        <w:tc>
          <w:tcPr>
            <w:tcW w:w="2551" w:type="dxa"/>
            <w:vAlign w:val="center"/>
          </w:tcPr>
          <w:p>
            <w:pPr>
              <w:pStyle w:val="单元格样式4"/>
            </w:pPr>
            <w:r>
              <w:t xml:space="preserve">131.38</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269.04</w:t>
            </w:r>
          </w:p>
        </w:tc>
        <w:tc>
          <w:tcPr>
            <w:tcW w:w="2551" w:type="dxa"/>
            <w:vAlign w:val="center"/>
          </w:tcPr>
          <w:p>
            <w:pPr>
              <w:pStyle w:val="单元格样式4"/>
            </w:pPr>
            <w:r>
              <w:t xml:space="preserve">269.04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75.84</w:t>
            </w:r>
          </w:p>
        </w:tc>
        <w:tc>
          <w:tcPr>
            <w:tcW w:w="2551" w:type="dxa"/>
            <w:vAlign w:val="center"/>
          </w:tcPr>
          <w:p>
            <w:pPr>
              <w:pStyle w:val="单元格样式4"/>
            </w:pPr>
          </w:p>
        </w:tc>
        <w:tc>
          <w:tcPr>
            <w:tcW w:w="2551" w:type="dxa"/>
            <w:vAlign w:val="center"/>
          </w:tcPr>
          <w:p>
            <w:pPr>
              <w:pStyle w:val="单元格样式4"/>
            </w:pPr>
            <w:r>
              <w:t xml:space="preserve">75.84</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2551" w:type="dxa"/>
            <w:vAlign w:val="center"/>
          </w:tcPr>
          <w:p>
            <w:pPr>
              <w:pStyle w:val="单元格样式4"/>
            </w:pPr>
            <w:r>
              <w:t xml:space="preserve">12.80</w:t>
            </w:r>
          </w:p>
        </w:tc>
        <w:tc>
          <w:tcPr>
            <w:tcW w:w="2551" w:type="dxa"/>
            <w:vAlign w:val="center"/>
          </w:tcPr>
          <w:p>
            <w:pPr>
              <w:pStyle w:val="单元格样式4"/>
            </w:pPr>
          </w:p>
        </w:tc>
        <w:tc>
          <w:tcPr>
            <w:tcW w:w="2551" w:type="dxa"/>
            <w:vAlign w:val="center"/>
          </w:tcPr>
          <w:p>
            <w:pPr>
              <w:pStyle w:val="单元格样式4"/>
            </w:pPr>
            <w:r>
              <w:t xml:space="preserve">12.80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2551" w:type="dxa"/>
            <w:vAlign w:val="center"/>
          </w:tcPr>
          <w:p>
            <w:pPr>
              <w:pStyle w:val="单元格样式4"/>
            </w:pPr>
            <w:r>
              <w:t xml:space="preserve">38.74</w:t>
            </w:r>
          </w:p>
        </w:tc>
        <w:tc>
          <w:tcPr>
            <w:tcW w:w="2551" w:type="dxa"/>
            <w:vAlign w:val="center"/>
          </w:tcPr>
          <w:p>
            <w:pPr>
              <w:pStyle w:val="单元格样式4"/>
            </w:pPr>
          </w:p>
        </w:tc>
        <w:tc>
          <w:tcPr>
            <w:tcW w:w="2551" w:type="dxa"/>
            <w:vAlign w:val="center"/>
          </w:tcPr>
          <w:p>
            <w:pPr>
              <w:pStyle w:val="单元格样式4"/>
            </w:pPr>
            <w:r>
              <w:t xml:space="preserve">38.74</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54.47</w:t>
            </w:r>
          </w:p>
        </w:tc>
        <w:tc>
          <w:tcPr>
            <w:tcW w:w="2551" w:type="dxa"/>
            <w:vAlign w:val="center"/>
          </w:tcPr>
          <w:p>
            <w:pPr>
              <w:pStyle w:val="单元格样式4"/>
            </w:pPr>
            <w:r>
              <w:t xml:space="preserve">54.47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54.47</w:t>
            </w:r>
          </w:p>
        </w:tc>
        <w:tc>
          <w:tcPr>
            <w:tcW w:w="2551" w:type="dxa"/>
            <w:vAlign w:val="center"/>
          </w:tcPr>
          <w:p>
            <w:pPr>
              <w:pStyle w:val="单元格样式4"/>
            </w:pPr>
            <w:r>
              <w:t xml:space="preserve">54.47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23.98</w:t>
            </w:r>
          </w:p>
        </w:tc>
        <w:tc>
          <w:tcPr>
            <w:tcW w:w="2551" w:type="dxa"/>
            <w:vAlign w:val="center"/>
          </w:tcPr>
          <w:p>
            <w:pPr>
              <w:pStyle w:val="单元格样式4"/>
            </w:pPr>
            <w:r>
              <w:t xml:space="preserve">23.98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30.49</w:t>
            </w:r>
          </w:p>
        </w:tc>
        <w:tc>
          <w:tcPr>
            <w:tcW w:w="2551" w:type="dxa"/>
            <w:vAlign w:val="center"/>
          </w:tcPr>
          <w:p>
            <w:pPr>
              <w:pStyle w:val="单元格样式4"/>
            </w:pPr>
            <w:r>
              <w:t xml:space="preserve">30.49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30.99</w:t>
            </w:r>
          </w:p>
        </w:tc>
        <w:tc>
          <w:tcPr>
            <w:tcW w:w="2551" w:type="dxa"/>
            <w:vAlign w:val="center"/>
          </w:tcPr>
          <w:p>
            <w:pPr>
              <w:pStyle w:val="单元格样式4"/>
            </w:pPr>
            <w:r>
              <w:t xml:space="preserve">30.99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30.99</w:t>
            </w:r>
          </w:p>
        </w:tc>
        <w:tc>
          <w:tcPr>
            <w:tcW w:w="2551" w:type="dxa"/>
            <w:vAlign w:val="center"/>
          </w:tcPr>
          <w:p>
            <w:pPr>
              <w:pStyle w:val="单元格样式4"/>
            </w:pPr>
            <w:r>
              <w:t xml:space="preserve">30.99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12.51</w:t>
            </w:r>
          </w:p>
        </w:tc>
        <w:tc>
          <w:tcPr>
            <w:tcW w:w="2551" w:type="dxa"/>
            <w:vAlign w:val="center"/>
          </w:tcPr>
          <w:p>
            <w:pPr>
              <w:pStyle w:val="单元格样式4"/>
            </w:pPr>
            <w:r>
              <w:t xml:space="preserve">12.51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18.48</w:t>
            </w:r>
          </w:p>
        </w:tc>
        <w:tc>
          <w:tcPr>
            <w:tcW w:w="2551" w:type="dxa"/>
            <w:vAlign w:val="center"/>
          </w:tcPr>
          <w:p>
            <w:pPr>
              <w:pStyle w:val="单元格样式4"/>
            </w:pPr>
            <w:r>
              <w:t xml:space="preserve">18.48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24.56</w:t>
            </w:r>
          </w:p>
        </w:tc>
        <w:tc>
          <w:tcPr>
            <w:tcW w:w="2551" w:type="dxa"/>
            <w:vAlign w:val="center"/>
          </w:tcPr>
          <w:p>
            <w:pPr>
              <w:pStyle w:val="单元格样式4"/>
            </w:pPr>
            <w:r>
              <w:t xml:space="preserve">24.56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24.56</w:t>
            </w:r>
          </w:p>
        </w:tc>
        <w:tc>
          <w:tcPr>
            <w:tcW w:w="2551" w:type="dxa"/>
            <w:vAlign w:val="center"/>
          </w:tcPr>
          <w:p>
            <w:pPr>
              <w:pStyle w:val="单元格样式4"/>
            </w:pPr>
            <w:r>
              <w:t xml:space="preserve">24.56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24.56</w:t>
            </w:r>
          </w:p>
        </w:tc>
        <w:tc>
          <w:tcPr>
            <w:tcW w:w="2551" w:type="dxa"/>
            <w:vAlign w:val="center"/>
          </w:tcPr>
          <w:p>
            <w:pPr>
              <w:pStyle w:val="单元格样式4"/>
            </w:pPr>
            <w:r>
              <w:t xml:space="preserve">24.56</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379.06</w:t>
            </w:r>
          </w:p>
        </w:tc>
        <w:tc>
          <w:tcPr>
            <w:tcW w:w="2551" w:type="dxa"/>
            <w:vAlign w:val="center"/>
          </w:tcPr>
          <w:p>
            <w:pPr>
              <w:pStyle w:val="单元格样式7"/>
            </w:pPr>
            <w:r>
              <w:t xml:space="preserve">345.66</w:t>
            </w:r>
          </w:p>
        </w:tc>
        <w:tc>
          <w:tcPr>
            <w:tcW w:w="2551" w:type="dxa"/>
            <w:vAlign w:val="center"/>
          </w:tcPr>
          <w:p>
            <w:pPr>
              <w:pStyle w:val="单元格样式7"/>
            </w:pPr>
            <w:r>
              <w:t xml:space="preserve">33.40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323.15</w:t>
            </w:r>
          </w:p>
        </w:tc>
        <w:tc>
          <w:tcPr>
            <w:tcW w:w="2551" w:type="dxa"/>
            <w:vAlign w:val="center"/>
          </w:tcPr>
          <w:p>
            <w:pPr>
              <w:pStyle w:val="单元格样式4"/>
            </w:pPr>
            <w:r>
              <w:t xml:space="preserve">323.15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85.28</w:t>
            </w:r>
          </w:p>
        </w:tc>
        <w:tc>
          <w:tcPr>
            <w:tcW w:w="2551" w:type="dxa"/>
            <w:vAlign w:val="center"/>
          </w:tcPr>
          <w:p>
            <w:pPr>
              <w:pStyle w:val="单元格样式4"/>
            </w:pPr>
            <w:r>
              <w:t xml:space="preserve">85.28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68.15</w:t>
            </w:r>
          </w:p>
        </w:tc>
        <w:tc>
          <w:tcPr>
            <w:tcW w:w="2551" w:type="dxa"/>
            <w:vAlign w:val="center"/>
          </w:tcPr>
          <w:p>
            <w:pPr>
              <w:pStyle w:val="单元格样式4"/>
            </w:pPr>
            <w:r>
              <w:t xml:space="preserve">68.15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34.35</w:t>
            </w:r>
          </w:p>
        </w:tc>
        <w:tc>
          <w:tcPr>
            <w:tcW w:w="2551" w:type="dxa"/>
            <w:vAlign w:val="center"/>
          </w:tcPr>
          <w:p>
            <w:pPr>
              <w:pStyle w:val="单元格样式4"/>
            </w:pPr>
            <w:r>
              <w:t xml:space="preserve">34.35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34.73</w:t>
            </w:r>
          </w:p>
        </w:tc>
        <w:tc>
          <w:tcPr>
            <w:tcW w:w="2551" w:type="dxa"/>
            <w:vAlign w:val="center"/>
          </w:tcPr>
          <w:p>
            <w:pPr>
              <w:pStyle w:val="单元格样式4"/>
            </w:pPr>
            <w:r>
              <w:t xml:space="preserve">34.73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30.49</w:t>
            </w:r>
          </w:p>
        </w:tc>
        <w:tc>
          <w:tcPr>
            <w:tcW w:w="2551" w:type="dxa"/>
            <w:vAlign w:val="center"/>
          </w:tcPr>
          <w:p>
            <w:pPr>
              <w:pStyle w:val="单元格样式4"/>
            </w:pPr>
            <w:r>
              <w:t xml:space="preserve">30.49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12.51</w:t>
            </w:r>
          </w:p>
        </w:tc>
        <w:tc>
          <w:tcPr>
            <w:tcW w:w="2551" w:type="dxa"/>
            <w:vAlign w:val="center"/>
          </w:tcPr>
          <w:p>
            <w:pPr>
              <w:pStyle w:val="单元格样式4"/>
            </w:pPr>
            <w:r>
              <w:t xml:space="preserve">12.51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18.48</w:t>
            </w:r>
          </w:p>
        </w:tc>
        <w:tc>
          <w:tcPr>
            <w:tcW w:w="2551" w:type="dxa"/>
            <w:vAlign w:val="center"/>
          </w:tcPr>
          <w:p>
            <w:pPr>
              <w:pStyle w:val="单元格样式4"/>
            </w:pPr>
            <w:r>
              <w:t xml:space="preserve">18.48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1.40</w:t>
            </w:r>
          </w:p>
        </w:tc>
        <w:tc>
          <w:tcPr>
            <w:tcW w:w="2551" w:type="dxa"/>
            <w:vAlign w:val="center"/>
          </w:tcPr>
          <w:p>
            <w:pPr>
              <w:pStyle w:val="单元格样式4"/>
            </w:pPr>
            <w:r>
              <w:t xml:space="preserve">1.40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24.56</w:t>
            </w:r>
          </w:p>
        </w:tc>
        <w:tc>
          <w:tcPr>
            <w:tcW w:w="2551" w:type="dxa"/>
            <w:vAlign w:val="center"/>
          </w:tcPr>
          <w:p>
            <w:pPr>
              <w:pStyle w:val="单元格样式4"/>
            </w:pPr>
            <w:r>
              <w:t xml:space="preserve">24.56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13.20</w:t>
            </w:r>
          </w:p>
        </w:tc>
        <w:tc>
          <w:tcPr>
            <w:tcW w:w="2551" w:type="dxa"/>
            <w:vAlign w:val="center"/>
          </w:tcPr>
          <w:p>
            <w:pPr>
              <w:pStyle w:val="单元格样式4"/>
            </w:pPr>
            <w:r>
              <w:t xml:space="preserve">13.20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33.40</w:t>
            </w:r>
          </w:p>
        </w:tc>
        <w:tc>
          <w:tcPr>
            <w:tcW w:w="2551" w:type="dxa"/>
            <w:vAlign w:val="center"/>
          </w:tcPr>
          <w:p>
            <w:pPr>
              <w:pStyle w:val="单元格样式4"/>
            </w:pPr>
          </w:p>
        </w:tc>
        <w:tc>
          <w:tcPr>
            <w:tcW w:w="2551" w:type="dxa"/>
            <w:vAlign w:val="center"/>
          </w:tcPr>
          <w:p>
            <w:pPr>
              <w:pStyle w:val="单元格样式4"/>
            </w:pPr>
            <w:r>
              <w:t xml:space="preserve">33.40</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4.96</w:t>
            </w:r>
          </w:p>
        </w:tc>
        <w:tc>
          <w:tcPr>
            <w:tcW w:w="2551" w:type="dxa"/>
            <w:vAlign w:val="center"/>
          </w:tcPr>
          <w:p>
            <w:pPr>
              <w:pStyle w:val="单元格样式4"/>
            </w:pPr>
          </w:p>
        </w:tc>
        <w:tc>
          <w:tcPr>
            <w:tcW w:w="2551" w:type="dxa"/>
            <w:vAlign w:val="center"/>
          </w:tcPr>
          <w:p>
            <w:pPr>
              <w:pStyle w:val="单元格样式4"/>
            </w:pPr>
            <w:r>
              <w:t xml:space="preserve">4.96</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7.74</w:t>
            </w:r>
          </w:p>
        </w:tc>
        <w:tc>
          <w:tcPr>
            <w:tcW w:w="2551" w:type="dxa"/>
            <w:vAlign w:val="center"/>
          </w:tcPr>
          <w:p>
            <w:pPr>
              <w:pStyle w:val="单元格样式4"/>
            </w:pPr>
          </w:p>
        </w:tc>
        <w:tc>
          <w:tcPr>
            <w:tcW w:w="2551" w:type="dxa"/>
            <w:vAlign w:val="center"/>
          </w:tcPr>
          <w:p>
            <w:pPr>
              <w:pStyle w:val="单元格样式4"/>
            </w:pPr>
            <w:r>
              <w:t xml:space="preserve">7.74</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2.24</w:t>
            </w:r>
          </w:p>
        </w:tc>
        <w:tc>
          <w:tcPr>
            <w:tcW w:w="2551" w:type="dxa"/>
            <w:vAlign w:val="center"/>
          </w:tcPr>
          <w:p>
            <w:pPr>
              <w:pStyle w:val="单元格样式4"/>
            </w:pPr>
          </w:p>
        </w:tc>
        <w:tc>
          <w:tcPr>
            <w:tcW w:w="2551" w:type="dxa"/>
            <w:vAlign w:val="center"/>
          </w:tcPr>
          <w:p>
            <w:pPr>
              <w:pStyle w:val="单元格样式4"/>
            </w:pPr>
            <w:r>
              <w:t xml:space="preserve">2.24</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3.31</w:t>
            </w:r>
          </w:p>
        </w:tc>
        <w:tc>
          <w:tcPr>
            <w:tcW w:w="2551" w:type="dxa"/>
            <w:vAlign w:val="center"/>
          </w:tcPr>
          <w:p>
            <w:pPr>
              <w:pStyle w:val="单元格样式4"/>
            </w:pPr>
          </w:p>
        </w:tc>
        <w:tc>
          <w:tcPr>
            <w:tcW w:w="2551" w:type="dxa"/>
            <w:vAlign w:val="center"/>
          </w:tcPr>
          <w:p>
            <w:pPr>
              <w:pStyle w:val="单元格样式4"/>
            </w:pPr>
            <w:r>
              <w:t xml:space="preserve">3.31</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2.22</w:t>
            </w:r>
          </w:p>
        </w:tc>
        <w:tc>
          <w:tcPr>
            <w:tcW w:w="2551" w:type="dxa"/>
            <w:vAlign w:val="center"/>
          </w:tcPr>
          <w:p>
            <w:pPr>
              <w:pStyle w:val="单元格样式4"/>
            </w:pPr>
          </w:p>
        </w:tc>
        <w:tc>
          <w:tcPr>
            <w:tcW w:w="2551" w:type="dxa"/>
            <w:vAlign w:val="center"/>
          </w:tcPr>
          <w:p>
            <w:pPr>
              <w:pStyle w:val="单元格样式4"/>
            </w:pPr>
            <w:r>
              <w:t xml:space="preserve">2.22</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8.46</w:t>
            </w:r>
          </w:p>
        </w:tc>
        <w:tc>
          <w:tcPr>
            <w:tcW w:w="2551" w:type="dxa"/>
            <w:vAlign w:val="center"/>
          </w:tcPr>
          <w:p>
            <w:pPr>
              <w:pStyle w:val="单元格样式4"/>
            </w:pPr>
          </w:p>
        </w:tc>
        <w:tc>
          <w:tcPr>
            <w:tcW w:w="2551" w:type="dxa"/>
            <w:vAlign w:val="center"/>
          </w:tcPr>
          <w:p>
            <w:pPr>
              <w:pStyle w:val="单元格样式4"/>
            </w:pPr>
            <w:r>
              <w:t xml:space="preserve">8.46</w:t>
            </w: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4.47</w:t>
            </w:r>
          </w:p>
        </w:tc>
        <w:tc>
          <w:tcPr>
            <w:tcW w:w="2551" w:type="dxa"/>
            <w:vAlign w:val="center"/>
          </w:tcPr>
          <w:p>
            <w:pPr>
              <w:pStyle w:val="单元格样式4"/>
            </w:pPr>
          </w:p>
        </w:tc>
        <w:tc>
          <w:tcPr>
            <w:tcW w:w="2551" w:type="dxa"/>
            <w:vAlign w:val="center"/>
          </w:tcPr>
          <w:p>
            <w:pPr>
              <w:pStyle w:val="单元格样式4"/>
            </w:pPr>
            <w:r>
              <w:t xml:space="preserve">4.47</w:t>
            </w: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22.51</w:t>
            </w:r>
          </w:p>
        </w:tc>
        <w:tc>
          <w:tcPr>
            <w:tcW w:w="2551" w:type="dxa"/>
            <w:vAlign w:val="center"/>
          </w:tcPr>
          <w:p>
            <w:pPr>
              <w:pStyle w:val="单元格样式4"/>
            </w:pPr>
            <w:r>
              <w:t xml:space="preserve">22.51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22.51</w:t>
            </w:r>
          </w:p>
        </w:tc>
        <w:tc>
          <w:tcPr>
            <w:tcW w:w="2551" w:type="dxa"/>
            <w:vAlign w:val="center"/>
          </w:tcPr>
          <w:p>
            <w:pPr>
              <w:pStyle w:val="单元格样式4"/>
            </w:pPr>
            <w:r>
              <w:t xml:space="preserve">22.51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0"/>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FFFFFF"/>
          <w:sz w:val="21"/>
        </w:rPr>
        <w:t xml:space="preserve">第一部分  秦皇岛市北戴河区统计局2025年部门预算信息公开情况说明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秦皇岛市北戴河区统计局2025年部门预算信息公开情况说明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按照《中华人民共和国预算法》、《地方预决算公开操作规程》和《关于进一步推进预算公开工作的实施意见》规定，现将秦皇岛市北戴河区统计局2025年部门预算公开如下：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根据《统计局职能配置、内设机构和人员编制规定》，统计局的主要职责是：</w:t>
      </w:r>
    </w:p>
    <w:p>
      <w:pPr>
        <w:pStyle w:val="插入文本样式-插入预算公开部门职责文件"/>
      </w:pPr>
      <w:r>
        <w:t xml:space="preserve">1.承担组织领导和协调管理全区统计工作， 确保统计数据真实、准确、及时。</w:t>
      </w:r>
    </w:p>
    <w:p>
      <w:pPr>
        <w:pStyle w:val="插入文本样式-插入预算公开部门职责文件"/>
      </w:pPr>
      <w:r>
        <w:t xml:space="preserve">2.依照国家、省和市颁布的法律、法规、政策和制度,监督、检查全区统计法律、 法规、 政策和制度的实施。</w:t>
      </w:r>
    </w:p>
    <w:p>
      <w:pPr>
        <w:pStyle w:val="插入文本样式-插入预算公开部门职责文件"/>
      </w:pPr>
      <w:r>
        <w:t xml:space="preserve">3.组织完成国家、省、市部署的国情国力普查及重要调查任务，研究提出重大区情区力普查和抽样调查计划并组织实施，汇总、整理和提供有关区情区力方面的统计数据。</w:t>
      </w:r>
    </w:p>
    <w:p>
      <w:pPr>
        <w:pStyle w:val="插入文本样式-插入预算公开部门职责文件"/>
      </w:pPr>
      <w:r>
        <w:t xml:space="preserve">4.组织实施农林牧渔业、工业、能源、社会、人口、工资、科技、城镇劳动力、建筑业、固定资产投资、房地产开发、高新技术产业、批发和零售业、住宿和餐饮业、运输邮电业、其他服务业、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插入文本样式-插入预算公开部门职责文件"/>
      </w:pPr>
      <w:r>
        <w:t xml:space="preserve">5.组织实施社会发展水平、区域经济发展、节能降耗、干部考核、城镇化发展、全面小康及农村小康建设进程、农村贫困状况、妇女儿童发展等统计监测，参与收集、整理和提供统计数据。</w:t>
      </w:r>
    </w:p>
    <w:p>
      <w:pPr>
        <w:pStyle w:val="插入文本样式-插入预算公开部门职责文件"/>
      </w:pPr>
      <w:r>
        <w:t xml:space="preserve">6.综合整理和提供财政、金融、税收、文化教育、卫生、社会保障、公用事业、房屋、对外贸易、对内经济技术合作及引进内资等基本统计数据。</w:t>
      </w:r>
    </w:p>
    <w:p>
      <w:pPr>
        <w:pStyle w:val="插入文本样式-插入预算公开部门职责文件"/>
      </w:pPr>
      <w:r>
        <w:t xml:space="preserve">7.组织全区经济、 社会、 科技统计调查， 统一核定、 管理、公布全区性基本统计资料， 定期发布全区国民经济和社会发展情况的统计信息，组织建立统计信息共享制度和发布制度。</w:t>
      </w:r>
    </w:p>
    <w:p>
      <w:pPr>
        <w:pStyle w:val="插入文本样式-插入预算公开部门职责文件"/>
      </w:pPr>
      <w:r>
        <w:t xml:space="preserve">8.对国民经济、 社会发展、 科技进步等情况进行统计分析、统计预测和统计监督，向区委、区政府及有关部门提供统计信息和咨询建议。</w:t>
      </w:r>
    </w:p>
    <w:p>
      <w:pPr>
        <w:pStyle w:val="插入文本样式-插入预算公开部门职责文件"/>
      </w:pPr>
      <w:r>
        <w:t xml:space="preserve">9.指导专业统计基础工作、统计基层业务和规范化建设；组织统计信息规范性管理，建立健全统计数据质量审核、监控和评估制度，开展对重要统计数据的审核、监控和评估。</w:t>
      </w:r>
    </w:p>
    <w:p>
      <w:pPr>
        <w:pStyle w:val="插入文本样式-插入预算公开部门职责文件"/>
      </w:pPr>
      <w:r>
        <w:t xml:space="preserve">10.指导全区统计信息化系统建设。贯彻执行省、市统计信息库和网络的基本标准和运行规则； ；管理和维护全区统计信息网络。</w:t>
      </w:r>
    </w:p>
    <w:p>
      <w:pPr>
        <w:pStyle w:val="插入文本样式-插入预算公开部门职责文件"/>
      </w:pPr>
      <w:r>
        <w:t xml:space="preserve">11.指导全区统计专业技术队伍建设，配合市统计局组织管理统计从业资格认定和持证上岗工作， 协助有关部门组织管理统计专业技术资格考试、职务评聘工作。</w:t>
      </w:r>
    </w:p>
    <w:p>
      <w:pPr>
        <w:pStyle w:val="插入文本样式-插入预算公开部门职责文件"/>
      </w:pPr>
      <w:r>
        <w:t xml:space="preserve">12.承办区政府交办的其他事项。</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秦皇岛市北戴河区统计局（本级）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按照预算管理有关规定，目前部门预算的编制实行综合预算管理，即全部收入和支出都反映在预算中。秦皇岛市北戴河区统计局机关及所属事业单位的收支包含在部门预算中。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2025年预算收入510.44万元，其中：一般公共预算收入510.44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秦皇岛市北戴河区统计局年度部门预算中支出预算的总体情况。2025年支出预算510.44万元，其中基本支出379.06万元，包括人员经费345.66万元和日常公用经费33.40万元；项目支出131.38万元，主要为第五次全国经济普查经费4万元；统计基础建设及法制宣传经费10.15万元；综合统计调查经费25.08万元；综合统计调查业务经费13.66万元；办公辅助服务经费75.84万元；网络运行维护费2.65万元。</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2025年预算收支安排510.44万元，较2024年预算减少18.95万元，其中：基本支出增加136.00万元，主要为增加非全额事业单位人员和公用经费；增加人事代理人员和公用经费。项目支出减少154.95万元，主要为减少非全额事业单位人员和公用经费；减少人事代理人员和公用经费；减少第五次全国经济普查经费。</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2025年，我部门机关运行经费共计安排33.40万元，主要用于日常维修、办公用房水电费、办公用房取暖费、办公用房物业管理费等日常运行支出。</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落实上级“过紧日子”政策，严控一般性支出，确保“三公”经费只减不增。</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组织各行业的专项统计调查监测和国情国力普查，进一步加强全市居民收支调查工作、人口抽样调查等统计，以及“四下”单位抽样调查与个体户调查，加强数据审核，做好名录库维护等工作，强化月度、季度、半年、年度主要宏观指标监测，加大数据分析力度，提供精准匹配的统计数据服务。收集、整理统计数据，提供咨询建议。定期发布统计信息和统计分析，为经济决策提供重要依据。健全统计专网，完善基本单位名录库。保障调查任务的顺利开展，专项统计完成率达到100%。保障统计人员上岗培训、统计专业技术队伍建设。统计法治宣传教育合格率达到95%以上。密切跟踪重点企业、重点行业、重点指标，做好运行监测、态势研判、风险预警、决策参谋，实现第一时间监测预警、无间断监测预警、多角度监测预警。撰写统计专报、统计快报、统计月报、统计分析、在市统计局内网发布各类统计信息。</w:t>
      </w:r>
    </w:p>
    <w:p>
      <w:pPr>
        <w:pStyle w:val="插入文本样式-插入总体目标文件"/>
      </w:pPr>
      <w:r>
        <w:t xml:space="preserve">2025年工作将持续提升统计服务，做实统计信息发布和涉统计舆情引导，满足全社会统计信息需求，服务人群对工作满意度达到95%以上；持续提高数据质量，落实落细各专业数据质量控制办法，把牢数据质量审核验收关口。强化基层统计业务指导培训，以线上线下相结合、集中培训与个别指导相结合的方式，拓宽培训渠道，丰富培训内容，提高培训效率。培训及时率、合格率均达到95%以上；持续加强统计法治建设，做好统计普法宣传，营造依法统计浓厚氛围，积极在全社会营造关心支持统计、诚信统计、依法统计的良好氛围；大力推进“五经普”工作，做好数据处理、验收和资料汇总开发工作。</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（一）综合统计调查绩效目标，为普查员发放劳务费，保障调查任务顺利进行。</w:t>
      </w:r>
    </w:p>
    <w:p>
      <w:pPr>
        <w:pStyle w:val="插入文本样式-插入职责分类绩效目标文件"/>
      </w:pPr>
      <w:r>
        <w:t xml:space="preserve">（二）统计基础建设及法制宣传绩效目标，确保统计法治宣传教育效果，完成对调查人员的培训工作。</w:t>
      </w:r>
    </w:p>
    <w:p>
      <w:pPr>
        <w:pStyle w:val="插入文本样式-插入职责分类绩效目标文件"/>
      </w:pPr>
      <w:r>
        <w:t xml:space="preserve">（三）网络运行维护费绩效目标，完成统计专网建设，保障统计报表业务顺利开展。</w:t>
      </w:r>
    </w:p>
    <w:p>
      <w:pPr>
        <w:pStyle w:val="插入文本样式-插入职责分类绩效目标文件"/>
      </w:pPr>
      <w:r>
        <w:t xml:space="preserve">（四）市场化运行绩效目标，主要用于聘用的劳务派遣人员工资支出，保障办公正常运转，保障人员工资及保险按时拨付。</w:t>
      </w:r>
    </w:p>
    <w:p>
      <w:pPr>
        <w:pStyle w:val="插入文本样式-插入职责分类绩效目标文件"/>
      </w:pPr>
      <w:r>
        <w:t xml:space="preserve">（五）综合统计调查业务经费绩效目标，开展日常统计调查、监测和“四下”单位抽样调查及个体户调查任务。完成统计调查工作并必要分析，对相关经济决策提供重要依据。</w:t>
      </w:r>
    </w:p>
    <w:p>
      <w:pPr>
        <w:pStyle w:val="插入文本样式-插入职责分类绩效目标文件"/>
      </w:pPr>
      <w:r>
        <w:t xml:space="preserve">（六）第五次全国经济普查经费绩效目标，完成我区第五次全国经济普查数据处理、验收和资料汇总开发阶段工作，为推动经济高质量发展提供科学准确的统计数据支持。</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sectPr>
          <w:type w:val="nextPage"/>
          <w:pgSz w:w="16840" w:h="11900" w:orient="landscape"/>
          <w:pgMar w:top="1361" w:right="1020" w:bottom="1361" w:left="1020" w:header="720" w:footer="720" w:gutter="0"/>
          <w:pgBorders/>
        </w:sectPr>
      </w:pPr>
      <w:r>
        <w:t xml:space="preserve">一是充分利用中国统计开放日、世界统计日、法制宣传月、统计信息网等宣传平台，不断扩充完善统计法制宣传阵地。定期组织大范围专业统计知识、统计法律法规和职业道德培训，并及时向全区基层单位发放统计法律法规和统计专业知识方面学习资料。二是强化数据质量，加强统计执法力度。依法重点对全区四上“企业”开展一次统计调查和督导检查，严肃查处调查单位在联网直报中弄虚作假和瞒报、拒报统计资料等违法行为，确保源头统计数据客观真实。三是加强网络安全建设。加强对全区网络运行的安全管理，在统计内、外网络接入端完成防火墙的部署和应用，确保主干网络的高效、安全、稳定，申请专项资金维护统计专网、视频网络系统。四是加强基层应用培训。加大基层统计人员计算机业务培训力度，强化统计人员信息网络安全意识，提高信息应用和数据处理水平，造就一支既懂计算机又懂统计业务的复合型统计人才队伍。五是组织完成国家部署的国情国力普查，计划并组织实施，汇总、整理和提供有关方面的统计数据。完善制度建设。包括制定完善预算绩效管理制度、资金管理办法、工作保障制度等，为全年预算绩效目标的实现奠定制度基础。通过优化支出结构、编细编实预算，厉行节约力保重点支出，严控严管各项经费支出。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规范财务资产管理。完善财务管理制度，严格审批程序，加强固定资产登记、使用和报废处置管理，做到支出合理，物尽其用。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加强宣传培训调研等。加强人员培训，提高本部门职工业务素质；加强调研，提出优化财政资金配置、提高资金使用效益；强化预算绩效管理意识，促进预算绩效管理水平进一步提升。</w:t>
      </w:r>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1、办公辅助服务经费（服务）绩效目标表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13030425P008893113625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办公辅助服务经费（服务）</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75.84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75.84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13名劳务派遣人员工资保险支付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1.保障13名劳务派遣人员工资保险正常支付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支付工资及保险人员数量</w:t>
            </w:r>
          </w:p>
        </w:tc>
        <w:tc>
          <w:tcPr>
            <w:tcW w:w="5386" w:type="dxa"/>
            <w:vAlign w:val="center"/>
          </w:tcPr>
          <w:p>
            <w:pPr>
              <w:pStyle w:val="单元格样式2"/>
            </w:pPr>
            <w:r>
              <w:t xml:space="preserve">支付工资及保险人员数量</w:t>
            </w:r>
          </w:p>
        </w:tc>
        <w:tc>
          <w:tcPr>
            <w:tcW w:w="2268" w:type="dxa"/>
            <w:vAlign w:val="center"/>
          </w:tcPr>
          <w:p>
            <w:pPr>
              <w:pStyle w:val="单元格样式2"/>
            </w:pPr>
            <w:r>
              <w:t xml:space="preserve">13人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工资及保险发放准确率</w:t>
            </w:r>
          </w:p>
        </w:tc>
        <w:tc>
          <w:tcPr>
            <w:tcW w:w="5386" w:type="dxa"/>
            <w:vAlign w:val="center"/>
          </w:tcPr>
          <w:p>
            <w:pPr>
              <w:pStyle w:val="单元格样式2"/>
            </w:pPr>
            <w:r>
              <w:t xml:space="preserve">工资及保险发放准确率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资金支付及时率</w:t>
            </w:r>
          </w:p>
        </w:tc>
        <w:tc>
          <w:tcPr>
            <w:tcW w:w="5386" w:type="dxa"/>
            <w:vAlign w:val="center"/>
          </w:tcPr>
          <w:p>
            <w:pPr>
              <w:pStyle w:val="单元格样式2"/>
            </w:pPr>
            <w:r>
              <w:t xml:space="preserve">资金支付及时率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控制在预算资金内</w:t>
            </w:r>
          </w:p>
        </w:tc>
        <w:tc>
          <w:tcPr>
            <w:tcW w:w="5386" w:type="dxa"/>
            <w:vAlign w:val="center"/>
          </w:tcPr>
          <w:p>
            <w:pPr>
              <w:pStyle w:val="单元格样式2"/>
            </w:pPr>
            <w:r>
              <w:t xml:space="preserve">是否控制在预算资金内</w:t>
            </w:r>
          </w:p>
        </w:tc>
        <w:tc>
          <w:tcPr>
            <w:tcW w:w="2268" w:type="dxa"/>
            <w:vAlign w:val="center"/>
          </w:tcPr>
          <w:p>
            <w:pPr>
              <w:pStyle w:val="单元格样式2"/>
            </w:pPr>
            <w:r>
              <w:t xml:space="preserve">是</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资金使用效益</w:t>
            </w:r>
          </w:p>
        </w:tc>
        <w:tc>
          <w:tcPr>
            <w:tcW w:w="5386" w:type="dxa"/>
            <w:vAlign w:val="center"/>
          </w:tcPr>
          <w:p>
            <w:pPr>
              <w:pStyle w:val="单元格样式2"/>
            </w:pPr>
            <w:r>
              <w:t xml:space="preserve">资金支出情况</w:t>
            </w:r>
          </w:p>
        </w:tc>
        <w:tc>
          <w:tcPr>
            <w:tcW w:w="2268" w:type="dxa"/>
            <w:vAlign w:val="center"/>
          </w:tcPr>
          <w:p>
            <w:pPr>
              <w:pStyle w:val="单元格样式2"/>
            </w:pPr>
            <w:r>
              <w:t xml:space="preserve">按要求支出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业务工作稳定性</w:t>
            </w:r>
          </w:p>
        </w:tc>
        <w:tc>
          <w:tcPr>
            <w:tcW w:w="5386" w:type="dxa"/>
            <w:vAlign w:val="center"/>
          </w:tcPr>
          <w:p>
            <w:pPr>
              <w:pStyle w:val="单元格样式2"/>
            </w:pPr>
            <w:r>
              <w:t xml:space="preserve">通过日常工作稳定运转</w:t>
            </w:r>
          </w:p>
        </w:tc>
        <w:tc>
          <w:tcPr>
            <w:tcW w:w="2268" w:type="dxa"/>
            <w:vAlign w:val="center"/>
          </w:tcPr>
          <w:p>
            <w:pPr>
              <w:pStyle w:val="单元格样式2"/>
            </w:pPr>
            <w:r>
              <w:t xml:space="preserve">进一步推动</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保障社会发展</w:t>
            </w:r>
          </w:p>
        </w:tc>
        <w:tc>
          <w:tcPr>
            <w:tcW w:w="5386" w:type="dxa"/>
            <w:vAlign w:val="center"/>
          </w:tcPr>
          <w:p>
            <w:pPr>
              <w:pStyle w:val="单元格样式2"/>
            </w:pPr>
            <w:r>
              <w:t xml:space="preserve">有效提供后勤保障</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保障工作完成</w:t>
            </w:r>
          </w:p>
        </w:tc>
        <w:tc>
          <w:tcPr>
            <w:tcW w:w="5386" w:type="dxa"/>
            <w:vAlign w:val="center"/>
          </w:tcPr>
          <w:p>
            <w:pPr>
              <w:pStyle w:val="单元格样式2"/>
            </w:pPr>
            <w:r>
              <w:t xml:space="preserve">保障工作顺利完成</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职工满意度</w:t>
            </w:r>
          </w:p>
        </w:tc>
        <w:tc>
          <w:tcPr>
            <w:tcW w:w="5386" w:type="dxa"/>
            <w:vAlign w:val="center"/>
          </w:tcPr>
          <w:p>
            <w:pPr>
              <w:pStyle w:val="单元格样式2"/>
            </w:pPr>
            <w:r>
              <w:t xml:space="preserve">满意度人员占总职工人数</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continuous"/>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2、网络运行维护费绩效目标表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13030425P00889311363Q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网络运行维护费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统计专网建设</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1.完成统计专网建设，保障统计报表业务顺利开展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维护统计专网建设</w:t>
            </w:r>
          </w:p>
        </w:tc>
        <w:tc>
          <w:tcPr>
            <w:tcW w:w="5386" w:type="dxa"/>
            <w:vAlign w:val="center"/>
          </w:tcPr>
          <w:p>
            <w:pPr>
              <w:pStyle w:val="单元格样式2"/>
            </w:pPr>
            <w:r>
              <w:t xml:space="preserve">对统计专网进行续费</w:t>
            </w:r>
          </w:p>
        </w:tc>
        <w:tc>
          <w:tcPr>
            <w:tcW w:w="2268" w:type="dxa"/>
            <w:vAlign w:val="center"/>
          </w:tcPr>
          <w:p>
            <w:pPr>
              <w:pStyle w:val="单元格样式2"/>
            </w:pPr>
            <w:r>
              <w:t xml:space="preserve">及时进行续费</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断网率</w:t>
            </w:r>
          </w:p>
        </w:tc>
        <w:tc>
          <w:tcPr>
            <w:tcW w:w="5386" w:type="dxa"/>
            <w:vAlign w:val="center"/>
          </w:tcPr>
          <w:p>
            <w:pPr>
              <w:pStyle w:val="单元格样式2"/>
            </w:pPr>
            <w:r>
              <w:t xml:space="preserve">断网频率占全年比重</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业务处理及时性</w:t>
            </w:r>
          </w:p>
        </w:tc>
        <w:tc>
          <w:tcPr>
            <w:tcW w:w="5386" w:type="dxa"/>
            <w:vAlign w:val="center"/>
          </w:tcPr>
          <w:p>
            <w:pPr>
              <w:pStyle w:val="单元格样式2"/>
            </w:pPr>
            <w:r>
              <w:t xml:space="preserve">及时处理业务数占总处理数的比率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按预算资金完成率</w:t>
            </w:r>
          </w:p>
        </w:tc>
        <w:tc>
          <w:tcPr>
            <w:tcW w:w="5386" w:type="dxa"/>
            <w:vAlign w:val="center"/>
          </w:tcPr>
          <w:p>
            <w:pPr>
              <w:pStyle w:val="单元格样式2"/>
            </w:pPr>
            <w:r>
              <w:t xml:space="preserve">按预算资金完成率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业务保障能力</w:t>
            </w:r>
          </w:p>
        </w:tc>
        <w:tc>
          <w:tcPr>
            <w:tcW w:w="5386" w:type="dxa"/>
            <w:vAlign w:val="center"/>
          </w:tcPr>
          <w:p>
            <w:pPr>
              <w:pStyle w:val="单元格样式2"/>
            </w:pPr>
            <w:r>
              <w:t xml:space="preserve">保障统计工作顺利进行</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节约资源，降低能耗，实现绿色办公</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长期使用性</w:t>
            </w:r>
          </w:p>
        </w:tc>
        <w:tc>
          <w:tcPr>
            <w:tcW w:w="5386" w:type="dxa"/>
            <w:vAlign w:val="center"/>
          </w:tcPr>
          <w:p>
            <w:pPr>
              <w:pStyle w:val="单元格样式2"/>
            </w:pPr>
            <w:r>
              <w:t xml:space="preserve">能够长期较好地开展统计报表催报、审核等需求</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四上专业报表完成率</w:t>
            </w:r>
          </w:p>
        </w:tc>
        <w:tc>
          <w:tcPr>
            <w:tcW w:w="5386" w:type="dxa"/>
            <w:vAlign w:val="center"/>
          </w:tcPr>
          <w:p>
            <w:pPr>
              <w:pStyle w:val="单元格样式2"/>
            </w:pPr>
            <w:r>
              <w:t xml:space="preserve">保障单位基本名录库及报表顺利</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vAlign w:val="center"/>
          </w:tcPr>
          <w:p>
            <w:pPr>
              <w:pStyle w:val="单元格样式2"/>
            </w:pPr>
            <w:r>
              <w:t xml:space="preserve">统计人员使用网络满意度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3、综合统计调查经费绩效目标表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13030425P008893113650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综合统计调查经费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保障城乡一体化调查、人口变动调查、劳动力调查劳务费及时、足额拨付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1.开展城乡一体化调查、人口变动调查、劳动力调查等调查任务，完成统计抽样调查工作并必要分析，对相关经济决策提供重要依据</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调查户数完成率</w:t>
            </w:r>
          </w:p>
        </w:tc>
        <w:tc>
          <w:tcPr>
            <w:tcW w:w="5386" w:type="dxa"/>
            <w:vAlign w:val="center"/>
          </w:tcPr>
          <w:p>
            <w:pPr>
              <w:pStyle w:val="单元格样式2"/>
            </w:pPr>
            <w:r>
              <w:t xml:space="preserve">上报调查户数占总户数的比重</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vAlign w:val="center"/>
          </w:tcPr>
          <w:p>
            <w:pPr>
              <w:pStyle w:val="单元格样式2"/>
            </w:pPr>
            <w:r>
              <w:t xml:space="preserve">反映各类专项统计调查任务的完成程度（包括各项调查报表的月报、季报、年报，完成时间及质量）</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vAlign w:val="center"/>
          </w:tcPr>
          <w:p>
            <w:pPr>
              <w:pStyle w:val="单元格样式2"/>
            </w:pPr>
            <w:r>
              <w:t xml:space="preserve">反映在规定时限内及时上报统计数据、报表的情况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用以反映项目成本控制情况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长期使用性</w:t>
            </w:r>
          </w:p>
        </w:tc>
        <w:tc>
          <w:tcPr>
            <w:tcW w:w="5386" w:type="dxa"/>
            <w:vAlign w:val="center"/>
          </w:tcPr>
          <w:p>
            <w:pPr>
              <w:pStyle w:val="单元格样式2"/>
            </w:pPr>
            <w:r>
              <w:t xml:space="preserve">能够长期较好地满足工作需求</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完成工作任务情况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节约资源，降低能耗，实现绿色办公</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调查对象覆盖率</w:t>
            </w:r>
          </w:p>
        </w:tc>
        <w:tc>
          <w:tcPr>
            <w:tcW w:w="5386" w:type="dxa"/>
            <w:vAlign w:val="center"/>
          </w:tcPr>
          <w:p>
            <w:pPr>
              <w:pStyle w:val="单元格样式2"/>
            </w:pPr>
            <w:r>
              <w:t xml:space="preserve">选取样本数量占调研对象总量的比率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vAlign w:val="center"/>
          </w:tcPr>
          <w:p>
            <w:pPr>
              <w:pStyle w:val="单元格样式2"/>
            </w:pPr>
            <w:r>
              <w:t xml:space="preserve">服务人群对工作满意度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4、第五次全国经济普查经费绩效目标表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13030425P008894115877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第五次全国经济普查经费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普查后期数据质量处理、验收和经济普查资料汇总开发</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1.完成普查后期数据质量处理、验收和经济普查资料汇总开发。</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实际完成率</w:t>
            </w:r>
          </w:p>
        </w:tc>
        <w:tc>
          <w:tcPr>
            <w:tcW w:w="5386" w:type="dxa"/>
            <w:vAlign w:val="center"/>
          </w:tcPr>
          <w:p>
            <w:pPr>
              <w:pStyle w:val="单元格样式2"/>
            </w:pPr>
            <w:r>
              <w:t xml:space="preserve">完成率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资金到位率</w:t>
            </w:r>
          </w:p>
        </w:tc>
        <w:tc>
          <w:tcPr>
            <w:tcW w:w="5386" w:type="dxa"/>
            <w:vAlign w:val="center"/>
          </w:tcPr>
          <w:p>
            <w:pPr>
              <w:pStyle w:val="单元格样式2"/>
            </w:pPr>
            <w:r>
              <w:t xml:space="preserve">资金到位率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完成的时限</w:t>
            </w:r>
          </w:p>
        </w:tc>
        <w:tc>
          <w:tcPr>
            <w:tcW w:w="5386" w:type="dxa"/>
            <w:vAlign w:val="center"/>
          </w:tcPr>
          <w:p>
            <w:pPr>
              <w:pStyle w:val="单元格样式2"/>
            </w:pPr>
            <w:r>
              <w:t xml:space="preserve">完成的时限</w:t>
            </w:r>
          </w:p>
        </w:tc>
        <w:tc>
          <w:tcPr>
            <w:tcW w:w="2268" w:type="dxa"/>
            <w:vAlign w:val="center"/>
          </w:tcPr>
          <w:p>
            <w:pPr>
              <w:pStyle w:val="单元格样式2"/>
            </w:pPr>
            <w:r>
              <w:t xml:space="preserve">按规定时间完成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项目成本</w:t>
            </w:r>
          </w:p>
        </w:tc>
        <w:tc>
          <w:tcPr>
            <w:tcW w:w="2268" w:type="dxa"/>
            <w:vAlign w:val="center"/>
          </w:tcPr>
          <w:p>
            <w:pPr>
              <w:pStyle w:val="单元格样式2"/>
            </w:pPr>
            <w:r>
              <w:t xml:space="preserve">控制在预算资金内</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认知度</w:t>
            </w:r>
          </w:p>
        </w:tc>
        <w:tc>
          <w:tcPr>
            <w:tcW w:w="5386" w:type="dxa"/>
            <w:vAlign w:val="center"/>
          </w:tcPr>
          <w:p>
            <w:pPr>
              <w:pStyle w:val="单元格样式2"/>
            </w:pPr>
            <w:r>
              <w:t xml:space="preserve">认知度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5、统计基础建设及法制宣传经费绩效目标表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13030425P00889411586K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统计基础建设及法制宣传经费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10.15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10.15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调查人员的培训工作，统计法治宣传教育</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1.完成对调查人员的培训工作，确保统计法治宣传教育效果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实际完成量占计划完成量</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宣传率</w:t>
            </w:r>
          </w:p>
        </w:tc>
        <w:tc>
          <w:tcPr>
            <w:tcW w:w="5386" w:type="dxa"/>
            <w:vAlign w:val="center"/>
          </w:tcPr>
          <w:p>
            <w:pPr>
              <w:pStyle w:val="单元格样式2"/>
            </w:pPr>
            <w:r>
              <w:t xml:space="preserve">对社会公众开展统计法治宣传教育率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培训及时率</w:t>
            </w:r>
          </w:p>
        </w:tc>
        <w:tc>
          <w:tcPr>
            <w:tcW w:w="5386" w:type="dxa"/>
            <w:vAlign w:val="center"/>
          </w:tcPr>
          <w:p>
            <w:pPr>
              <w:pStyle w:val="单元格样式2"/>
            </w:pPr>
            <w:r>
              <w:t xml:space="preserve">及时对工作人员培训，确保工作顺利开展</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控制在预算资金内</w:t>
            </w:r>
          </w:p>
        </w:tc>
        <w:tc>
          <w:tcPr>
            <w:tcW w:w="5386" w:type="dxa"/>
            <w:vAlign w:val="center"/>
          </w:tcPr>
          <w:p>
            <w:pPr>
              <w:pStyle w:val="单元格样式2"/>
            </w:pPr>
            <w:r>
              <w:t xml:space="preserve">是否控制在预算资金内</w:t>
            </w:r>
          </w:p>
        </w:tc>
        <w:tc>
          <w:tcPr>
            <w:tcW w:w="2268" w:type="dxa"/>
            <w:vAlign w:val="center"/>
          </w:tcPr>
          <w:p>
            <w:pPr>
              <w:pStyle w:val="单元格样式2"/>
            </w:pPr>
            <w:r>
              <w:t xml:space="preserve">是</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长期使用性</w:t>
            </w:r>
          </w:p>
        </w:tc>
        <w:tc>
          <w:tcPr>
            <w:tcW w:w="5386" w:type="dxa"/>
            <w:vAlign w:val="center"/>
          </w:tcPr>
          <w:p>
            <w:pPr>
              <w:pStyle w:val="单元格样式2"/>
            </w:pPr>
            <w:r>
              <w:t xml:space="preserve">能够长期较好地满足工作需求</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完成工作任务情况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节约资源，降低能耗，实现绿色办公</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数据利用率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vAlign w:val="center"/>
          </w:tcPr>
          <w:p>
            <w:pPr>
              <w:pStyle w:val="单元格样式2"/>
            </w:pPr>
            <w:r>
              <w:t xml:space="preserve">服务人群对工作满意度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color w:val="000000"/>
          <w:sz w:val="28"/>
        </w:rPr>
        <w:t xml:space="preserve">6、综合统计调查业务经费绩效目标表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13030425P008894115850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综合统计调查业务经费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13.66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13.66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统计调查业务，完成统计调查工作</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1.开展统计调查业务，完成统计调查工作并必要分析，对相关经济决策提供重要依据</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调查户数完成率</w:t>
            </w:r>
          </w:p>
        </w:tc>
        <w:tc>
          <w:tcPr>
            <w:tcW w:w="5386" w:type="dxa"/>
            <w:vAlign w:val="center"/>
          </w:tcPr>
          <w:p>
            <w:pPr>
              <w:pStyle w:val="单元格样式2"/>
            </w:pPr>
            <w:r>
              <w:t xml:space="preserve">上报调查户数占总户数的比重</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vAlign w:val="center"/>
          </w:tcPr>
          <w:p>
            <w:pPr>
              <w:pStyle w:val="单元格样式2"/>
            </w:pPr>
            <w:r>
              <w:t xml:space="preserve">反映各类专项统计调查任务的完成程度（包括各项调查报表的月报、季报、年报，完成时间及质量）</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vAlign w:val="center"/>
          </w:tcPr>
          <w:p>
            <w:pPr>
              <w:pStyle w:val="单元格样式2"/>
            </w:pPr>
            <w:r>
              <w:t xml:space="preserve">反映在规定时限内及时上报统计数据、报表的情况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用以反映项目成本控制情况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长期使用性</w:t>
            </w:r>
          </w:p>
        </w:tc>
        <w:tc>
          <w:tcPr>
            <w:tcW w:w="5386" w:type="dxa"/>
            <w:vAlign w:val="center"/>
          </w:tcPr>
          <w:p>
            <w:pPr>
              <w:pStyle w:val="单元格样式2"/>
            </w:pPr>
            <w:r>
              <w:t xml:space="preserve">能够长期较好地满足工作需求</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完成工作任务情况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节约成本</w:t>
            </w:r>
          </w:p>
        </w:tc>
        <w:tc>
          <w:tcPr>
            <w:tcW w:w="5386" w:type="dxa"/>
            <w:vAlign w:val="center"/>
          </w:tcPr>
          <w:p>
            <w:pPr>
              <w:pStyle w:val="单元格样式2"/>
            </w:pPr>
            <w:r>
              <w:t xml:space="preserve">节约资源，降低能耗，实现绿色办公</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调查对象覆盖率</w:t>
            </w:r>
          </w:p>
        </w:tc>
        <w:tc>
          <w:tcPr>
            <w:tcW w:w="5386" w:type="dxa"/>
            <w:vAlign w:val="center"/>
          </w:tcPr>
          <w:p>
            <w:pPr>
              <w:pStyle w:val="单元格样式2"/>
            </w:pPr>
            <w:r>
              <w:t xml:space="preserve">选取样本数量占调研对象总量的比率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vAlign w:val="center"/>
          </w:tcPr>
          <w:p>
            <w:pPr>
              <w:pStyle w:val="单元格样式2"/>
            </w:pPr>
            <w:r>
              <w:t xml:space="preserve">服务人群对工作满意度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76.64</w:t>
            </w:r>
          </w:p>
        </w:tc>
        <w:tc>
          <w:tcPr>
            <w:tcW w:w="964" w:type="dxa"/>
            <w:vAlign w:val="center"/>
          </w:tcPr>
          <w:p>
            <w:pPr>
              <w:pStyle w:val="单元格样式7"/>
            </w:pPr>
            <w:r>
              <w:t xml:space="preserve">76.64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76.64</w:t>
            </w:r>
          </w:p>
        </w:tc>
      </w:tr>
      <w:tr>
        <w:trPr>
          <w:cantSplit/>
          <w:trHeight w:hRule="auto" w:val="0"/>
          <w:jc w:val="center"/>
        </w:trPr>
        <w:tc>
          <w:tcPr>
            <w:tcW w:w="1701" w:type="dxa"/>
            <w:vAlign w:val="center"/>
          </w:tcPr>
          <w:p>
            <w:pPr>
              <w:pStyle w:val="单元格样式6"/>
            </w:pPr>
            <w:r>
              <w:t xml:space="preserve">秦皇岛市北戴河区统计局（本级）小计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76.64</w:t>
            </w:r>
          </w:p>
        </w:tc>
        <w:tc>
          <w:tcPr>
            <w:tcW w:w="964" w:type="dxa"/>
            <w:vAlign w:val="center"/>
          </w:tcPr>
          <w:p>
            <w:pPr>
              <w:pStyle w:val="单元格样式7"/>
            </w:pPr>
            <w:r>
              <w:t xml:space="preserve">76.64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76.64</w:t>
            </w:r>
          </w:p>
        </w:tc>
      </w:tr>
      <w:tr>
        <w:trPr>
          <w:cantSplit/>
          <w:trHeight w:hRule="auto" w:val="0"/>
          <w:jc w:val="center"/>
        </w:trPr>
        <w:tc>
          <w:tcPr>
            <w:tcW w:w="1701" w:type="dxa"/>
            <w:vAlign w:val="center"/>
          </w:tcPr>
          <w:p>
            <w:pPr>
              <w:pStyle w:val="单元格样式2"/>
            </w:pPr>
            <w:r>
              <w:t xml:space="preserve">办公辅助服务经费（服务）</w:t>
            </w:r>
          </w:p>
        </w:tc>
        <w:tc>
          <w:tcPr>
            <w:tcW w:w="964" w:type="dxa"/>
            <w:vAlign w:val="center"/>
          </w:tcPr>
          <w:p>
            <w:pPr>
              <w:pStyle w:val="单元格样式4"/>
            </w:pPr>
            <w:r>
              <w:t xml:space="preserve">75.84</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75.84</w:t>
            </w:r>
          </w:p>
        </w:tc>
        <w:tc>
          <w:tcPr>
            <w:tcW w:w="964" w:type="dxa"/>
            <w:vAlign w:val="center"/>
          </w:tcPr>
          <w:p>
            <w:pPr>
              <w:pStyle w:val="单元格样式4"/>
            </w:pPr>
            <w:r>
              <w:t xml:space="preserve">75.84</w:t>
            </w:r>
          </w:p>
        </w:tc>
        <w:tc>
          <w:tcPr>
            <w:tcW w:w="964" w:type="dxa"/>
            <w:vAlign w:val="center"/>
          </w:tcPr>
          <w:p>
            <w:pPr>
              <w:pStyle w:val="单元格样式4"/>
            </w:pPr>
            <w:r>
              <w:t xml:space="preserve">75.84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75.84</w:t>
            </w:r>
          </w:p>
        </w:tc>
      </w:tr>
      <w:tr>
        <w:trPr>
          <w:cantSplit/>
          <w:trHeight w:hRule="auto" w:val="0"/>
          <w:jc w:val="center"/>
        </w:trPr>
        <w:tc>
          <w:tcPr>
            <w:tcW w:w="1701" w:type="dxa"/>
            <w:vAlign w:val="center"/>
          </w:tcPr>
          <w:p>
            <w:pPr>
              <w:pStyle w:val="单元格样式2"/>
            </w:pPr>
            <w:r>
              <w:t xml:space="preserve">统计基础建设及法制宣传经费</w:t>
            </w:r>
          </w:p>
        </w:tc>
        <w:tc>
          <w:tcPr>
            <w:tcW w:w="964" w:type="dxa"/>
            <w:vAlign w:val="center"/>
          </w:tcPr>
          <w:p>
            <w:pPr>
              <w:pStyle w:val="单元格样式4"/>
            </w:pPr>
            <w:r>
              <w:t xml:space="preserve">10.15</w:t>
            </w:r>
          </w:p>
        </w:tc>
        <w:tc>
          <w:tcPr>
            <w:tcW w:w="1134" w:type="dxa"/>
            <w:vAlign w:val="center"/>
          </w:tcPr>
          <w:p>
            <w:pPr>
              <w:pStyle w:val="单元格样式2"/>
            </w:pPr>
            <w:r>
              <w:t xml:space="preserve">A4 黑白打印机</w:t>
            </w:r>
          </w:p>
        </w:tc>
        <w:tc>
          <w:tcPr>
            <w:tcW w:w="1134" w:type="dxa"/>
            <w:vAlign w:val="center"/>
          </w:tcPr>
          <w:p>
            <w:pPr>
              <w:pStyle w:val="单元格样式2"/>
            </w:pPr>
            <w:r>
              <w:t xml:space="preserve">A02021003</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0.25</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trHeight w:hRule="auto" w:val="0"/>
          <w:jc w:val="center"/>
        </w:trPr>
        <w:tc>
          <w:tcPr>
            <w:tcW w:w="1701" w:type="dxa"/>
            <w:vAlign w:val="center"/>
          </w:tcPr>
          <w:p>
            <w:pPr>
              <w:pStyle w:val="单元格样式2"/>
            </w:pPr>
            <w:r>
              <w:t xml:space="preserve">统计基础建设及法制宣传经费</w:t>
            </w:r>
          </w:p>
        </w:tc>
        <w:tc>
          <w:tcPr>
            <w:tcW w:w="964" w:type="dxa"/>
            <w:vAlign w:val="center"/>
          </w:tcPr>
          <w:p>
            <w:pPr>
              <w:pStyle w:val="单元格样式4"/>
            </w:pPr>
            <w:r>
              <w:t xml:space="preserve">10.15</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包</w:t>
            </w:r>
          </w:p>
        </w:tc>
        <w:tc>
          <w:tcPr>
            <w:tcW w:w="850" w:type="dxa"/>
            <w:vAlign w:val="center"/>
          </w:tcPr>
          <w:p>
            <w:pPr>
              <w:pStyle w:val="单元格样式4"/>
            </w:pPr>
            <w:r>
              <w:t xml:space="preserve">125</w:t>
            </w:r>
          </w:p>
        </w:tc>
        <w:tc>
          <w:tcPr>
            <w:tcW w:w="850" w:type="dxa"/>
            <w:vAlign w:val="center"/>
          </w:tcPr>
          <w:p>
            <w:pPr>
              <w:pStyle w:val="单元格样式4"/>
            </w:pPr>
            <w:r>
              <w:t xml:space="preserve">0.00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秦皇岛市北戴河区统计局（含所属单位）上年末固定资产金额为66.56万元（详见下表）。本年度拟购置固定资产总额为0.50万元，已按要求列入政府采购预算，详见政府采购预算表。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410秦皇岛市北戴河区统计局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66.56</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16.80</w:t>
            </w: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315</w:t>
            </w:r>
          </w:p>
        </w:tc>
        <w:tc>
          <w:tcPr>
            <w:tcW w:w="2835" w:type="dxa"/>
            <w:vAlign w:val="center"/>
          </w:tcPr>
          <w:p>
            <w:pPr>
              <w:pStyle w:val="单元格样式4"/>
            </w:pPr>
            <w:r>
              <w:t xml:space="preserve">49.76</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30</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rPr/>
  </w:style>
  <w:style w:type="paragraph" w:styleId="TOC3">
    <w:name w:val="TOC 3"/>
    <w:basedOn w:val="Normal"/>
    <w:qFormat/>
    <w:pPr>
      <w:ind w:left="48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32</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2025-02-18T14:25:37Z</dcterms:created>
  <dcterms:modified xsi:type="dcterms:W3CDTF">2025-02-18T14:25:37Z</dcterms:modified>
</cp:coreProperties>
</file>