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一、中共北戴河区委网络安全和信息化委员会办公室(本级)收支预算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一、中共北戴河区委网络安全和信息化委员会办公室(本级)收支预算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241.72</w:t>
            </w:r>
          </w:p>
        </w:tc>
        <w:tc>
          <w:tcPr>
            <w:tcW w:w="4535" w:type="dxa"/>
            <w:vAlign w:val="center"/>
          </w:tcPr>
          <w:p>
            <w:pPr>
              <w:pStyle w:val="12"/>
            </w:pPr>
            <w:r>
              <w:t>一、一般公共服务支出</w:t>
            </w:r>
          </w:p>
        </w:tc>
        <w:tc>
          <w:tcPr>
            <w:tcW w:w="2126" w:type="dxa"/>
            <w:vAlign w:val="center"/>
          </w:tcPr>
          <w:p>
            <w:pPr>
              <w:pStyle w:val="11"/>
            </w:pPr>
            <w:r>
              <w:t>208.76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12.28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10.74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9.94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241.72</w:t>
            </w:r>
          </w:p>
        </w:tc>
        <w:tc>
          <w:tcPr>
            <w:tcW w:w="4535" w:type="dxa"/>
            <w:vAlign w:val="center"/>
          </w:tcPr>
          <w:p>
            <w:pPr>
              <w:pStyle w:val="14"/>
            </w:pPr>
            <w:r>
              <w:t>本年支出合计</w:t>
            </w:r>
          </w:p>
        </w:tc>
        <w:tc>
          <w:tcPr>
            <w:tcW w:w="2126" w:type="dxa"/>
            <w:vAlign w:val="center"/>
          </w:tcPr>
          <w:p>
            <w:pPr>
              <w:pStyle w:val="15"/>
            </w:pPr>
            <w:r>
              <w:t>241.72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241.72</w:t>
            </w:r>
          </w:p>
        </w:tc>
        <w:tc>
          <w:tcPr>
            <w:tcW w:w="4535" w:type="dxa"/>
            <w:vAlign w:val="center"/>
          </w:tcPr>
          <w:p>
            <w:pPr>
              <w:pStyle w:val="14"/>
            </w:pPr>
            <w:r>
              <w:t>支出总计</w:t>
            </w:r>
          </w:p>
        </w:tc>
        <w:tc>
          <w:tcPr>
            <w:tcW w:w="2126" w:type="dxa"/>
            <w:vAlign w:val="center"/>
          </w:tcPr>
          <w:p>
            <w:pPr>
              <w:pStyle w:val="15"/>
            </w:pPr>
            <w:r>
              <w:t>241.72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241.72</w:t>
            </w:r>
          </w:p>
        </w:tc>
        <w:tc>
          <w:tcPr>
            <w:tcW w:w="1134" w:type="dxa"/>
            <w:vAlign w:val="center"/>
          </w:tcPr>
          <w:p>
            <w:pPr>
              <w:pStyle w:val="15"/>
            </w:pPr>
            <w:r>
              <w:t>241.72</w:t>
            </w:r>
          </w:p>
        </w:tc>
        <w:tc>
          <w:tcPr>
            <w:tcW w:w="1134" w:type="dxa"/>
            <w:vAlign w:val="center"/>
          </w:tcPr>
          <w:p>
            <w:pPr>
              <w:pStyle w:val="15"/>
            </w:pPr>
            <w:r>
              <w:t>241.72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208.76</w:t>
            </w:r>
          </w:p>
        </w:tc>
        <w:tc>
          <w:tcPr>
            <w:tcW w:w="1134" w:type="dxa"/>
            <w:vAlign w:val="center"/>
          </w:tcPr>
          <w:p>
            <w:pPr>
              <w:pStyle w:val="11"/>
            </w:pPr>
            <w:r>
              <w:t>208.76</w:t>
            </w:r>
          </w:p>
        </w:tc>
        <w:tc>
          <w:tcPr>
            <w:tcW w:w="1134" w:type="dxa"/>
            <w:vAlign w:val="center"/>
          </w:tcPr>
          <w:p>
            <w:pPr>
              <w:pStyle w:val="11"/>
            </w:pPr>
            <w:r>
              <w:t>208.76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20137</w:t>
            </w:r>
          </w:p>
        </w:tc>
        <w:tc>
          <w:tcPr>
            <w:tcW w:w="1559" w:type="dxa"/>
            <w:vAlign w:val="center"/>
          </w:tcPr>
          <w:p>
            <w:pPr>
              <w:pStyle w:val="12"/>
            </w:pPr>
            <w:r>
              <w:t>网信事务</w:t>
            </w:r>
          </w:p>
        </w:tc>
        <w:tc>
          <w:tcPr>
            <w:tcW w:w="1134" w:type="dxa"/>
            <w:vAlign w:val="center"/>
          </w:tcPr>
          <w:p>
            <w:pPr>
              <w:pStyle w:val="11"/>
            </w:pPr>
            <w:r>
              <w:t>208.76</w:t>
            </w:r>
          </w:p>
        </w:tc>
        <w:tc>
          <w:tcPr>
            <w:tcW w:w="1134" w:type="dxa"/>
            <w:vAlign w:val="center"/>
          </w:tcPr>
          <w:p>
            <w:pPr>
              <w:pStyle w:val="11"/>
            </w:pPr>
            <w:r>
              <w:t>208.76</w:t>
            </w:r>
          </w:p>
        </w:tc>
        <w:tc>
          <w:tcPr>
            <w:tcW w:w="1134" w:type="dxa"/>
            <w:vAlign w:val="center"/>
          </w:tcPr>
          <w:p>
            <w:pPr>
              <w:pStyle w:val="11"/>
            </w:pPr>
            <w:r>
              <w:t>208.76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2013701</w:t>
            </w:r>
          </w:p>
        </w:tc>
        <w:tc>
          <w:tcPr>
            <w:tcW w:w="1559" w:type="dxa"/>
            <w:vAlign w:val="center"/>
          </w:tcPr>
          <w:p>
            <w:pPr>
              <w:pStyle w:val="12"/>
            </w:pPr>
            <w:r>
              <w:t>行政运行</w:t>
            </w:r>
          </w:p>
        </w:tc>
        <w:tc>
          <w:tcPr>
            <w:tcW w:w="1134" w:type="dxa"/>
            <w:vAlign w:val="center"/>
          </w:tcPr>
          <w:p>
            <w:pPr>
              <w:pStyle w:val="11"/>
            </w:pPr>
            <w:r>
              <w:t>114.94</w:t>
            </w:r>
          </w:p>
        </w:tc>
        <w:tc>
          <w:tcPr>
            <w:tcW w:w="1134" w:type="dxa"/>
            <w:vAlign w:val="center"/>
          </w:tcPr>
          <w:p>
            <w:pPr>
              <w:pStyle w:val="11"/>
            </w:pPr>
            <w:r>
              <w:t>114.94</w:t>
            </w:r>
          </w:p>
        </w:tc>
        <w:tc>
          <w:tcPr>
            <w:tcW w:w="1134" w:type="dxa"/>
            <w:vAlign w:val="center"/>
          </w:tcPr>
          <w:p>
            <w:pPr>
              <w:pStyle w:val="11"/>
            </w:pPr>
            <w:r>
              <w:t>114.94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2013799</w:t>
            </w:r>
          </w:p>
        </w:tc>
        <w:tc>
          <w:tcPr>
            <w:tcW w:w="1559" w:type="dxa"/>
            <w:vAlign w:val="center"/>
          </w:tcPr>
          <w:p>
            <w:pPr>
              <w:pStyle w:val="12"/>
            </w:pPr>
            <w:r>
              <w:t>其他网信事务支出</w:t>
            </w:r>
          </w:p>
        </w:tc>
        <w:tc>
          <w:tcPr>
            <w:tcW w:w="1134" w:type="dxa"/>
            <w:vAlign w:val="center"/>
          </w:tcPr>
          <w:p>
            <w:pPr>
              <w:pStyle w:val="11"/>
            </w:pPr>
            <w:r>
              <w:t>93.82</w:t>
            </w:r>
          </w:p>
        </w:tc>
        <w:tc>
          <w:tcPr>
            <w:tcW w:w="1134" w:type="dxa"/>
            <w:vAlign w:val="center"/>
          </w:tcPr>
          <w:p>
            <w:pPr>
              <w:pStyle w:val="11"/>
            </w:pPr>
            <w:r>
              <w:t>93.82</w:t>
            </w:r>
          </w:p>
        </w:tc>
        <w:tc>
          <w:tcPr>
            <w:tcW w:w="1134" w:type="dxa"/>
            <w:vAlign w:val="center"/>
          </w:tcPr>
          <w:p>
            <w:pPr>
              <w:pStyle w:val="11"/>
            </w:pPr>
            <w:r>
              <w:t>93.82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12.28</w:t>
            </w:r>
          </w:p>
        </w:tc>
        <w:tc>
          <w:tcPr>
            <w:tcW w:w="1134" w:type="dxa"/>
            <w:vAlign w:val="center"/>
          </w:tcPr>
          <w:p>
            <w:pPr>
              <w:pStyle w:val="11"/>
            </w:pPr>
            <w:r>
              <w:t>12.28</w:t>
            </w:r>
          </w:p>
        </w:tc>
        <w:tc>
          <w:tcPr>
            <w:tcW w:w="1134" w:type="dxa"/>
            <w:vAlign w:val="center"/>
          </w:tcPr>
          <w:p>
            <w:pPr>
              <w:pStyle w:val="11"/>
            </w:pPr>
            <w:r>
              <w:t>12.28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12.28</w:t>
            </w:r>
          </w:p>
        </w:tc>
        <w:tc>
          <w:tcPr>
            <w:tcW w:w="1134" w:type="dxa"/>
            <w:vAlign w:val="center"/>
          </w:tcPr>
          <w:p>
            <w:pPr>
              <w:pStyle w:val="11"/>
            </w:pPr>
            <w:r>
              <w:t>12.28</w:t>
            </w:r>
          </w:p>
        </w:tc>
        <w:tc>
          <w:tcPr>
            <w:tcW w:w="1134" w:type="dxa"/>
            <w:vAlign w:val="center"/>
          </w:tcPr>
          <w:p>
            <w:pPr>
              <w:pStyle w:val="11"/>
            </w:pPr>
            <w:r>
              <w:t>12.28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12.28</w:t>
            </w:r>
          </w:p>
        </w:tc>
        <w:tc>
          <w:tcPr>
            <w:tcW w:w="1134" w:type="dxa"/>
            <w:vAlign w:val="center"/>
          </w:tcPr>
          <w:p>
            <w:pPr>
              <w:pStyle w:val="11"/>
            </w:pPr>
            <w:r>
              <w:t>12.28</w:t>
            </w:r>
          </w:p>
        </w:tc>
        <w:tc>
          <w:tcPr>
            <w:tcW w:w="1134" w:type="dxa"/>
            <w:vAlign w:val="center"/>
          </w:tcPr>
          <w:p>
            <w:pPr>
              <w:pStyle w:val="11"/>
            </w:pPr>
            <w:r>
              <w:t>12.28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10.74</w:t>
            </w:r>
          </w:p>
        </w:tc>
        <w:tc>
          <w:tcPr>
            <w:tcW w:w="1134" w:type="dxa"/>
            <w:vAlign w:val="center"/>
          </w:tcPr>
          <w:p>
            <w:pPr>
              <w:pStyle w:val="11"/>
            </w:pPr>
            <w:r>
              <w:t>10.74</w:t>
            </w:r>
          </w:p>
        </w:tc>
        <w:tc>
          <w:tcPr>
            <w:tcW w:w="1134" w:type="dxa"/>
            <w:vAlign w:val="center"/>
          </w:tcPr>
          <w:p>
            <w:pPr>
              <w:pStyle w:val="11"/>
            </w:pPr>
            <w:r>
              <w:t>10.74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10.74</w:t>
            </w:r>
          </w:p>
        </w:tc>
        <w:tc>
          <w:tcPr>
            <w:tcW w:w="1134" w:type="dxa"/>
            <w:vAlign w:val="center"/>
          </w:tcPr>
          <w:p>
            <w:pPr>
              <w:pStyle w:val="11"/>
            </w:pPr>
            <w:r>
              <w:t>10.74</w:t>
            </w:r>
          </w:p>
        </w:tc>
        <w:tc>
          <w:tcPr>
            <w:tcW w:w="1134" w:type="dxa"/>
            <w:vAlign w:val="center"/>
          </w:tcPr>
          <w:p>
            <w:pPr>
              <w:pStyle w:val="11"/>
            </w:pPr>
            <w:r>
              <w:t>10.74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5.09</w:t>
            </w:r>
          </w:p>
        </w:tc>
        <w:tc>
          <w:tcPr>
            <w:tcW w:w="1134" w:type="dxa"/>
            <w:vAlign w:val="center"/>
          </w:tcPr>
          <w:p>
            <w:pPr>
              <w:pStyle w:val="11"/>
            </w:pPr>
            <w:r>
              <w:t>5.09</w:t>
            </w:r>
          </w:p>
        </w:tc>
        <w:tc>
          <w:tcPr>
            <w:tcW w:w="1134" w:type="dxa"/>
            <w:vAlign w:val="center"/>
          </w:tcPr>
          <w:p>
            <w:pPr>
              <w:pStyle w:val="11"/>
            </w:pPr>
            <w:r>
              <w:t>5.09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5.65</w:t>
            </w:r>
          </w:p>
        </w:tc>
        <w:tc>
          <w:tcPr>
            <w:tcW w:w="1134" w:type="dxa"/>
            <w:vAlign w:val="center"/>
          </w:tcPr>
          <w:p>
            <w:pPr>
              <w:pStyle w:val="11"/>
            </w:pPr>
            <w:r>
              <w:t>5.65</w:t>
            </w:r>
          </w:p>
        </w:tc>
        <w:tc>
          <w:tcPr>
            <w:tcW w:w="1134" w:type="dxa"/>
            <w:vAlign w:val="center"/>
          </w:tcPr>
          <w:p>
            <w:pPr>
              <w:pStyle w:val="11"/>
            </w:pPr>
            <w:r>
              <w:t>5.65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9.94</w:t>
            </w:r>
          </w:p>
        </w:tc>
        <w:tc>
          <w:tcPr>
            <w:tcW w:w="1134" w:type="dxa"/>
            <w:vAlign w:val="center"/>
          </w:tcPr>
          <w:p>
            <w:pPr>
              <w:pStyle w:val="11"/>
            </w:pPr>
            <w:r>
              <w:t>9.94</w:t>
            </w:r>
          </w:p>
        </w:tc>
        <w:tc>
          <w:tcPr>
            <w:tcW w:w="1134" w:type="dxa"/>
            <w:vAlign w:val="center"/>
          </w:tcPr>
          <w:p>
            <w:pPr>
              <w:pStyle w:val="11"/>
            </w:pPr>
            <w:r>
              <w:t>9.94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9.94</w:t>
            </w:r>
          </w:p>
        </w:tc>
        <w:tc>
          <w:tcPr>
            <w:tcW w:w="1134" w:type="dxa"/>
            <w:vAlign w:val="center"/>
          </w:tcPr>
          <w:p>
            <w:pPr>
              <w:pStyle w:val="11"/>
            </w:pPr>
            <w:r>
              <w:t>9.94</w:t>
            </w:r>
          </w:p>
        </w:tc>
        <w:tc>
          <w:tcPr>
            <w:tcW w:w="1134" w:type="dxa"/>
            <w:vAlign w:val="center"/>
          </w:tcPr>
          <w:p>
            <w:pPr>
              <w:pStyle w:val="11"/>
            </w:pPr>
            <w:r>
              <w:t>9.94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9.94</w:t>
            </w:r>
          </w:p>
        </w:tc>
        <w:tc>
          <w:tcPr>
            <w:tcW w:w="1134" w:type="dxa"/>
            <w:vAlign w:val="center"/>
          </w:tcPr>
          <w:p>
            <w:pPr>
              <w:pStyle w:val="11"/>
            </w:pPr>
            <w:r>
              <w:t>9.94</w:t>
            </w:r>
          </w:p>
        </w:tc>
        <w:tc>
          <w:tcPr>
            <w:tcW w:w="1134" w:type="dxa"/>
            <w:vAlign w:val="center"/>
          </w:tcPr>
          <w:p>
            <w:pPr>
              <w:pStyle w:val="11"/>
            </w:pPr>
            <w:r>
              <w:t>9.94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241.72</w:t>
            </w:r>
          </w:p>
        </w:tc>
        <w:tc>
          <w:tcPr>
            <w:tcW w:w="1361" w:type="dxa"/>
            <w:vAlign w:val="center"/>
          </w:tcPr>
          <w:p>
            <w:pPr>
              <w:pStyle w:val="15"/>
            </w:pPr>
            <w:r>
              <w:t>147.90</w:t>
            </w:r>
          </w:p>
        </w:tc>
        <w:tc>
          <w:tcPr>
            <w:tcW w:w="1361" w:type="dxa"/>
            <w:vAlign w:val="center"/>
          </w:tcPr>
          <w:p>
            <w:pPr>
              <w:pStyle w:val="15"/>
            </w:pPr>
            <w:r>
              <w:t>93.82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208.76</w:t>
            </w:r>
          </w:p>
        </w:tc>
        <w:tc>
          <w:tcPr>
            <w:tcW w:w="1361" w:type="dxa"/>
            <w:vAlign w:val="center"/>
          </w:tcPr>
          <w:p>
            <w:pPr>
              <w:pStyle w:val="11"/>
            </w:pPr>
            <w:r>
              <w:t>114.94</w:t>
            </w:r>
          </w:p>
        </w:tc>
        <w:tc>
          <w:tcPr>
            <w:tcW w:w="1361" w:type="dxa"/>
            <w:vAlign w:val="center"/>
          </w:tcPr>
          <w:p>
            <w:pPr>
              <w:pStyle w:val="11"/>
            </w:pPr>
            <w:r>
              <w:t>93.82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20137</w:t>
            </w:r>
          </w:p>
        </w:tc>
        <w:tc>
          <w:tcPr>
            <w:tcW w:w="4535" w:type="dxa"/>
            <w:vAlign w:val="center"/>
          </w:tcPr>
          <w:p>
            <w:pPr>
              <w:pStyle w:val="12"/>
            </w:pPr>
            <w:r>
              <w:t>网信事务</w:t>
            </w:r>
          </w:p>
        </w:tc>
        <w:tc>
          <w:tcPr>
            <w:tcW w:w="1361" w:type="dxa"/>
            <w:vAlign w:val="center"/>
          </w:tcPr>
          <w:p>
            <w:pPr>
              <w:pStyle w:val="11"/>
            </w:pPr>
            <w:r>
              <w:t>208.76</w:t>
            </w:r>
          </w:p>
        </w:tc>
        <w:tc>
          <w:tcPr>
            <w:tcW w:w="1361" w:type="dxa"/>
            <w:vAlign w:val="center"/>
          </w:tcPr>
          <w:p>
            <w:pPr>
              <w:pStyle w:val="11"/>
            </w:pPr>
            <w:r>
              <w:t>114.94</w:t>
            </w:r>
          </w:p>
        </w:tc>
        <w:tc>
          <w:tcPr>
            <w:tcW w:w="1361" w:type="dxa"/>
            <w:vAlign w:val="center"/>
          </w:tcPr>
          <w:p>
            <w:pPr>
              <w:pStyle w:val="11"/>
            </w:pPr>
            <w:r>
              <w:t>93.82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2013701</w:t>
            </w:r>
          </w:p>
        </w:tc>
        <w:tc>
          <w:tcPr>
            <w:tcW w:w="4535" w:type="dxa"/>
            <w:vAlign w:val="center"/>
          </w:tcPr>
          <w:p>
            <w:pPr>
              <w:pStyle w:val="12"/>
            </w:pPr>
            <w:r>
              <w:t>行政运行</w:t>
            </w:r>
          </w:p>
        </w:tc>
        <w:tc>
          <w:tcPr>
            <w:tcW w:w="1361" w:type="dxa"/>
            <w:vAlign w:val="center"/>
          </w:tcPr>
          <w:p>
            <w:pPr>
              <w:pStyle w:val="11"/>
            </w:pPr>
            <w:r>
              <w:t>114.94</w:t>
            </w:r>
          </w:p>
        </w:tc>
        <w:tc>
          <w:tcPr>
            <w:tcW w:w="1361" w:type="dxa"/>
            <w:vAlign w:val="center"/>
          </w:tcPr>
          <w:p>
            <w:pPr>
              <w:pStyle w:val="11"/>
            </w:pPr>
            <w:r>
              <w:t>114.94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2013799</w:t>
            </w:r>
          </w:p>
        </w:tc>
        <w:tc>
          <w:tcPr>
            <w:tcW w:w="4535" w:type="dxa"/>
            <w:vAlign w:val="center"/>
          </w:tcPr>
          <w:p>
            <w:pPr>
              <w:pStyle w:val="12"/>
            </w:pPr>
            <w:r>
              <w:t>其他网信事务支出</w:t>
            </w:r>
          </w:p>
        </w:tc>
        <w:tc>
          <w:tcPr>
            <w:tcW w:w="1361" w:type="dxa"/>
            <w:vAlign w:val="center"/>
          </w:tcPr>
          <w:p>
            <w:pPr>
              <w:pStyle w:val="11"/>
            </w:pPr>
            <w:r>
              <w:t>93.82</w:t>
            </w:r>
          </w:p>
        </w:tc>
        <w:tc>
          <w:tcPr>
            <w:tcW w:w="1361" w:type="dxa"/>
            <w:vAlign w:val="center"/>
          </w:tcPr>
          <w:p>
            <w:pPr>
              <w:pStyle w:val="11"/>
            </w:pPr>
          </w:p>
        </w:tc>
        <w:tc>
          <w:tcPr>
            <w:tcW w:w="1361" w:type="dxa"/>
            <w:vAlign w:val="center"/>
          </w:tcPr>
          <w:p>
            <w:pPr>
              <w:pStyle w:val="11"/>
            </w:pPr>
            <w:r>
              <w:t>93.82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12.28</w:t>
            </w:r>
          </w:p>
        </w:tc>
        <w:tc>
          <w:tcPr>
            <w:tcW w:w="1361" w:type="dxa"/>
            <w:vAlign w:val="center"/>
          </w:tcPr>
          <w:p>
            <w:pPr>
              <w:pStyle w:val="11"/>
            </w:pPr>
            <w:r>
              <w:t>12.28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12.28</w:t>
            </w:r>
          </w:p>
        </w:tc>
        <w:tc>
          <w:tcPr>
            <w:tcW w:w="1361" w:type="dxa"/>
            <w:vAlign w:val="center"/>
          </w:tcPr>
          <w:p>
            <w:pPr>
              <w:pStyle w:val="11"/>
            </w:pPr>
            <w:r>
              <w:t>12.28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12.28</w:t>
            </w:r>
          </w:p>
        </w:tc>
        <w:tc>
          <w:tcPr>
            <w:tcW w:w="1361" w:type="dxa"/>
            <w:vAlign w:val="center"/>
          </w:tcPr>
          <w:p>
            <w:pPr>
              <w:pStyle w:val="11"/>
            </w:pPr>
            <w:r>
              <w:t>12.28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10.74</w:t>
            </w:r>
          </w:p>
        </w:tc>
        <w:tc>
          <w:tcPr>
            <w:tcW w:w="1361" w:type="dxa"/>
            <w:vAlign w:val="center"/>
          </w:tcPr>
          <w:p>
            <w:pPr>
              <w:pStyle w:val="11"/>
            </w:pPr>
            <w:r>
              <w:t>10.74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10.74</w:t>
            </w:r>
          </w:p>
        </w:tc>
        <w:tc>
          <w:tcPr>
            <w:tcW w:w="1361" w:type="dxa"/>
            <w:vAlign w:val="center"/>
          </w:tcPr>
          <w:p>
            <w:pPr>
              <w:pStyle w:val="11"/>
            </w:pPr>
            <w:r>
              <w:t>10.74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5.09</w:t>
            </w:r>
          </w:p>
        </w:tc>
        <w:tc>
          <w:tcPr>
            <w:tcW w:w="1361" w:type="dxa"/>
            <w:vAlign w:val="center"/>
          </w:tcPr>
          <w:p>
            <w:pPr>
              <w:pStyle w:val="11"/>
            </w:pPr>
            <w:r>
              <w:t>5.09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5.65</w:t>
            </w:r>
          </w:p>
        </w:tc>
        <w:tc>
          <w:tcPr>
            <w:tcW w:w="1361" w:type="dxa"/>
            <w:vAlign w:val="center"/>
          </w:tcPr>
          <w:p>
            <w:pPr>
              <w:pStyle w:val="11"/>
            </w:pPr>
            <w:r>
              <w:t>5.65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9.94</w:t>
            </w:r>
          </w:p>
        </w:tc>
        <w:tc>
          <w:tcPr>
            <w:tcW w:w="1361" w:type="dxa"/>
            <w:vAlign w:val="center"/>
          </w:tcPr>
          <w:p>
            <w:pPr>
              <w:pStyle w:val="11"/>
            </w:pPr>
            <w:r>
              <w:t>9.94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9.94</w:t>
            </w:r>
          </w:p>
        </w:tc>
        <w:tc>
          <w:tcPr>
            <w:tcW w:w="1361" w:type="dxa"/>
            <w:vAlign w:val="center"/>
          </w:tcPr>
          <w:p>
            <w:pPr>
              <w:pStyle w:val="11"/>
            </w:pPr>
            <w:r>
              <w:t>9.94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9.94</w:t>
            </w:r>
          </w:p>
        </w:tc>
        <w:tc>
          <w:tcPr>
            <w:tcW w:w="1361" w:type="dxa"/>
            <w:vAlign w:val="center"/>
          </w:tcPr>
          <w:p>
            <w:pPr>
              <w:pStyle w:val="11"/>
            </w:pPr>
            <w:r>
              <w:t>9.94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241.72</w:t>
            </w:r>
          </w:p>
        </w:tc>
        <w:tc>
          <w:tcPr>
            <w:tcW w:w="3402" w:type="dxa"/>
            <w:vAlign w:val="center"/>
          </w:tcPr>
          <w:p>
            <w:pPr>
              <w:pStyle w:val="12"/>
            </w:pPr>
            <w:r>
              <w:t>一、一般公共服务支出</w:t>
            </w:r>
          </w:p>
        </w:tc>
        <w:tc>
          <w:tcPr>
            <w:tcW w:w="1474" w:type="dxa"/>
            <w:vAlign w:val="center"/>
          </w:tcPr>
          <w:p>
            <w:pPr>
              <w:pStyle w:val="11"/>
            </w:pPr>
            <w:r>
              <w:t>208.76</w:t>
            </w:r>
          </w:p>
        </w:tc>
        <w:tc>
          <w:tcPr>
            <w:tcW w:w="1474" w:type="dxa"/>
            <w:vAlign w:val="center"/>
          </w:tcPr>
          <w:p>
            <w:pPr>
              <w:pStyle w:val="11"/>
            </w:pPr>
            <w:r>
              <w:t>208.76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12.28</w:t>
            </w:r>
          </w:p>
        </w:tc>
        <w:tc>
          <w:tcPr>
            <w:tcW w:w="1474" w:type="dxa"/>
            <w:vAlign w:val="center"/>
          </w:tcPr>
          <w:p>
            <w:pPr>
              <w:pStyle w:val="11"/>
            </w:pPr>
            <w:r>
              <w:t>12.28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10.74</w:t>
            </w:r>
          </w:p>
        </w:tc>
        <w:tc>
          <w:tcPr>
            <w:tcW w:w="1474" w:type="dxa"/>
            <w:vAlign w:val="center"/>
          </w:tcPr>
          <w:p>
            <w:pPr>
              <w:pStyle w:val="11"/>
            </w:pPr>
            <w:r>
              <w:t>10.74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9.94</w:t>
            </w:r>
          </w:p>
        </w:tc>
        <w:tc>
          <w:tcPr>
            <w:tcW w:w="1474" w:type="dxa"/>
            <w:vAlign w:val="center"/>
          </w:tcPr>
          <w:p>
            <w:pPr>
              <w:pStyle w:val="11"/>
            </w:pPr>
            <w:r>
              <w:t>9.94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241.72</w:t>
            </w:r>
          </w:p>
        </w:tc>
        <w:tc>
          <w:tcPr>
            <w:tcW w:w="3402" w:type="dxa"/>
            <w:vAlign w:val="center"/>
          </w:tcPr>
          <w:p>
            <w:pPr>
              <w:pStyle w:val="14"/>
            </w:pPr>
            <w:r>
              <w:t>本年支出合计</w:t>
            </w:r>
          </w:p>
        </w:tc>
        <w:tc>
          <w:tcPr>
            <w:tcW w:w="1474" w:type="dxa"/>
            <w:vAlign w:val="center"/>
          </w:tcPr>
          <w:p>
            <w:pPr>
              <w:pStyle w:val="15"/>
            </w:pPr>
            <w:r>
              <w:t>241.72</w:t>
            </w:r>
          </w:p>
        </w:tc>
        <w:tc>
          <w:tcPr>
            <w:tcW w:w="1474" w:type="dxa"/>
            <w:vAlign w:val="center"/>
          </w:tcPr>
          <w:p>
            <w:pPr>
              <w:pStyle w:val="15"/>
            </w:pPr>
            <w:r>
              <w:t>241.72</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241.72</w:t>
            </w:r>
          </w:p>
        </w:tc>
        <w:tc>
          <w:tcPr>
            <w:tcW w:w="3402" w:type="dxa"/>
            <w:vAlign w:val="center"/>
          </w:tcPr>
          <w:p>
            <w:pPr>
              <w:pStyle w:val="14"/>
            </w:pPr>
            <w:r>
              <w:t>支出总计</w:t>
            </w:r>
          </w:p>
        </w:tc>
        <w:tc>
          <w:tcPr>
            <w:tcW w:w="1474" w:type="dxa"/>
            <w:vAlign w:val="center"/>
          </w:tcPr>
          <w:p>
            <w:pPr>
              <w:pStyle w:val="15"/>
            </w:pPr>
            <w:r>
              <w:t>241.72</w:t>
            </w:r>
          </w:p>
        </w:tc>
        <w:tc>
          <w:tcPr>
            <w:tcW w:w="1474" w:type="dxa"/>
            <w:vAlign w:val="center"/>
          </w:tcPr>
          <w:p>
            <w:pPr>
              <w:pStyle w:val="15"/>
            </w:pPr>
            <w:r>
              <w:t>241.72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241.72</w:t>
            </w:r>
          </w:p>
        </w:tc>
        <w:tc>
          <w:tcPr>
            <w:tcW w:w="2551" w:type="dxa"/>
            <w:vAlign w:val="center"/>
          </w:tcPr>
          <w:p>
            <w:pPr>
              <w:pStyle w:val="15"/>
            </w:pPr>
            <w:r>
              <w:t>147.90</w:t>
            </w:r>
          </w:p>
        </w:tc>
        <w:tc>
          <w:tcPr>
            <w:tcW w:w="2551" w:type="dxa"/>
            <w:vAlign w:val="center"/>
          </w:tcPr>
          <w:p>
            <w:pPr>
              <w:pStyle w:val="15"/>
            </w:pPr>
            <w:r>
              <w:t>93.82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208.76</w:t>
            </w:r>
          </w:p>
        </w:tc>
        <w:tc>
          <w:tcPr>
            <w:tcW w:w="2551" w:type="dxa"/>
            <w:vAlign w:val="center"/>
          </w:tcPr>
          <w:p>
            <w:pPr>
              <w:pStyle w:val="11"/>
            </w:pPr>
            <w:r>
              <w:t>114.94</w:t>
            </w:r>
          </w:p>
        </w:tc>
        <w:tc>
          <w:tcPr>
            <w:tcW w:w="2551" w:type="dxa"/>
            <w:vAlign w:val="center"/>
          </w:tcPr>
          <w:p>
            <w:pPr>
              <w:pStyle w:val="11"/>
            </w:pPr>
            <w:r>
              <w:t>93.82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20137</w:t>
            </w:r>
          </w:p>
        </w:tc>
        <w:tc>
          <w:tcPr>
            <w:tcW w:w="4535" w:type="dxa"/>
            <w:vAlign w:val="center"/>
          </w:tcPr>
          <w:p>
            <w:pPr>
              <w:pStyle w:val="12"/>
            </w:pPr>
            <w:r>
              <w:t>网信事务</w:t>
            </w:r>
          </w:p>
        </w:tc>
        <w:tc>
          <w:tcPr>
            <w:tcW w:w="2551" w:type="dxa"/>
            <w:vAlign w:val="center"/>
          </w:tcPr>
          <w:p>
            <w:pPr>
              <w:pStyle w:val="11"/>
            </w:pPr>
            <w:r>
              <w:t>208.76</w:t>
            </w:r>
          </w:p>
        </w:tc>
        <w:tc>
          <w:tcPr>
            <w:tcW w:w="2551" w:type="dxa"/>
            <w:vAlign w:val="center"/>
          </w:tcPr>
          <w:p>
            <w:pPr>
              <w:pStyle w:val="11"/>
            </w:pPr>
            <w:r>
              <w:t>114.94</w:t>
            </w:r>
          </w:p>
        </w:tc>
        <w:tc>
          <w:tcPr>
            <w:tcW w:w="2551" w:type="dxa"/>
            <w:vAlign w:val="center"/>
          </w:tcPr>
          <w:p>
            <w:pPr>
              <w:pStyle w:val="11"/>
            </w:pPr>
            <w:r>
              <w:t>93.82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2013701</w:t>
            </w:r>
          </w:p>
        </w:tc>
        <w:tc>
          <w:tcPr>
            <w:tcW w:w="4535" w:type="dxa"/>
            <w:vAlign w:val="center"/>
          </w:tcPr>
          <w:p>
            <w:pPr>
              <w:pStyle w:val="12"/>
            </w:pPr>
            <w:r>
              <w:t>行政运行</w:t>
            </w:r>
          </w:p>
        </w:tc>
        <w:tc>
          <w:tcPr>
            <w:tcW w:w="2551" w:type="dxa"/>
            <w:vAlign w:val="center"/>
          </w:tcPr>
          <w:p>
            <w:pPr>
              <w:pStyle w:val="11"/>
            </w:pPr>
            <w:r>
              <w:t>114.94</w:t>
            </w:r>
          </w:p>
        </w:tc>
        <w:tc>
          <w:tcPr>
            <w:tcW w:w="2551" w:type="dxa"/>
            <w:vAlign w:val="center"/>
          </w:tcPr>
          <w:p>
            <w:pPr>
              <w:pStyle w:val="11"/>
            </w:pPr>
            <w:r>
              <w:t>114.94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2013799</w:t>
            </w:r>
          </w:p>
        </w:tc>
        <w:tc>
          <w:tcPr>
            <w:tcW w:w="4535" w:type="dxa"/>
            <w:vAlign w:val="center"/>
          </w:tcPr>
          <w:p>
            <w:pPr>
              <w:pStyle w:val="12"/>
            </w:pPr>
            <w:r>
              <w:t>其他网信事务支出</w:t>
            </w:r>
          </w:p>
        </w:tc>
        <w:tc>
          <w:tcPr>
            <w:tcW w:w="2551" w:type="dxa"/>
            <w:vAlign w:val="center"/>
          </w:tcPr>
          <w:p>
            <w:pPr>
              <w:pStyle w:val="11"/>
            </w:pPr>
            <w:r>
              <w:t>93.82</w:t>
            </w:r>
          </w:p>
        </w:tc>
        <w:tc>
          <w:tcPr>
            <w:tcW w:w="2551" w:type="dxa"/>
            <w:vAlign w:val="center"/>
          </w:tcPr>
          <w:p>
            <w:pPr>
              <w:pStyle w:val="11"/>
            </w:pPr>
          </w:p>
        </w:tc>
        <w:tc>
          <w:tcPr>
            <w:tcW w:w="2551" w:type="dxa"/>
            <w:vAlign w:val="center"/>
          </w:tcPr>
          <w:p>
            <w:pPr>
              <w:pStyle w:val="11"/>
            </w:pPr>
            <w:r>
              <w:t>93.82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12.28</w:t>
            </w:r>
          </w:p>
        </w:tc>
        <w:tc>
          <w:tcPr>
            <w:tcW w:w="2551" w:type="dxa"/>
            <w:vAlign w:val="center"/>
          </w:tcPr>
          <w:p>
            <w:pPr>
              <w:pStyle w:val="11"/>
            </w:pPr>
            <w:r>
              <w:t>12.28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12.28</w:t>
            </w:r>
          </w:p>
        </w:tc>
        <w:tc>
          <w:tcPr>
            <w:tcW w:w="2551" w:type="dxa"/>
            <w:vAlign w:val="center"/>
          </w:tcPr>
          <w:p>
            <w:pPr>
              <w:pStyle w:val="11"/>
            </w:pPr>
            <w:r>
              <w:t>12.28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12.28</w:t>
            </w:r>
          </w:p>
        </w:tc>
        <w:tc>
          <w:tcPr>
            <w:tcW w:w="2551" w:type="dxa"/>
            <w:vAlign w:val="center"/>
          </w:tcPr>
          <w:p>
            <w:pPr>
              <w:pStyle w:val="11"/>
            </w:pPr>
            <w:r>
              <w:t>12.28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10.74</w:t>
            </w:r>
          </w:p>
        </w:tc>
        <w:tc>
          <w:tcPr>
            <w:tcW w:w="2551" w:type="dxa"/>
            <w:vAlign w:val="center"/>
          </w:tcPr>
          <w:p>
            <w:pPr>
              <w:pStyle w:val="11"/>
            </w:pPr>
            <w:r>
              <w:t>10.74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10.74</w:t>
            </w:r>
          </w:p>
        </w:tc>
        <w:tc>
          <w:tcPr>
            <w:tcW w:w="2551" w:type="dxa"/>
            <w:vAlign w:val="center"/>
          </w:tcPr>
          <w:p>
            <w:pPr>
              <w:pStyle w:val="11"/>
            </w:pPr>
            <w:r>
              <w:t>10.74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5.09</w:t>
            </w:r>
          </w:p>
        </w:tc>
        <w:tc>
          <w:tcPr>
            <w:tcW w:w="2551" w:type="dxa"/>
            <w:vAlign w:val="center"/>
          </w:tcPr>
          <w:p>
            <w:pPr>
              <w:pStyle w:val="11"/>
            </w:pPr>
            <w:r>
              <w:t>5.09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5.65</w:t>
            </w:r>
          </w:p>
        </w:tc>
        <w:tc>
          <w:tcPr>
            <w:tcW w:w="2551" w:type="dxa"/>
            <w:vAlign w:val="center"/>
          </w:tcPr>
          <w:p>
            <w:pPr>
              <w:pStyle w:val="11"/>
            </w:pPr>
            <w:r>
              <w:t>5.65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9.94</w:t>
            </w:r>
          </w:p>
        </w:tc>
        <w:tc>
          <w:tcPr>
            <w:tcW w:w="2551" w:type="dxa"/>
            <w:vAlign w:val="center"/>
          </w:tcPr>
          <w:p>
            <w:pPr>
              <w:pStyle w:val="11"/>
            </w:pPr>
            <w:r>
              <w:t>9.94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9.94</w:t>
            </w:r>
          </w:p>
        </w:tc>
        <w:tc>
          <w:tcPr>
            <w:tcW w:w="2551" w:type="dxa"/>
            <w:vAlign w:val="center"/>
          </w:tcPr>
          <w:p>
            <w:pPr>
              <w:pStyle w:val="11"/>
            </w:pPr>
            <w:r>
              <w:t>9.94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9.94</w:t>
            </w:r>
          </w:p>
        </w:tc>
        <w:tc>
          <w:tcPr>
            <w:tcW w:w="2551" w:type="dxa"/>
            <w:vAlign w:val="center"/>
          </w:tcPr>
          <w:p>
            <w:pPr>
              <w:pStyle w:val="11"/>
            </w:pPr>
            <w:r>
              <w:t>9.94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147.90</w:t>
            </w:r>
          </w:p>
        </w:tc>
        <w:tc>
          <w:tcPr>
            <w:tcW w:w="2551" w:type="dxa"/>
            <w:vAlign w:val="center"/>
          </w:tcPr>
          <w:p>
            <w:pPr>
              <w:pStyle w:val="15"/>
            </w:pPr>
            <w:r>
              <w:t>137.29</w:t>
            </w:r>
          </w:p>
        </w:tc>
        <w:tc>
          <w:tcPr>
            <w:tcW w:w="2551" w:type="dxa"/>
            <w:vAlign w:val="center"/>
          </w:tcPr>
          <w:p>
            <w:pPr>
              <w:pStyle w:val="15"/>
            </w:pPr>
            <w:r>
              <w:t>10.61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137.29</w:t>
            </w:r>
          </w:p>
        </w:tc>
        <w:tc>
          <w:tcPr>
            <w:tcW w:w="2551" w:type="dxa"/>
            <w:vAlign w:val="center"/>
          </w:tcPr>
          <w:p>
            <w:pPr>
              <w:pStyle w:val="11"/>
            </w:pPr>
            <w:r>
              <w:t>137.29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32.49</w:t>
            </w:r>
          </w:p>
        </w:tc>
        <w:tc>
          <w:tcPr>
            <w:tcW w:w="2551" w:type="dxa"/>
            <w:vAlign w:val="center"/>
          </w:tcPr>
          <w:p>
            <w:pPr>
              <w:pStyle w:val="11"/>
            </w:pPr>
            <w:r>
              <w:t>32.49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17.47</w:t>
            </w:r>
          </w:p>
        </w:tc>
        <w:tc>
          <w:tcPr>
            <w:tcW w:w="2551" w:type="dxa"/>
            <w:vAlign w:val="center"/>
          </w:tcPr>
          <w:p>
            <w:pPr>
              <w:pStyle w:val="11"/>
            </w:pPr>
            <w:r>
              <w:t>17.47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6.94</w:t>
            </w:r>
          </w:p>
        </w:tc>
        <w:tc>
          <w:tcPr>
            <w:tcW w:w="2551" w:type="dxa"/>
            <w:vAlign w:val="center"/>
          </w:tcPr>
          <w:p>
            <w:pPr>
              <w:pStyle w:val="11"/>
            </w:pPr>
            <w:r>
              <w:t>6.94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33.27</w:t>
            </w:r>
          </w:p>
        </w:tc>
        <w:tc>
          <w:tcPr>
            <w:tcW w:w="2551" w:type="dxa"/>
            <w:vAlign w:val="center"/>
          </w:tcPr>
          <w:p>
            <w:pPr>
              <w:pStyle w:val="11"/>
            </w:pPr>
            <w:r>
              <w:t>33.27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12.28</w:t>
            </w:r>
          </w:p>
        </w:tc>
        <w:tc>
          <w:tcPr>
            <w:tcW w:w="2551" w:type="dxa"/>
            <w:vAlign w:val="center"/>
          </w:tcPr>
          <w:p>
            <w:pPr>
              <w:pStyle w:val="11"/>
            </w:pPr>
            <w:r>
              <w:t>12.28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5.09</w:t>
            </w:r>
          </w:p>
        </w:tc>
        <w:tc>
          <w:tcPr>
            <w:tcW w:w="2551" w:type="dxa"/>
            <w:vAlign w:val="center"/>
          </w:tcPr>
          <w:p>
            <w:pPr>
              <w:pStyle w:val="11"/>
            </w:pPr>
            <w:r>
              <w:t>5.09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5.65</w:t>
            </w:r>
          </w:p>
        </w:tc>
        <w:tc>
          <w:tcPr>
            <w:tcW w:w="2551" w:type="dxa"/>
            <w:vAlign w:val="center"/>
          </w:tcPr>
          <w:p>
            <w:pPr>
              <w:pStyle w:val="11"/>
            </w:pPr>
            <w:r>
              <w:t>5.65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0.77</w:t>
            </w:r>
          </w:p>
        </w:tc>
        <w:tc>
          <w:tcPr>
            <w:tcW w:w="2551" w:type="dxa"/>
            <w:vAlign w:val="center"/>
          </w:tcPr>
          <w:p>
            <w:pPr>
              <w:pStyle w:val="11"/>
            </w:pPr>
            <w:r>
              <w:t>0.77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9.94</w:t>
            </w:r>
          </w:p>
        </w:tc>
        <w:tc>
          <w:tcPr>
            <w:tcW w:w="2551" w:type="dxa"/>
            <w:vAlign w:val="center"/>
          </w:tcPr>
          <w:p>
            <w:pPr>
              <w:pStyle w:val="11"/>
            </w:pPr>
            <w:r>
              <w:t>9.94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13.39</w:t>
            </w:r>
          </w:p>
        </w:tc>
        <w:tc>
          <w:tcPr>
            <w:tcW w:w="2551" w:type="dxa"/>
            <w:vAlign w:val="center"/>
          </w:tcPr>
          <w:p>
            <w:pPr>
              <w:pStyle w:val="11"/>
            </w:pPr>
            <w:r>
              <w:t>13.39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10.61</w:t>
            </w:r>
          </w:p>
        </w:tc>
        <w:tc>
          <w:tcPr>
            <w:tcW w:w="2551" w:type="dxa"/>
            <w:vAlign w:val="center"/>
          </w:tcPr>
          <w:p>
            <w:pPr>
              <w:pStyle w:val="11"/>
            </w:pPr>
          </w:p>
        </w:tc>
        <w:tc>
          <w:tcPr>
            <w:tcW w:w="2551" w:type="dxa"/>
            <w:vAlign w:val="center"/>
          </w:tcPr>
          <w:p>
            <w:pPr>
              <w:pStyle w:val="11"/>
            </w:pPr>
            <w:r>
              <w:t>10.61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2.26</w:t>
            </w:r>
          </w:p>
        </w:tc>
        <w:tc>
          <w:tcPr>
            <w:tcW w:w="2551" w:type="dxa"/>
            <w:vAlign w:val="center"/>
          </w:tcPr>
          <w:p>
            <w:pPr>
              <w:pStyle w:val="11"/>
            </w:pPr>
          </w:p>
        </w:tc>
        <w:tc>
          <w:tcPr>
            <w:tcW w:w="2551" w:type="dxa"/>
            <w:vAlign w:val="center"/>
          </w:tcPr>
          <w:p>
            <w:pPr>
              <w:pStyle w:val="11"/>
            </w:pPr>
            <w:r>
              <w:t>2.26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1.62</w:t>
            </w:r>
          </w:p>
        </w:tc>
        <w:tc>
          <w:tcPr>
            <w:tcW w:w="2551" w:type="dxa"/>
            <w:vAlign w:val="center"/>
          </w:tcPr>
          <w:p>
            <w:pPr>
              <w:pStyle w:val="11"/>
            </w:pPr>
          </w:p>
        </w:tc>
        <w:tc>
          <w:tcPr>
            <w:tcW w:w="2551" w:type="dxa"/>
            <w:vAlign w:val="center"/>
          </w:tcPr>
          <w:p>
            <w:pPr>
              <w:pStyle w:val="11"/>
            </w:pPr>
            <w:r>
              <w:t>1.62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0.97</w:t>
            </w:r>
          </w:p>
        </w:tc>
        <w:tc>
          <w:tcPr>
            <w:tcW w:w="2551" w:type="dxa"/>
            <w:vAlign w:val="center"/>
          </w:tcPr>
          <w:p>
            <w:pPr>
              <w:pStyle w:val="11"/>
            </w:pPr>
          </w:p>
        </w:tc>
        <w:tc>
          <w:tcPr>
            <w:tcW w:w="2551" w:type="dxa"/>
            <w:vAlign w:val="center"/>
          </w:tcPr>
          <w:p>
            <w:pPr>
              <w:pStyle w:val="11"/>
            </w:pPr>
            <w:r>
              <w:t>0.97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1.43</w:t>
            </w:r>
          </w:p>
        </w:tc>
        <w:tc>
          <w:tcPr>
            <w:tcW w:w="2551" w:type="dxa"/>
            <w:vAlign w:val="center"/>
          </w:tcPr>
          <w:p>
            <w:pPr>
              <w:pStyle w:val="11"/>
            </w:pPr>
          </w:p>
        </w:tc>
        <w:tc>
          <w:tcPr>
            <w:tcW w:w="2551" w:type="dxa"/>
            <w:vAlign w:val="center"/>
          </w:tcPr>
          <w:p>
            <w:pPr>
              <w:pStyle w:val="11"/>
            </w:pPr>
            <w:r>
              <w:t>1.43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0.90</w:t>
            </w:r>
          </w:p>
        </w:tc>
        <w:tc>
          <w:tcPr>
            <w:tcW w:w="2551" w:type="dxa"/>
            <w:vAlign w:val="center"/>
          </w:tcPr>
          <w:p>
            <w:pPr>
              <w:pStyle w:val="11"/>
            </w:pPr>
          </w:p>
        </w:tc>
        <w:tc>
          <w:tcPr>
            <w:tcW w:w="2551" w:type="dxa"/>
            <w:vAlign w:val="center"/>
          </w:tcPr>
          <w:p>
            <w:pPr>
              <w:pStyle w:val="11"/>
            </w:pPr>
            <w:r>
              <w:t>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1.86</w:t>
            </w:r>
          </w:p>
        </w:tc>
        <w:tc>
          <w:tcPr>
            <w:tcW w:w="2551" w:type="dxa"/>
            <w:vAlign w:val="center"/>
          </w:tcPr>
          <w:p>
            <w:pPr>
              <w:pStyle w:val="11"/>
            </w:pPr>
          </w:p>
        </w:tc>
        <w:tc>
          <w:tcPr>
            <w:tcW w:w="2551" w:type="dxa"/>
            <w:vAlign w:val="center"/>
          </w:tcPr>
          <w:p>
            <w:pPr>
              <w:pStyle w:val="11"/>
            </w:pPr>
            <w:r>
              <w:t>1.86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1.57</w:t>
            </w:r>
          </w:p>
        </w:tc>
        <w:tc>
          <w:tcPr>
            <w:tcW w:w="2551" w:type="dxa"/>
            <w:vAlign w:val="center"/>
          </w:tcPr>
          <w:p>
            <w:pPr>
              <w:pStyle w:val="11"/>
            </w:pPr>
          </w:p>
        </w:tc>
        <w:tc>
          <w:tcPr>
            <w:tcW w:w="2551" w:type="dxa"/>
            <w:vAlign w:val="center"/>
          </w:tcPr>
          <w:p>
            <w:pPr>
              <w:pStyle w:val="11"/>
            </w:pPr>
            <w:r>
              <w:t>1.57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中共北戴河区委网络安全和信息化委员会办公室(本级)2025年单位预算信息公开情况说明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按照《中华人民共和国预算法》、《地方预决算公开操作规程》和《关于进一步推进预算公开工作的实施意见》规定，现将中共北戴河区委网络安全和信息化委员会办公室(本级)2025年单位预算公开如下：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单位职责：</w:t>
      </w:r>
    </w:p>
    <w:p>
      <w:pPr>
        <w:pStyle w:val="17"/>
      </w:pPr>
      <w:r>
        <w:t>本单位是行政单位。内设机构1个，单列科室1个，二级事业单位1个。</w:t>
      </w:r>
    </w:p>
    <w:p>
      <w:pPr>
        <w:pStyle w:val="17"/>
      </w:pPr>
      <w:r>
        <w:t>主要职责及重点工作如下：</w:t>
      </w:r>
    </w:p>
    <w:p>
      <w:pPr>
        <w:pStyle w:val="17"/>
      </w:pPr>
      <w:r>
        <w:t>1.负责处理区委网络安全和信息化委员会日常事务和网信干部队伍建设管理工作。</w:t>
      </w:r>
    </w:p>
    <w:p>
      <w:pPr>
        <w:pStyle w:val="17"/>
      </w:pPr>
      <w:r>
        <w:t>2.负责全区网络宣传引导、网络文化文明建设和网络社会工作，推动全区网络阵地建设。</w:t>
      </w:r>
    </w:p>
    <w:p>
      <w:pPr>
        <w:pStyle w:val="17"/>
      </w:pPr>
      <w:r>
        <w:t>3.负责指导协调全区网络舆情工作。</w:t>
      </w:r>
    </w:p>
    <w:p>
      <w:pPr>
        <w:pStyle w:val="17"/>
      </w:pPr>
      <w:r>
        <w:t>4.负责全区互联网信息内容管理工作。</w:t>
      </w:r>
    </w:p>
    <w:p>
      <w:pPr>
        <w:pStyle w:val="17"/>
      </w:pPr>
      <w:r>
        <w:t>5.负责推动全区网络安全工作。</w:t>
      </w:r>
    </w:p>
    <w:p>
      <w:pPr>
        <w:pStyle w:val="17"/>
      </w:pPr>
      <w:r>
        <w:t>6.负责推动全区信息化安全工作。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中共北戴河区委网络安全和信息化委员会办公室(本级)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241.72万元，其中：一般公共预算收入241.72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共北戴河区委网络安全和信息化委员会办公室(本级)年度单位预算中支出预算的总体情况。2025年支出预算241.72万元，其中基本支出147.90万元，包括人员经费137.29万元和日常公用经费10.61万元；项目支出93.82万元，主要为网络安全工作经费40.22万元，信息化工作经费1.44万元，办公辅助服务经费（服务）11.62万元，平台建设网络运行维护费39.50万元，信息化工作网络运行维护费1.04万元。</w:t>
      </w:r>
    </w:p>
    <w:p>
      <w:pPr>
        <w:pStyle w:val="18"/>
      </w:pPr>
      <w:r>
        <w:t>3、比上年增减情况</w:t>
      </w:r>
    </w:p>
    <w:p>
      <w:pPr>
        <w:pStyle w:val="18"/>
      </w:pPr>
      <w:r>
        <w:t>2025年预算收支安排241.72万元，较2024年预算减少9.14万元，其中：基本支出增加21.41万元，主要为将项目预算内的人事代理专项补助列入基本支出中，13.39万元。其余8.02万元为人员工资增加，各保险、公积金基数调高，增加支出。项目支出减少30.55万元，主要为2024年度因机构改革，北戴河区委网信办部分职能划转给北戴河区数据和政务服务局，区委网信办2025年年初预算指标也进行调整，项目支出中减少经费支出30.55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2025年，我单位机关运行经费共计安排10.61万元，主要用于日常维修、办公用房水电费、办公用房取暖费、办公用房物业管理费等日常运行支出。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2025年，我</w:t>
      </w:r>
      <w:r>
        <w:rPr>
          <w:rFonts w:hint="eastAsia"/>
          <w:lang w:eastAsia="zh-CN"/>
        </w:rPr>
        <w:t>单位</w:t>
      </w:r>
      <w:bookmarkStart w:id="1" w:name="_GoBack"/>
      <w:bookmarkEnd w:id="1"/>
      <w:r>
        <w:t>财政拨款“三公”经费预算安排0.00万元，其中因公出国（境）费0.00万元；公务用车购置及运维费0.00万元（其中：公务用车购置费为0.00万元，公务用车运维费0.00万元)；公务接待费0.00万元。与2024年相比增加0.00万元，增减变化的主要原因是与2024年相比增加0万元，与2024年相比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1、办公辅助服务经费（服务）绩效目标表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13030425P008893114123</w:t>
            </w:r>
          </w:p>
        </w:tc>
        <w:tc>
          <w:tcPr>
            <w:tcW w:w="2835" w:type="dxa"/>
            <w:vAlign w:val="center"/>
          </w:tcPr>
          <w:p>
            <w:pPr>
              <w:pStyle w:val="10"/>
            </w:pPr>
            <w:r>
              <w:t>项目名称</w:t>
            </w:r>
          </w:p>
        </w:tc>
        <w:tc>
          <w:tcPr>
            <w:tcW w:w="6095" w:type="dxa"/>
            <w:gridSpan w:val="3"/>
            <w:vAlign w:val="center"/>
          </w:tcPr>
          <w:p>
            <w:pPr>
              <w:pStyle w:val="12"/>
            </w:pPr>
            <w:r>
              <w:t>办公辅助服务经费（服务）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11.62</w:t>
            </w:r>
          </w:p>
        </w:tc>
        <w:tc>
          <w:tcPr>
            <w:tcW w:w="2835" w:type="dxa"/>
            <w:vAlign w:val="center"/>
          </w:tcPr>
          <w:p>
            <w:pPr>
              <w:pStyle w:val="10"/>
            </w:pPr>
            <w:r>
              <w:t>其中：财政    资金</w:t>
            </w:r>
          </w:p>
        </w:tc>
        <w:tc>
          <w:tcPr>
            <w:tcW w:w="2551" w:type="dxa"/>
            <w:vAlign w:val="center"/>
          </w:tcPr>
          <w:p>
            <w:pPr>
              <w:pStyle w:val="12"/>
            </w:pPr>
            <w:r>
              <w:t>11.62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保障机关工作正常高效运转。</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1.保障机关工作正常高效运转。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保障办公辅助服务的人数</w:t>
            </w:r>
          </w:p>
        </w:tc>
        <w:tc>
          <w:tcPr>
            <w:tcW w:w="5386" w:type="dxa"/>
            <w:vAlign w:val="center"/>
          </w:tcPr>
          <w:p>
            <w:pPr>
              <w:pStyle w:val="12"/>
            </w:pPr>
            <w:r>
              <w:t>保障办公辅助服务的人数</w:t>
            </w:r>
          </w:p>
        </w:tc>
        <w:tc>
          <w:tcPr>
            <w:tcW w:w="2268" w:type="dxa"/>
            <w:vAlign w:val="center"/>
          </w:tcPr>
          <w:p>
            <w:pPr>
              <w:pStyle w:val="12"/>
            </w:pPr>
            <w:r>
              <w:t>≤2人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工资发放精准性</w:t>
            </w:r>
          </w:p>
        </w:tc>
        <w:tc>
          <w:tcPr>
            <w:tcW w:w="5386" w:type="dxa"/>
            <w:vAlign w:val="center"/>
          </w:tcPr>
          <w:p>
            <w:pPr>
              <w:pStyle w:val="12"/>
            </w:pPr>
            <w:r>
              <w:t>工资等发放人员范围的精准性和发放数据的准确性</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社会保障缴纳的准确性</w:t>
            </w:r>
          </w:p>
        </w:tc>
        <w:tc>
          <w:tcPr>
            <w:tcW w:w="5386" w:type="dxa"/>
            <w:vAlign w:val="center"/>
          </w:tcPr>
          <w:p>
            <w:pPr>
              <w:pStyle w:val="12"/>
            </w:pPr>
            <w:r>
              <w:t>社会保障缴纳数据的准确性</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工资发放及时性</w:t>
            </w:r>
          </w:p>
        </w:tc>
        <w:tc>
          <w:tcPr>
            <w:tcW w:w="5386" w:type="dxa"/>
            <w:vAlign w:val="center"/>
          </w:tcPr>
          <w:p>
            <w:pPr>
              <w:pStyle w:val="12"/>
            </w:pPr>
            <w:r>
              <w:t>工资等发放的时效情况</w:t>
            </w:r>
          </w:p>
        </w:tc>
        <w:tc>
          <w:tcPr>
            <w:tcW w:w="2268" w:type="dxa"/>
            <w:vAlign w:val="center"/>
          </w:tcPr>
          <w:p>
            <w:pPr>
              <w:pStyle w:val="12"/>
            </w:pPr>
            <w:r>
              <w:t>按规定时间发放</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社会保障缴纳及时性</w:t>
            </w:r>
          </w:p>
        </w:tc>
        <w:tc>
          <w:tcPr>
            <w:tcW w:w="5386" w:type="dxa"/>
            <w:vAlign w:val="center"/>
          </w:tcPr>
          <w:p>
            <w:pPr>
              <w:pStyle w:val="12"/>
            </w:pPr>
            <w:r>
              <w:t>社会保障缴纳的时效情况</w:t>
            </w:r>
          </w:p>
        </w:tc>
        <w:tc>
          <w:tcPr>
            <w:tcW w:w="2268" w:type="dxa"/>
            <w:vAlign w:val="center"/>
          </w:tcPr>
          <w:p>
            <w:pPr>
              <w:pStyle w:val="12"/>
            </w:pPr>
            <w:r>
              <w:t>按规定时间缴纳</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工资、社会保障等发放（缴纳）标准</w:t>
            </w:r>
          </w:p>
        </w:tc>
        <w:tc>
          <w:tcPr>
            <w:tcW w:w="5386" w:type="dxa"/>
            <w:vAlign w:val="center"/>
          </w:tcPr>
          <w:p>
            <w:pPr>
              <w:pStyle w:val="12"/>
            </w:pPr>
            <w:r>
              <w:t>工资、社会保障等发放（缴纳）标准</w:t>
            </w:r>
          </w:p>
        </w:tc>
        <w:tc>
          <w:tcPr>
            <w:tcW w:w="2268" w:type="dxa"/>
            <w:vAlign w:val="center"/>
          </w:tcPr>
          <w:p>
            <w:pPr>
              <w:pStyle w:val="12"/>
            </w:pPr>
            <w:r>
              <w:t>按规定执行</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加强工作人员归属感，保持干部队伍稳定</w:t>
            </w:r>
          </w:p>
        </w:tc>
        <w:tc>
          <w:tcPr>
            <w:tcW w:w="5386" w:type="dxa"/>
            <w:vAlign w:val="center"/>
          </w:tcPr>
          <w:p>
            <w:pPr>
              <w:pStyle w:val="12"/>
            </w:pPr>
            <w:r>
              <w:t>通过按时按标准发放工资等，进一步增强干部职工得归属感，保持干部队伍相对稳定，保障办公正常运转</w:t>
            </w:r>
          </w:p>
        </w:tc>
        <w:tc>
          <w:tcPr>
            <w:tcW w:w="2268" w:type="dxa"/>
            <w:vAlign w:val="center"/>
          </w:tcPr>
          <w:p>
            <w:pPr>
              <w:pStyle w:val="12"/>
            </w:pPr>
            <w:r>
              <w:t>保持干部队伍相对稳定</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单位工作人员满意度</w:t>
            </w:r>
          </w:p>
        </w:tc>
        <w:tc>
          <w:tcPr>
            <w:tcW w:w="5386" w:type="dxa"/>
            <w:vAlign w:val="center"/>
          </w:tcPr>
          <w:p>
            <w:pPr>
              <w:pStyle w:val="12"/>
            </w:pPr>
            <w:r>
              <w:t>调查中单位人员对单位环境满意和较满意的人数占调查总人数的比率</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2、平台建设网络运行维护费绩效目标表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13030425P00889311413N</w:t>
            </w:r>
          </w:p>
        </w:tc>
        <w:tc>
          <w:tcPr>
            <w:tcW w:w="2835" w:type="dxa"/>
            <w:vAlign w:val="center"/>
          </w:tcPr>
          <w:p>
            <w:pPr>
              <w:pStyle w:val="10"/>
            </w:pPr>
            <w:r>
              <w:t>项目名称</w:t>
            </w:r>
          </w:p>
        </w:tc>
        <w:tc>
          <w:tcPr>
            <w:tcW w:w="6095" w:type="dxa"/>
            <w:gridSpan w:val="3"/>
            <w:vAlign w:val="center"/>
          </w:tcPr>
          <w:p>
            <w:pPr>
              <w:pStyle w:val="12"/>
            </w:pPr>
            <w:r>
              <w:t>平台建设网络运行维护费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39.50</w:t>
            </w:r>
          </w:p>
        </w:tc>
        <w:tc>
          <w:tcPr>
            <w:tcW w:w="2835" w:type="dxa"/>
            <w:vAlign w:val="center"/>
          </w:tcPr>
          <w:p>
            <w:pPr>
              <w:pStyle w:val="10"/>
            </w:pPr>
            <w:r>
              <w:t>其中：财政    资金</w:t>
            </w:r>
          </w:p>
        </w:tc>
        <w:tc>
          <w:tcPr>
            <w:tcW w:w="2551" w:type="dxa"/>
            <w:vAlign w:val="center"/>
          </w:tcPr>
          <w:p>
            <w:pPr>
              <w:pStyle w:val="12"/>
            </w:pPr>
            <w:r>
              <w:t>39.50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开展网络安全检查活动，确保网络安全</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1.开展网络安全检查活动，确保网络安全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做好网络舆情处置工作</w:t>
            </w:r>
          </w:p>
        </w:tc>
        <w:tc>
          <w:tcPr>
            <w:tcW w:w="5386" w:type="dxa"/>
            <w:vAlign w:val="center"/>
          </w:tcPr>
          <w:p>
            <w:pPr>
              <w:pStyle w:val="12"/>
            </w:pPr>
            <w:r>
              <w:t>稳妥处置本区网上舆情次数</w:t>
            </w:r>
          </w:p>
        </w:tc>
        <w:tc>
          <w:tcPr>
            <w:tcW w:w="2268" w:type="dxa"/>
            <w:vAlign w:val="center"/>
          </w:tcPr>
          <w:p>
            <w:pPr>
              <w:pStyle w:val="12"/>
            </w:pPr>
            <w:r>
              <w:t>≥100次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互联网重大突发事件应急处置率</w:t>
            </w:r>
          </w:p>
        </w:tc>
        <w:tc>
          <w:tcPr>
            <w:tcW w:w="5386" w:type="dxa"/>
            <w:vAlign w:val="center"/>
          </w:tcPr>
          <w:p>
            <w:pPr>
              <w:pStyle w:val="12"/>
            </w:pPr>
            <w:r>
              <w:t>处置互联网重大突发事件数量占互联网重大突发事件数量的比例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互联网重大突发事件处理及时率</w:t>
            </w:r>
          </w:p>
        </w:tc>
        <w:tc>
          <w:tcPr>
            <w:tcW w:w="5386" w:type="dxa"/>
            <w:vAlign w:val="center"/>
          </w:tcPr>
          <w:p>
            <w:pPr>
              <w:pStyle w:val="12"/>
            </w:pPr>
            <w:r>
              <w:t>互联网重大突发事件处理及时率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舆情监测、网络安全检查服务费</w:t>
            </w:r>
          </w:p>
        </w:tc>
        <w:tc>
          <w:tcPr>
            <w:tcW w:w="5386" w:type="dxa"/>
            <w:vAlign w:val="center"/>
          </w:tcPr>
          <w:p>
            <w:pPr>
              <w:pStyle w:val="12"/>
            </w:pPr>
            <w:r>
              <w:t>舆情监测、网络安全检查服务费</w:t>
            </w:r>
          </w:p>
        </w:tc>
        <w:tc>
          <w:tcPr>
            <w:tcW w:w="2268" w:type="dxa"/>
            <w:vAlign w:val="center"/>
          </w:tcPr>
          <w:p>
            <w:pPr>
              <w:pStyle w:val="12"/>
            </w:pPr>
            <w:r>
              <w:t>≤39.5万元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提高网络环境清朗程度</w:t>
            </w:r>
          </w:p>
        </w:tc>
        <w:tc>
          <w:tcPr>
            <w:tcW w:w="5386" w:type="dxa"/>
            <w:vAlign w:val="center"/>
          </w:tcPr>
          <w:p>
            <w:pPr>
              <w:pStyle w:val="12"/>
            </w:pPr>
            <w:r>
              <w:t>确保网络环境清朗，发展健康向上网络文化。</w:t>
            </w:r>
          </w:p>
        </w:tc>
        <w:tc>
          <w:tcPr>
            <w:tcW w:w="2268" w:type="dxa"/>
            <w:vAlign w:val="center"/>
          </w:tcPr>
          <w:p>
            <w:pPr>
              <w:pStyle w:val="12"/>
            </w:pPr>
            <w:r>
              <w:t>比上一年提升</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群众对网信工作的满意度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3、信息化工作网络运行维护费绩效目标表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13030425P00889311415X</w:t>
            </w:r>
          </w:p>
        </w:tc>
        <w:tc>
          <w:tcPr>
            <w:tcW w:w="2835" w:type="dxa"/>
            <w:vAlign w:val="center"/>
          </w:tcPr>
          <w:p>
            <w:pPr>
              <w:pStyle w:val="10"/>
            </w:pPr>
            <w:r>
              <w:t>项目名称</w:t>
            </w:r>
          </w:p>
        </w:tc>
        <w:tc>
          <w:tcPr>
            <w:tcW w:w="6095" w:type="dxa"/>
            <w:gridSpan w:val="3"/>
            <w:vAlign w:val="center"/>
          </w:tcPr>
          <w:p>
            <w:pPr>
              <w:pStyle w:val="12"/>
            </w:pPr>
            <w:r>
              <w:t>信息化工作网络运行维护费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1.04</w:t>
            </w:r>
          </w:p>
        </w:tc>
        <w:tc>
          <w:tcPr>
            <w:tcW w:w="2835" w:type="dxa"/>
            <w:vAlign w:val="center"/>
          </w:tcPr>
          <w:p>
            <w:pPr>
              <w:pStyle w:val="10"/>
            </w:pPr>
            <w:r>
              <w:t>其中：财政    资金</w:t>
            </w:r>
          </w:p>
        </w:tc>
        <w:tc>
          <w:tcPr>
            <w:tcW w:w="2551" w:type="dxa"/>
            <w:vAlign w:val="center"/>
          </w:tcPr>
          <w:p>
            <w:pPr>
              <w:pStyle w:val="12"/>
            </w:pPr>
            <w:r>
              <w:t>1.04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更好更快促进我区信息化发展。</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1.更好更快促进我区信息化发展。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保障办公人数</w:t>
            </w:r>
          </w:p>
        </w:tc>
        <w:tc>
          <w:tcPr>
            <w:tcW w:w="5386" w:type="dxa"/>
            <w:vAlign w:val="center"/>
          </w:tcPr>
          <w:p>
            <w:pPr>
              <w:pStyle w:val="12"/>
            </w:pPr>
            <w:r>
              <w:t>保障正常开展工作人数</w:t>
            </w:r>
          </w:p>
        </w:tc>
        <w:tc>
          <w:tcPr>
            <w:tcW w:w="2268" w:type="dxa"/>
            <w:vAlign w:val="center"/>
          </w:tcPr>
          <w:p>
            <w:pPr>
              <w:pStyle w:val="12"/>
            </w:pPr>
            <w:r>
              <w:t>9人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计划工作完成及时率</w:t>
            </w:r>
          </w:p>
        </w:tc>
        <w:tc>
          <w:tcPr>
            <w:tcW w:w="5386" w:type="dxa"/>
            <w:vAlign w:val="center"/>
          </w:tcPr>
          <w:p>
            <w:pPr>
              <w:pStyle w:val="12"/>
            </w:pPr>
            <w:r>
              <w:t>计划工作及时完成数量占工作总数比率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租用视频会议的成本</w:t>
            </w:r>
          </w:p>
        </w:tc>
        <w:tc>
          <w:tcPr>
            <w:tcW w:w="5386" w:type="dxa"/>
            <w:vAlign w:val="center"/>
          </w:tcPr>
          <w:p>
            <w:pPr>
              <w:pStyle w:val="12"/>
            </w:pPr>
            <w:r>
              <w:t>租用视频会议的成本</w:t>
            </w:r>
          </w:p>
        </w:tc>
        <w:tc>
          <w:tcPr>
            <w:tcW w:w="2268" w:type="dxa"/>
            <w:vAlign w:val="center"/>
          </w:tcPr>
          <w:p>
            <w:pPr>
              <w:pStyle w:val="12"/>
            </w:pPr>
            <w:r>
              <w:t>≤0.84万元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保障单位正常运转</w:t>
            </w:r>
          </w:p>
        </w:tc>
        <w:tc>
          <w:tcPr>
            <w:tcW w:w="5386" w:type="dxa"/>
            <w:vAlign w:val="center"/>
          </w:tcPr>
          <w:p>
            <w:pPr>
              <w:pStyle w:val="12"/>
            </w:pPr>
            <w:r>
              <w:t>维持单位正常运转</w:t>
            </w:r>
          </w:p>
        </w:tc>
        <w:tc>
          <w:tcPr>
            <w:tcW w:w="2268" w:type="dxa"/>
            <w:vAlign w:val="center"/>
          </w:tcPr>
          <w:p>
            <w:pPr>
              <w:pStyle w:val="12"/>
            </w:pPr>
            <w:r>
              <w:t>有效保障单位正常运转</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单位工作人员满意度</w:t>
            </w:r>
          </w:p>
        </w:tc>
        <w:tc>
          <w:tcPr>
            <w:tcW w:w="5386" w:type="dxa"/>
            <w:vAlign w:val="center"/>
          </w:tcPr>
          <w:p>
            <w:pPr>
              <w:pStyle w:val="12"/>
            </w:pPr>
            <w:r>
              <w:t>调查中单位人员对单位环境满意和较满意的人数占调查总人数的比率</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4、网络安全工作经费绩效目标表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13030425P00889411658G</w:t>
            </w:r>
          </w:p>
        </w:tc>
        <w:tc>
          <w:tcPr>
            <w:tcW w:w="2835" w:type="dxa"/>
            <w:vAlign w:val="center"/>
          </w:tcPr>
          <w:p>
            <w:pPr>
              <w:pStyle w:val="10"/>
            </w:pPr>
            <w:r>
              <w:t>项目名称</w:t>
            </w:r>
          </w:p>
        </w:tc>
        <w:tc>
          <w:tcPr>
            <w:tcW w:w="6095" w:type="dxa"/>
            <w:gridSpan w:val="3"/>
            <w:vAlign w:val="center"/>
          </w:tcPr>
          <w:p>
            <w:pPr>
              <w:pStyle w:val="12"/>
            </w:pPr>
            <w:r>
              <w:t>网络安全工作经费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40.22</w:t>
            </w:r>
          </w:p>
        </w:tc>
        <w:tc>
          <w:tcPr>
            <w:tcW w:w="2835" w:type="dxa"/>
            <w:vAlign w:val="center"/>
          </w:tcPr>
          <w:p>
            <w:pPr>
              <w:pStyle w:val="10"/>
            </w:pPr>
            <w:r>
              <w:t>其中：财政    资金</w:t>
            </w:r>
          </w:p>
        </w:tc>
        <w:tc>
          <w:tcPr>
            <w:tcW w:w="2551" w:type="dxa"/>
            <w:vAlign w:val="center"/>
          </w:tcPr>
          <w:p>
            <w:pPr>
              <w:pStyle w:val="12"/>
            </w:pPr>
            <w:r>
              <w:t>40.22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确保网络环境清朗，发展健康向上网络文化。</w:t>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1.确保网络环境清朗，发展健康向上网络文化。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互联网重大突发事件处置率</w:t>
            </w:r>
          </w:p>
        </w:tc>
        <w:tc>
          <w:tcPr>
            <w:tcW w:w="5386" w:type="dxa"/>
            <w:vAlign w:val="center"/>
          </w:tcPr>
          <w:p>
            <w:pPr>
              <w:pStyle w:val="12"/>
            </w:pPr>
            <w:r>
              <w:t>处置互联网重大突发事件数量占互联网重大突发事件数量的比例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网络宣传覆盖面</w:t>
            </w:r>
          </w:p>
        </w:tc>
        <w:tc>
          <w:tcPr>
            <w:tcW w:w="5386" w:type="dxa"/>
            <w:vAlign w:val="center"/>
          </w:tcPr>
          <w:p>
            <w:pPr>
              <w:pStyle w:val="12"/>
            </w:pPr>
            <w:r>
              <w:t>覆盖全区</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按年度计划和领导批示及时完成</w:t>
            </w:r>
          </w:p>
        </w:tc>
        <w:tc>
          <w:tcPr>
            <w:tcW w:w="5386" w:type="dxa"/>
            <w:vAlign w:val="center"/>
          </w:tcPr>
          <w:p>
            <w:pPr>
              <w:pStyle w:val="12"/>
            </w:pPr>
            <w:r>
              <w:t>及时完成</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项目控制预算数</w:t>
            </w:r>
          </w:p>
        </w:tc>
        <w:tc>
          <w:tcPr>
            <w:tcW w:w="5386" w:type="dxa"/>
            <w:vAlign w:val="center"/>
          </w:tcPr>
          <w:p>
            <w:pPr>
              <w:pStyle w:val="12"/>
            </w:pPr>
            <w:r>
              <w:t>不超过财政支持经费</w:t>
            </w:r>
          </w:p>
        </w:tc>
        <w:tc>
          <w:tcPr>
            <w:tcW w:w="2268" w:type="dxa"/>
            <w:vAlign w:val="center"/>
          </w:tcPr>
          <w:p>
            <w:pPr>
              <w:pStyle w:val="12"/>
            </w:pPr>
            <w:r>
              <w:t>≤40.22万元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提高网络舆情应对处置能力，防范化解重大舆情风险隐患</w:t>
            </w:r>
          </w:p>
        </w:tc>
        <w:tc>
          <w:tcPr>
            <w:tcW w:w="5386" w:type="dxa"/>
            <w:vAlign w:val="center"/>
          </w:tcPr>
          <w:p>
            <w:pPr>
              <w:pStyle w:val="12"/>
            </w:pPr>
            <w:r>
              <w:t>提高网络舆情应对处置能力，防范化解重大舆情风险隐患</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网络环境净化满意度</w:t>
            </w:r>
          </w:p>
        </w:tc>
        <w:tc>
          <w:tcPr>
            <w:tcW w:w="5386" w:type="dxa"/>
            <w:vAlign w:val="center"/>
          </w:tcPr>
          <w:p>
            <w:pPr>
              <w:pStyle w:val="12"/>
            </w:pPr>
            <w:r>
              <w:t>人民群众对北戴河网络空间环境净化程度的满意水平</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5、信息化工作经费绩效目标表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13030425P00889411657W</w:t>
            </w:r>
          </w:p>
        </w:tc>
        <w:tc>
          <w:tcPr>
            <w:tcW w:w="2835" w:type="dxa"/>
            <w:vAlign w:val="center"/>
          </w:tcPr>
          <w:p>
            <w:pPr>
              <w:pStyle w:val="10"/>
            </w:pPr>
            <w:r>
              <w:t>项目名称</w:t>
            </w:r>
          </w:p>
        </w:tc>
        <w:tc>
          <w:tcPr>
            <w:tcW w:w="6095" w:type="dxa"/>
            <w:gridSpan w:val="3"/>
            <w:vAlign w:val="center"/>
          </w:tcPr>
          <w:p>
            <w:pPr>
              <w:pStyle w:val="12"/>
            </w:pPr>
            <w:r>
              <w:t>信息化工作经费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1.44</w:t>
            </w:r>
          </w:p>
        </w:tc>
        <w:tc>
          <w:tcPr>
            <w:tcW w:w="2835" w:type="dxa"/>
            <w:vAlign w:val="center"/>
          </w:tcPr>
          <w:p>
            <w:pPr>
              <w:pStyle w:val="10"/>
            </w:pPr>
            <w:r>
              <w:t>其中：财政    资金</w:t>
            </w:r>
          </w:p>
        </w:tc>
        <w:tc>
          <w:tcPr>
            <w:tcW w:w="2551" w:type="dxa"/>
            <w:vAlign w:val="center"/>
          </w:tcPr>
          <w:p>
            <w:pPr>
              <w:pStyle w:val="12"/>
            </w:pPr>
            <w:r>
              <w:t>1.44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提高我区信息化发展质量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1.提高我区信息化发展质量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保障办公人数</w:t>
            </w:r>
          </w:p>
        </w:tc>
        <w:tc>
          <w:tcPr>
            <w:tcW w:w="5386" w:type="dxa"/>
            <w:vAlign w:val="center"/>
          </w:tcPr>
          <w:p>
            <w:pPr>
              <w:pStyle w:val="12"/>
            </w:pPr>
            <w:r>
              <w:t>保障正常开展工作人数</w:t>
            </w:r>
          </w:p>
        </w:tc>
        <w:tc>
          <w:tcPr>
            <w:tcW w:w="2268" w:type="dxa"/>
            <w:vAlign w:val="center"/>
          </w:tcPr>
          <w:p>
            <w:pPr>
              <w:pStyle w:val="12"/>
            </w:pPr>
            <w:r>
              <w:t>9个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办公设备正常运行率</w:t>
            </w:r>
          </w:p>
        </w:tc>
        <w:tc>
          <w:tcPr>
            <w:tcW w:w="5386" w:type="dxa"/>
            <w:vAlign w:val="center"/>
          </w:tcPr>
          <w:p>
            <w:pPr>
              <w:pStyle w:val="12"/>
            </w:pPr>
            <w:r>
              <w:t>办公设备正常运行率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按项目计划完成工作的时间</w:t>
            </w:r>
          </w:p>
        </w:tc>
        <w:tc>
          <w:tcPr>
            <w:tcW w:w="5386" w:type="dxa"/>
            <w:vAlign w:val="center"/>
          </w:tcPr>
          <w:p>
            <w:pPr>
              <w:pStyle w:val="12"/>
            </w:pPr>
            <w:r>
              <w:t>按照工作要求按时完成预定计划</w:t>
            </w:r>
          </w:p>
        </w:tc>
        <w:tc>
          <w:tcPr>
            <w:tcW w:w="2268" w:type="dxa"/>
            <w:vAlign w:val="center"/>
          </w:tcPr>
          <w:p>
            <w:pPr>
              <w:pStyle w:val="12"/>
            </w:pPr>
            <w:r>
              <w:t>2025年12月31日之前完成</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技术服务成本</w:t>
            </w:r>
          </w:p>
        </w:tc>
        <w:tc>
          <w:tcPr>
            <w:tcW w:w="5386" w:type="dxa"/>
            <w:vAlign w:val="center"/>
          </w:tcPr>
          <w:p>
            <w:pPr>
              <w:pStyle w:val="12"/>
            </w:pPr>
            <w:r>
              <w:t>不超过财政支持经费</w:t>
            </w:r>
          </w:p>
        </w:tc>
        <w:tc>
          <w:tcPr>
            <w:tcW w:w="2268" w:type="dxa"/>
            <w:vAlign w:val="center"/>
          </w:tcPr>
          <w:p>
            <w:pPr>
              <w:pStyle w:val="12"/>
            </w:pPr>
            <w:r>
              <w:t>≤1.44万元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保障相关业务、工作等开展的情况</w:t>
            </w:r>
          </w:p>
        </w:tc>
        <w:tc>
          <w:tcPr>
            <w:tcW w:w="2268" w:type="dxa"/>
            <w:vAlign w:val="center"/>
          </w:tcPr>
          <w:p>
            <w:pPr>
              <w:pStyle w:val="12"/>
            </w:pPr>
            <w:r>
              <w:t>保障工作正常开展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单位工作人员满意度</w:t>
            </w:r>
          </w:p>
        </w:tc>
        <w:tc>
          <w:tcPr>
            <w:tcW w:w="5386" w:type="dxa"/>
            <w:vAlign w:val="center"/>
          </w:tcPr>
          <w:p>
            <w:pPr>
              <w:pStyle w:val="12"/>
            </w:pPr>
            <w:r>
              <w:t>调查中单位人员对单位环境满意和较满意的人数占调查总人数的比率</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中共北戴河区委网络安全和信息化委员会办公室(本级)上年末固定资产金额为21.05万元（详见下表）。本年度拟购置固定资产总额为1.72万元，已按要求列入政府采购预算，详见政府采购预算表。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79</w:t>
            </w:r>
          </w:p>
        </w:tc>
        <w:tc>
          <w:tcPr>
            <w:tcW w:w="2835" w:type="dxa"/>
            <w:vAlign w:val="center"/>
          </w:tcPr>
          <w:p>
            <w:pPr>
              <w:pStyle w:val="11"/>
            </w:pPr>
            <w:r>
              <w:t>21.05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34114"/>
    <w:rsid w:val="6DD74F6E"/>
    <w:rsid w:val="70485BA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TotalTime>1</TotalTime>
  <ScaleCrop>false</ScaleCrop>
  <LinksUpToDate>false</LinksUpToDate>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2025-02-17T18:38:00Z</dcterms:created>
  <dc:creator>Administrator</dc:creator>
  <cp:lastModifiedBy>Administrator</cp:lastModifiedBy>
  <dcterms:modified xsi:type="dcterms:W3CDTF">2025-02-19T05:55:39Z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