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570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4"/>
        <w:gridCol w:w="846"/>
        <w:gridCol w:w="1138"/>
        <w:gridCol w:w="3137"/>
        <w:gridCol w:w="1138"/>
        <w:gridCol w:w="965"/>
        <w:gridCol w:w="3983"/>
        <w:gridCol w:w="3407"/>
        <w:gridCol w:w="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blHeader/>
        </w:trPr>
        <w:tc>
          <w:tcPr>
            <w:tcW w:w="52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color w:val="000000"/>
                <w:sz w:val="24"/>
              </w:rPr>
            </w:pPr>
            <w:r>
              <w:rPr>
                <w:rFonts w:hint="eastAsia" w:ascii="黑体" w:hAnsi="黑体" w:eastAsia="黑体" w:cs="黑体"/>
                <w:color w:val="000000"/>
                <w:sz w:val="24"/>
              </w:rPr>
              <w:t>序号</w:t>
            </w:r>
          </w:p>
        </w:tc>
        <w:tc>
          <w:tcPr>
            <w:tcW w:w="84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color w:val="000000"/>
                <w:sz w:val="24"/>
              </w:rPr>
            </w:pPr>
            <w:r>
              <w:rPr>
                <w:rFonts w:hint="eastAsia" w:ascii="黑体" w:hAnsi="黑体" w:eastAsia="黑体" w:cs="黑体"/>
                <w:color w:val="000000"/>
                <w:sz w:val="24"/>
              </w:rPr>
              <w:t>权力</w:t>
            </w:r>
          </w:p>
          <w:p>
            <w:pPr>
              <w:autoSpaceDN w:val="0"/>
              <w:jc w:val="center"/>
              <w:rPr>
                <w:rFonts w:ascii="黑体" w:hAnsi="黑体" w:eastAsia="黑体" w:cs="黑体"/>
                <w:color w:val="000000"/>
                <w:sz w:val="24"/>
              </w:rPr>
            </w:pPr>
            <w:r>
              <w:rPr>
                <w:rFonts w:hint="eastAsia" w:ascii="黑体" w:hAnsi="黑体" w:eastAsia="黑体" w:cs="黑体"/>
                <w:color w:val="000000"/>
                <w:sz w:val="24"/>
              </w:rPr>
              <w:t>类型</w:t>
            </w:r>
          </w:p>
        </w:tc>
        <w:tc>
          <w:tcPr>
            <w:tcW w:w="113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color w:val="FF0000"/>
                <w:sz w:val="24"/>
              </w:rPr>
            </w:pPr>
            <w:r>
              <w:rPr>
                <w:rFonts w:hint="eastAsia" w:ascii="黑体" w:hAnsi="黑体" w:eastAsia="黑体" w:cs="黑体"/>
                <w:sz w:val="24"/>
              </w:rPr>
              <w:t>权力事项</w:t>
            </w:r>
          </w:p>
        </w:tc>
        <w:tc>
          <w:tcPr>
            <w:tcW w:w="313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color w:val="000000"/>
                <w:sz w:val="24"/>
              </w:rPr>
            </w:pPr>
            <w:r>
              <w:rPr>
                <w:rFonts w:hint="eastAsia" w:ascii="黑体" w:hAnsi="黑体" w:eastAsia="黑体" w:cs="黑体"/>
                <w:color w:val="000000"/>
                <w:sz w:val="24"/>
              </w:rPr>
              <w:t>实施依据</w:t>
            </w:r>
          </w:p>
        </w:tc>
        <w:tc>
          <w:tcPr>
            <w:tcW w:w="113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color w:val="000000"/>
                <w:sz w:val="24"/>
              </w:rPr>
            </w:pPr>
            <w:r>
              <w:rPr>
                <w:rFonts w:hint="eastAsia" w:ascii="黑体" w:hAnsi="黑体" w:eastAsia="黑体" w:cs="黑体"/>
                <w:color w:val="000000"/>
                <w:sz w:val="24"/>
              </w:rPr>
              <w:t>省级</w:t>
            </w:r>
          </w:p>
          <w:p>
            <w:pPr>
              <w:autoSpaceDN w:val="0"/>
              <w:jc w:val="center"/>
              <w:rPr>
                <w:rFonts w:ascii="黑体" w:hAnsi="黑体" w:eastAsia="黑体" w:cs="黑体"/>
                <w:color w:val="000000"/>
                <w:sz w:val="24"/>
              </w:rPr>
            </w:pPr>
            <w:r>
              <w:rPr>
                <w:rFonts w:ascii="黑体" w:hAnsi="黑体" w:eastAsia="黑体" w:cs="黑体"/>
                <w:color w:val="000000"/>
                <w:sz w:val="24"/>
              </w:rPr>
              <w:t>主管</w:t>
            </w:r>
            <w:r>
              <w:rPr>
                <w:rFonts w:hint="eastAsia" w:ascii="黑体" w:hAnsi="黑体" w:eastAsia="黑体" w:cs="黑体"/>
                <w:color w:val="000000"/>
                <w:sz w:val="24"/>
              </w:rPr>
              <w:t>部门</w:t>
            </w:r>
          </w:p>
        </w:tc>
        <w:tc>
          <w:tcPr>
            <w:tcW w:w="96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color w:val="000000"/>
                <w:sz w:val="24"/>
              </w:rPr>
            </w:pPr>
            <w:r>
              <w:rPr>
                <w:rFonts w:hint="eastAsia" w:ascii="黑体" w:hAnsi="黑体" w:eastAsia="黑体" w:cs="黑体"/>
                <w:color w:val="000000"/>
                <w:sz w:val="24"/>
              </w:rPr>
              <w:t>实施</w:t>
            </w:r>
          </w:p>
          <w:p>
            <w:pPr>
              <w:autoSpaceDN w:val="0"/>
              <w:jc w:val="center"/>
              <w:rPr>
                <w:rFonts w:ascii="黑体" w:hAnsi="黑体" w:eastAsia="黑体" w:cs="黑体"/>
                <w:color w:val="000000"/>
                <w:sz w:val="24"/>
              </w:rPr>
            </w:pPr>
            <w:r>
              <w:rPr>
                <w:rFonts w:hint="eastAsia" w:ascii="黑体" w:hAnsi="黑体" w:eastAsia="黑体" w:cs="黑体"/>
                <w:color w:val="000000"/>
                <w:sz w:val="24"/>
              </w:rPr>
              <w:t>层级</w:t>
            </w:r>
          </w:p>
        </w:tc>
        <w:tc>
          <w:tcPr>
            <w:tcW w:w="3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color w:val="000000"/>
                <w:sz w:val="24"/>
              </w:rPr>
            </w:pPr>
            <w:r>
              <w:rPr>
                <w:rFonts w:hint="eastAsia" w:ascii="黑体" w:hAnsi="黑体" w:eastAsia="黑体" w:cs="黑体"/>
                <w:color w:val="000000"/>
                <w:sz w:val="24"/>
              </w:rPr>
              <w:t>责任事项</w:t>
            </w:r>
          </w:p>
        </w:tc>
        <w:tc>
          <w:tcPr>
            <w:tcW w:w="34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color w:val="000000"/>
                <w:sz w:val="24"/>
              </w:rPr>
            </w:pPr>
            <w:r>
              <w:rPr>
                <w:rFonts w:hint="eastAsia" w:ascii="黑体" w:hAnsi="黑体" w:eastAsia="黑体" w:cs="黑体"/>
                <w:color w:val="000000"/>
                <w:sz w:val="24"/>
              </w:rPr>
              <w:t>追责情形</w:t>
            </w:r>
          </w:p>
        </w:tc>
        <w:tc>
          <w:tcPr>
            <w:tcW w:w="57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color w:val="000000"/>
                <w:sz w:val="24"/>
              </w:rPr>
            </w:pPr>
            <w:r>
              <w:rPr>
                <w:rFonts w:hint="eastAsia" w:ascii="黑体" w:hAnsi="黑体" w:eastAsia="黑体" w:cs="黑体"/>
                <w:color w:val="000000"/>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57" w:hRule="atLeast"/>
        </w:trPr>
        <w:tc>
          <w:tcPr>
            <w:tcW w:w="524"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p>
        </w:tc>
        <w:tc>
          <w:tcPr>
            <w:tcW w:w="84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公路工程工地试验室备案</w:t>
            </w:r>
          </w:p>
        </w:tc>
        <w:tc>
          <w:tcPr>
            <w:tcW w:w="313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1.《公路水运工程试验检测管理办法》（交通运输部令第38号）第二十九条；</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2.《关于进一步加强公路水运工程工地试验室管理工作的意见》（厅质监字〔2009〕183号）第五条。</w:t>
            </w:r>
          </w:p>
        </w:tc>
        <w:tc>
          <w:tcPr>
            <w:tcW w:w="113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省、市、县级</w:t>
            </w:r>
          </w:p>
        </w:tc>
        <w:tc>
          <w:tcPr>
            <w:tcW w:w="3983"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ascii="仿宋_GB2312" w:hAnsi="仿宋_GB2312" w:eastAsia="仿宋_GB2312" w:cs="仿宋_GB2312"/>
                <w:color w:val="000000"/>
                <w:sz w:val="18"/>
                <w:szCs w:val="18"/>
              </w:rPr>
              <w:t>.</w:t>
            </w:r>
            <w:r>
              <w:rPr>
                <w:rFonts w:hint="eastAsia" w:ascii="仿宋_GB2312" w:hAnsi="仿宋_GB2312" w:eastAsia="仿宋_GB2312" w:cs="仿宋_GB2312"/>
                <w:color w:val="000000"/>
                <w:sz w:val="18"/>
                <w:szCs w:val="18"/>
              </w:rPr>
              <w:t>受理责任：工地试验室设立实行登记备案制。经试验检测机构授权设立的工地试验室（授权书），应当填写“公路水运工程工地试验室备案登记表”，经建设单位初审后报送项目质监机构登记备案。</w:t>
            </w:r>
          </w:p>
          <w:p>
            <w:pPr>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2.</w:t>
            </w:r>
            <w:r>
              <w:rPr>
                <w:rFonts w:hint="eastAsia" w:ascii="仿宋_GB2312" w:hAnsi="仿宋_GB2312" w:eastAsia="仿宋_GB2312" w:cs="仿宋_GB2312"/>
                <w:color w:val="000000"/>
                <w:sz w:val="18"/>
                <w:szCs w:val="18"/>
              </w:rPr>
              <w:t xml:space="preserve">审核责任：审核建设单位对工地试验室的初审结果。                </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3.决定责任：做出申请单位是否通过审核，不符合要求的,书面通知建设单位并要求申请单位进行整改。</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4.送达责任：质监机构对通过备案的工地试验室出具“公路水运工程工地试验室备案通知书”</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5.事后监管责任：对取得备案审核的工地试验室进行日常监督检查，并根据检查情况进行通报，作为年度信用评价依据。</w:t>
            </w:r>
          </w:p>
        </w:tc>
        <w:tc>
          <w:tcPr>
            <w:tcW w:w="340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对符合受理条件的行政确认申请不予受理；</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对不符合条件的受理、办理的情形；</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未严格按照相关政策、法律、法规履行审查义务，对应当予以确认的不予确认，或者对不应确认的予以确认；</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在审查过程中玩忽职守、滥用职权的；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在行使行政权力过程中发生腐败行为的；</w:t>
            </w:r>
          </w:p>
          <w:p>
            <w:pPr>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其他违反法律法规规章文件规定的行为。</w:t>
            </w:r>
          </w:p>
        </w:tc>
        <w:tc>
          <w:tcPr>
            <w:tcW w:w="571"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57" w:hRule="atLeast"/>
        </w:trPr>
        <w:tc>
          <w:tcPr>
            <w:tcW w:w="524"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w:t>
            </w:r>
          </w:p>
        </w:tc>
        <w:tc>
          <w:tcPr>
            <w:tcW w:w="84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机动车维修经营备案</w:t>
            </w:r>
          </w:p>
        </w:tc>
        <w:tc>
          <w:tcPr>
            <w:tcW w:w="313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1.《交通运输部关于修改＜机动车维修管理规定＞的决定》（交通运输部令第20号）；</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2.《机动车维修管理规定》（交通运输部令第18号）第七条；</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3.《中华人民共和国道路运输条例》（国务院令406号）第三十九条。</w:t>
            </w:r>
          </w:p>
        </w:tc>
        <w:tc>
          <w:tcPr>
            <w:tcW w:w="113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县级</w:t>
            </w:r>
          </w:p>
        </w:tc>
        <w:tc>
          <w:tcPr>
            <w:tcW w:w="3983"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rPr>
              <w:t>受理责任：公示应当提交的材料，一次性告知补正材料，依法受理或不予受理，不予受理应当告知理由。</w:t>
            </w:r>
          </w:p>
          <w:p>
            <w:pPr>
              <w:tabs>
                <w:tab w:val="left" w:pos="312"/>
              </w:tabs>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2.</w:t>
            </w:r>
            <w:r>
              <w:rPr>
                <w:rFonts w:hint="eastAsia" w:ascii="仿宋_GB2312" w:hAnsi="仿宋_GB2312" w:eastAsia="仿宋_GB2312" w:cs="仿宋_GB2312"/>
                <w:color w:val="000000"/>
                <w:sz w:val="18"/>
                <w:szCs w:val="18"/>
              </w:rPr>
              <w:t>审查责任：对申请人提交的申请材料进行审查。                          　　</w:t>
            </w:r>
          </w:p>
          <w:p>
            <w:pPr>
              <w:tabs>
                <w:tab w:val="left" w:pos="312"/>
              </w:tabs>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3.</w:t>
            </w:r>
            <w:r>
              <w:rPr>
                <w:rFonts w:hint="eastAsia" w:ascii="仿宋_GB2312" w:hAnsi="仿宋_GB2312" w:eastAsia="仿宋_GB2312" w:cs="仿宋_GB2312"/>
                <w:color w:val="000000"/>
                <w:sz w:val="18"/>
                <w:szCs w:val="18"/>
              </w:rPr>
              <w:t>备案责任：依法予以备案。　　</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xml:space="preserve"> </w:t>
            </w:r>
          </w:p>
        </w:tc>
        <w:tc>
          <w:tcPr>
            <w:tcW w:w="340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对符合受理条件的行政确认申请不予受理；</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对不符合条件的受理、办理的情形；</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未严格按照相关政策、法律、法规履行审查义务，对应当予以确认的不予确认，或者对不应确认的予以确认；</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在审查过程中玩忽职守、滥用职权的；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在行使行政权力过程中发生腐败行为的；</w:t>
            </w:r>
          </w:p>
          <w:p>
            <w:pPr>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其他违反法律法规规章文件规定的行为。</w:t>
            </w:r>
          </w:p>
        </w:tc>
        <w:tc>
          <w:tcPr>
            <w:tcW w:w="571"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57" w:hRule="atLeast"/>
        </w:trPr>
        <w:tc>
          <w:tcPr>
            <w:tcW w:w="524"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w:t>
            </w:r>
          </w:p>
        </w:tc>
        <w:tc>
          <w:tcPr>
            <w:tcW w:w="84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机动车驾驶员培训备案</w:t>
            </w:r>
          </w:p>
        </w:tc>
        <w:tc>
          <w:tcPr>
            <w:tcW w:w="313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1.《中华人民共和国道路交通安全法》（主席令第8号）第二十条；</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2.《国务院关于深化“证照分离”改革进一步激发市场主体发展活力的通知》（国发〔2021〕7号）附件1第71项；</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3.《交通运输部关于做好机动车驾驶员培训经营备案有关工作的通知》（交运函〔2021〕248号）第一条；</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4.《中华人民共和国道路运输条例》（国务院令406号）第三十九条。</w:t>
            </w:r>
          </w:p>
        </w:tc>
        <w:tc>
          <w:tcPr>
            <w:tcW w:w="113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县级</w:t>
            </w:r>
          </w:p>
        </w:tc>
        <w:tc>
          <w:tcPr>
            <w:tcW w:w="3983"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xml:space="preserve">1.受理责任：对备案从事机动车驾驶员培训的，对有取得企业法人资格、有健全的培训机构和管理制度、有与培训业务相适应的教学人员管理人员、有必要的教学车辆和其他教学设施设备场地等进行受理审核。                                                                                                                                           </w:t>
            </w:r>
          </w:p>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2.备案责任：依法予以备案。</w:t>
            </w:r>
          </w:p>
          <w:p>
            <w:pPr>
              <w:spacing w:line="240" w:lineRule="exact"/>
              <w:jc w:val="left"/>
              <w:rPr>
                <w:rFonts w:ascii="仿宋_GB2312" w:hAnsi="仿宋_GB2312" w:eastAsia="仿宋_GB2312" w:cs="仿宋_GB2312"/>
                <w:color w:val="000000"/>
                <w:sz w:val="18"/>
                <w:szCs w:val="18"/>
              </w:rPr>
            </w:pPr>
          </w:p>
        </w:tc>
        <w:tc>
          <w:tcPr>
            <w:tcW w:w="340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对符合受理条件的行政确认申请不予受理；</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对不符合条件的受理、办理的情形；</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未严格按照相关政策、法律、法规履行审查义务，对应当予以确认的不予确认，或者对不应确认的予以确认；</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在审查过程中玩忽职守、滥用职权的；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在行使行政权力过程中发生腐败行为的；</w:t>
            </w:r>
          </w:p>
          <w:p>
            <w:pPr>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其他违反法律法规规章文件规定的行为。</w:t>
            </w:r>
          </w:p>
        </w:tc>
        <w:tc>
          <w:tcPr>
            <w:tcW w:w="571"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57" w:hRule="atLeast"/>
        </w:trPr>
        <w:tc>
          <w:tcPr>
            <w:tcW w:w="524"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4</w:t>
            </w:r>
          </w:p>
        </w:tc>
        <w:tc>
          <w:tcPr>
            <w:tcW w:w="84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道路货物运输站（场）经营备案</w:t>
            </w:r>
          </w:p>
        </w:tc>
        <w:tc>
          <w:tcPr>
            <w:tcW w:w="313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《中华人民共和国道路运输条例》（国务院令第406号）第三十九条。</w:t>
            </w:r>
          </w:p>
        </w:tc>
        <w:tc>
          <w:tcPr>
            <w:tcW w:w="113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县级</w:t>
            </w:r>
          </w:p>
        </w:tc>
        <w:tc>
          <w:tcPr>
            <w:tcW w:w="3983"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rPr>
              <w:t xml:space="preserve">受理责任：对备案从事道路运输站（场）经营的，对有经验收合格的运输站（场）、有相应的专业人员和管理人员、有相应的设备设施、有健全的业务操作规程和安全管理制度进行受理审核。  </w:t>
            </w:r>
          </w:p>
          <w:p>
            <w:pPr>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2.</w:t>
            </w:r>
            <w:r>
              <w:rPr>
                <w:rFonts w:hint="eastAsia" w:ascii="仿宋_GB2312" w:hAnsi="仿宋_GB2312" w:eastAsia="仿宋_GB2312" w:cs="仿宋_GB2312"/>
                <w:color w:val="000000"/>
                <w:sz w:val="18"/>
                <w:szCs w:val="18"/>
              </w:rPr>
              <w:t>依法予以备案。</w:t>
            </w:r>
          </w:p>
        </w:tc>
        <w:tc>
          <w:tcPr>
            <w:tcW w:w="340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对符合受理条件的行政确认申请不予受理；</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对不符合条件的受理、办理的情形；</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未严格按照相关政策、法律、法规履行审查义务，对应当予以确认的不予确认，或者对不应确认的予以确认；</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在审查过程中玩忽职守、滥用职权的；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在行使行政权力过程中发生腐败行为的；</w:t>
            </w:r>
          </w:p>
          <w:p>
            <w:pPr>
              <w:spacing w:line="240" w:lineRule="exact"/>
              <w:jc w:val="left"/>
              <w:rPr>
                <w:rFonts w:ascii="仿宋_GB2312" w:hAnsi="仿宋_GB2312" w:eastAsia="仿宋_GB2312" w:cs="仿宋_GB2312"/>
                <w:color w:val="000000"/>
                <w:sz w:val="18"/>
                <w:szCs w:val="18"/>
              </w:rPr>
            </w:pP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其他违反法律法规规章文件规定的行为。</w:t>
            </w:r>
          </w:p>
        </w:tc>
        <w:tc>
          <w:tcPr>
            <w:tcW w:w="571"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5</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color w:val="FF0000"/>
                <w:sz w:val="18"/>
                <w:szCs w:val="18"/>
                <w:shd w:val="solid" w:color="FFFFFF" w:fill="FFFFFF"/>
              </w:rPr>
            </w:pPr>
            <w:r>
              <w:rPr>
                <w:rFonts w:hint="eastAsia" w:ascii="仿宋_GB2312" w:hAnsi="仿宋_GB2312" w:eastAsia="仿宋_GB2312" w:cs="仿宋_GB2312"/>
                <w:sz w:val="18"/>
                <w:szCs w:val="18"/>
                <w:shd w:val="solid" w:color="FFFFFF" w:fill="FFFFFF"/>
              </w:rPr>
              <w:t>班车客运经营者起讫地客运站点、途经路线的备案</w:t>
            </w:r>
          </w:p>
        </w:tc>
        <w:tc>
          <w:tcPr>
            <w:tcW w:w="3137" w:type="dxa"/>
            <w:vAlign w:val="center"/>
          </w:tcPr>
          <w:p>
            <w:pPr>
              <w:adjustRightInd w:val="0"/>
              <w:snapToGrid w:val="0"/>
              <w:spacing w:line="240" w:lineRule="exact"/>
              <w:jc w:val="left"/>
              <w:rPr>
                <w:rFonts w:ascii="仿宋_GB2312" w:hAnsi="仿宋_GB2312" w:eastAsia="仿宋_GB2312" w:cs="仿宋_GB2312"/>
                <w:color w:val="000000"/>
                <w:sz w:val="18"/>
                <w:szCs w:val="18"/>
                <w:shd w:val="solid" w:color="FFFFFF" w:fill="FFFFFF"/>
              </w:rPr>
            </w:pPr>
            <w:r>
              <w:rPr>
                <w:rFonts w:hint="eastAsia" w:ascii="仿宋_GB2312" w:hAnsi="仿宋_GB2312" w:eastAsia="仿宋_GB2312" w:cs="仿宋_GB2312"/>
                <w:color w:val="000000"/>
                <w:sz w:val="18"/>
                <w:szCs w:val="18"/>
                <w:shd w:val="solid" w:color="FFFFFF" w:fill="FFFFFF"/>
              </w:rPr>
              <w:t>《道路旅客运输及客运站管理规定》（交通运输部令第17号）第二十四条、第三十条。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市级、县级</w:t>
            </w:r>
          </w:p>
        </w:tc>
        <w:tc>
          <w:tcPr>
            <w:tcW w:w="3983"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1.受理责任：在办公场所公示依法应当备案的材料；一次性告知补正材料。</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2.备案责任：依法予以备案。</w:t>
            </w:r>
          </w:p>
        </w:tc>
        <w:tc>
          <w:tcPr>
            <w:tcW w:w="3407"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6</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道路旅客运输企业设立分公司备案</w:t>
            </w:r>
          </w:p>
        </w:tc>
        <w:tc>
          <w:tcPr>
            <w:tcW w:w="3137" w:type="dxa"/>
            <w:vAlign w:val="center"/>
          </w:tcPr>
          <w:p>
            <w:pPr>
              <w:pStyle w:val="4"/>
              <w:shd w:val="clear" w:color="auto" w:fill="FFFFFF"/>
              <w:adjustRightInd w:val="0"/>
              <w:snapToGrid w:val="0"/>
              <w:spacing w:after="150" w:line="240" w:lineRule="exac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shd w:val="clear" w:color="auto" w:fill="FFFFFF"/>
              </w:rPr>
              <w:t>《道路旅客运输及客运站管理规定》（交通运输部令第17号）第二十七条。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市级、县级</w:t>
            </w:r>
          </w:p>
        </w:tc>
        <w:tc>
          <w:tcPr>
            <w:tcW w:w="3983"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1.受理责任：在办公场所公示依法应当提交的材料；一次性告知补正材料；依法受理或不予受理，不予受理应当告知理由。</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2.审查责任：对提交材料审核，提出审查意见。</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3.决定责任：按规定进行确认。</w:t>
            </w:r>
          </w:p>
          <w:p>
            <w:pPr>
              <w:adjustRightInd w:val="0"/>
              <w:snapToGrid w:val="0"/>
              <w:spacing w:line="240" w:lineRule="exact"/>
              <w:jc w:val="left"/>
              <w:rPr>
                <w:rFonts w:ascii="仿宋_GB2312" w:hAnsi="仿宋_GB2312" w:eastAsia="仿宋_GB2312" w:cs="仿宋_GB2312"/>
                <w:color w:val="000000"/>
                <w:sz w:val="18"/>
                <w:szCs w:val="18"/>
              </w:rPr>
            </w:pPr>
          </w:p>
        </w:tc>
        <w:tc>
          <w:tcPr>
            <w:tcW w:w="3407"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7</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shd w:val="clear" w:color="auto" w:fill="F6F7FB"/>
              </w:rPr>
              <w:t>包车客运企业使用包车客运标志牌的备案</w:t>
            </w:r>
          </w:p>
        </w:tc>
        <w:tc>
          <w:tcPr>
            <w:tcW w:w="3137"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shd w:val="clear" w:color="auto" w:fill="FFFFFF"/>
              </w:rPr>
              <w:t>《道路旅客运输及客运站管理规定》（中华人民共和国交通运输部令2022年第33号）</w:t>
            </w:r>
            <w:r>
              <w:rPr>
                <w:rFonts w:hint="eastAsia" w:ascii="仿宋_GB2312" w:hAnsi="仿宋_GB2312" w:eastAsia="仿宋_GB2312" w:cs="仿宋_GB2312"/>
                <w:color w:val="000000"/>
                <w:sz w:val="18"/>
                <w:szCs w:val="18"/>
              </w:rPr>
              <w:t>第五十八条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县级</w:t>
            </w:r>
          </w:p>
        </w:tc>
        <w:tc>
          <w:tcPr>
            <w:tcW w:w="3983"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1.受理责任：车籍所在地县级交通主管部门通过运政管理信息系统受理从事省际包车客运的企业的备案申请。</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2.备案责任：依法备案。</w:t>
            </w:r>
          </w:p>
        </w:tc>
        <w:tc>
          <w:tcPr>
            <w:tcW w:w="3407"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8</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shd w:val="clear" w:color="auto" w:fill="FFFFFF"/>
              </w:rPr>
              <w:t>定制客运备案</w:t>
            </w:r>
          </w:p>
        </w:tc>
        <w:tc>
          <w:tcPr>
            <w:tcW w:w="3137" w:type="dxa"/>
            <w:vAlign w:val="center"/>
          </w:tcPr>
          <w:p>
            <w:pPr>
              <w:pStyle w:val="4"/>
              <w:shd w:val="clear" w:color="auto" w:fill="FFFFFF"/>
              <w:adjustRightInd w:val="0"/>
              <w:snapToGrid w:val="0"/>
              <w:spacing w:after="150" w:line="240" w:lineRule="exac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shd w:val="clear" w:color="auto" w:fill="FFFFFF"/>
              </w:rPr>
              <w:t>《道路旅客运输及客运站管理规定》（交通运输部令第17号）第六十三条。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市级、县级</w:t>
            </w:r>
          </w:p>
        </w:tc>
        <w:tc>
          <w:tcPr>
            <w:tcW w:w="3983"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1.受理责任：在办公场所公示依法应当提交的材料；一次性告知补正材料；依法受理或不予受理，不予受理应当告知理由。</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2.审查责任：对提交材料审核，提出审查意见。</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3.决定责任：按规定进行备案确认。</w:t>
            </w:r>
          </w:p>
          <w:p>
            <w:pPr>
              <w:adjustRightInd w:val="0"/>
              <w:snapToGrid w:val="0"/>
              <w:spacing w:line="240" w:lineRule="exact"/>
              <w:jc w:val="left"/>
              <w:rPr>
                <w:rFonts w:ascii="仿宋_GB2312" w:hAnsi="仿宋_GB2312" w:eastAsia="仿宋_GB2312" w:cs="仿宋_GB2312"/>
                <w:color w:val="000000"/>
                <w:sz w:val="18"/>
                <w:szCs w:val="18"/>
              </w:rPr>
            </w:pPr>
          </w:p>
        </w:tc>
        <w:tc>
          <w:tcPr>
            <w:tcW w:w="3407"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9</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客运站经营者设立停靠点的</w:t>
            </w:r>
            <w:r>
              <w:rPr>
                <w:rFonts w:hint="eastAsia" w:ascii="仿宋_GB2312" w:hAnsi="仿宋_GB2312" w:eastAsia="仿宋_GB2312" w:cs="仿宋_GB2312"/>
                <w:sz w:val="18"/>
                <w:szCs w:val="18"/>
                <w:shd w:val="clear" w:color="auto" w:fill="FFFFFF"/>
              </w:rPr>
              <w:t>备案</w:t>
            </w:r>
          </w:p>
        </w:tc>
        <w:tc>
          <w:tcPr>
            <w:tcW w:w="3137" w:type="dxa"/>
            <w:vAlign w:val="center"/>
          </w:tcPr>
          <w:p>
            <w:pPr>
              <w:pStyle w:val="4"/>
              <w:shd w:val="clear" w:color="auto" w:fill="FFFFFF"/>
              <w:adjustRightInd w:val="0"/>
              <w:snapToGrid w:val="0"/>
              <w:spacing w:after="150" w:line="240" w:lineRule="exac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shd w:val="clear" w:color="auto" w:fill="FFFFFF"/>
              </w:rPr>
              <w:t>《道路旅客运输及客运站管理规定》（中华人民共和国交通运输部令2022年第33号）</w:t>
            </w:r>
            <w:r>
              <w:rPr>
                <w:rFonts w:hint="eastAsia" w:ascii="仿宋_GB2312" w:hAnsi="仿宋_GB2312" w:eastAsia="仿宋_GB2312" w:cs="仿宋_GB2312"/>
                <w:color w:val="000000"/>
                <w:sz w:val="18"/>
                <w:szCs w:val="18"/>
              </w:rPr>
              <w:t>第七十三条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市级、县级</w:t>
            </w:r>
          </w:p>
        </w:tc>
        <w:tc>
          <w:tcPr>
            <w:tcW w:w="3983"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1.受理责任：在办公场所公示依法应当提交的材料；一次性告知补正材料；依法受理或不予受理，不予受理应当告知理由。</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2.审查责任：对提交材料审核，提出审查意见。</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3.决定责任：按规定进行确认。</w:t>
            </w:r>
          </w:p>
          <w:p>
            <w:pPr>
              <w:adjustRightInd w:val="0"/>
              <w:snapToGrid w:val="0"/>
              <w:spacing w:line="240" w:lineRule="exact"/>
              <w:jc w:val="left"/>
              <w:rPr>
                <w:rFonts w:ascii="仿宋_GB2312" w:hAnsi="仿宋_GB2312" w:eastAsia="仿宋_GB2312" w:cs="仿宋_GB2312"/>
                <w:color w:val="000000"/>
                <w:sz w:val="18"/>
                <w:szCs w:val="18"/>
              </w:rPr>
            </w:pPr>
          </w:p>
        </w:tc>
        <w:tc>
          <w:tcPr>
            <w:tcW w:w="3407"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val="en-US" w:eastAsia="zh-CN"/>
              </w:rPr>
              <w:t>0</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从事货运代理（代办）等货运相关服务备案</w:t>
            </w:r>
          </w:p>
        </w:tc>
        <w:tc>
          <w:tcPr>
            <w:tcW w:w="3137" w:type="dxa"/>
            <w:vAlign w:val="center"/>
          </w:tcPr>
          <w:p>
            <w:pPr>
              <w:pStyle w:val="4"/>
              <w:shd w:val="clear" w:color="auto" w:fill="FFFFFF"/>
              <w:adjustRightInd w:val="0"/>
              <w:snapToGrid w:val="0"/>
              <w:spacing w:after="150" w:line="240" w:lineRule="exac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《道路货物运输及站场管理规定》（交通运输部令第17号）第十六条。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县级</w:t>
            </w:r>
          </w:p>
        </w:tc>
        <w:tc>
          <w:tcPr>
            <w:tcW w:w="3983"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1.受理责任：受理备案申请。</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2.审查责任：对提交材料进行审查。</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3.备案责任：依法备案。</w:t>
            </w:r>
          </w:p>
        </w:tc>
        <w:tc>
          <w:tcPr>
            <w:tcW w:w="3407"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val="en-US" w:eastAsia="zh-CN"/>
              </w:rPr>
              <w:t>1</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道路货物运输经营者变更名称、地址等备案</w:t>
            </w:r>
          </w:p>
        </w:tc>
        <w:tc>
          <w:tcPr>
            <w:tcW w:w="3137" w:type="dxa"/>
            <w:vAlign w:val="center"/>
          </w:tcPr>
          <w:p>
            <w:pPr>
              <w:pStyle w:val="4"/>
              <w:shd w:val="clear" w:color="auto" w:fill="FFFFFF"/>
              <w:adjustRightInd w:val="0"/>
              <w:snapToGrid w:val="0"/>
              <w:spacing w:after="150" w:line="240" w:lineRule="exac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《道路货物运输及站场管理规定》（交通运输部令第17号）第十八条。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市级、县级</w:t>
            </w:r>
          </w:p>
        </w:tc>
        <w:tc>
          <w:tcPr>
            <w:tcW w:w="3983"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1.受理责任：受理备案申请。</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2.审查责任：对提交材料进行审查。</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3.备案责任：依法备案。</w:t>
            </w:r>
          </w:p>
        </w:tc>
        <w:tc>
          <w:tcPr>
            <w:tcW w:w="3407"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val="en-US" w:eastAsia="zh-CN"/>
              </w:rPr>
              <w:t>2</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道路运输企业新建或者变更监控平台备案</w:t>
            </w:r>
          </w:p>
        </w:tc>
        <w:tc>
          <w:tcPr>
            <w:tcW w:w="3137" w:type="dxa"/>
            <w:vAlign w:val="center"/>
          </w:tcPr>
          <w:p>
            <w:pPr>
              <w:pStyle w:val="4"/>
              <w:shd w:val="clear" w:color="auto" w:fill="FFFFFF"/>
              <w:adjustRightInd w:val="0"/>
              <w:snapToGrid w:val="0"/>
              <w:spacing w:after="150" w:line="240" w:lineRule="exac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《道路运输车辆动态监督管理办法》（交通运输部令2022年第10号）第九条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市级、县级</w:t>
            </w:r>
          </w:p>
        </w:tc>
        <w:tc>
          <w:tcPr>
            <w:tcW w:w="3983"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1.受理责任：受理备案申请。</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2.审查责任：对提交材料进行审查。</w:t>
            </w:r>
          </w:p>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3.备案责任：依法备案。</w:t>
            </w:r>
          </w:p>
        </w:tc>
        <w:tc>
          <w:tcPr>
            <w:tcW w:w="3407" w:type="dxa"/>
            <w:vAlign w:val="center"/>
          </w:tcPr>
          <w:p>
            <w:pPr>
              <w:adjustRightInd w:val="0"/>
              <w:snapToGrid w:val="0"/>
              <w:spacing w:line="240" w:lineRule="exact"/>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val="en-US" w:eastAsia="zh-CN"/>
              </w:rPr>
              <w:t>3</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color w:val="FF0000"/>
                <w:sz w:val="18"/>
                <w:szCs w:val="18"/>
              </w:rPr>
            </w:pPr>
            <w:r>
              <w:rPr>
                <w:rFonts w:hint="eastAsia" w:ascii="仿宋_GB2312" w:hAnsi="仿宋_GB2312" w:eastAsia="仿宋_GB2312" w:cs="仿宋_GB2312"/>
                <w:w w:val="104"/>
                <w:sz w:val="18"/>
                <w:szCs w:val="18"/>
              </w:rPr>
              <w:t>道路货运经营者设立分公司备案</w:t>
            </w:r>
          </w:p>
        </w:tc>
        <w:tc>
          <w:tcPr>
            <w:tcW w:w="3137" w:type="dxa"/>
            <w:vAlign w:val="center"/>
          </w:tcPr>
          <w:p>
            <w:pPr>
              <w:pStyle w:val="4"/>
              <w:shd w:val="clear" w:color="auto" w:fill="FFFFFF"/>
              <w:adjustRightInd w:val="0"/>
              <w:snapToGrid w:val="0"/>
              <w:spacing w:after="150" w:line="240" w:lineRule="exact"/>
              <w:rPr>
                <w:rFonts w:ascii="仿宋_GB2312" w:hAnsi="仿宋_GB2312" w:eastAsia="仿宋_GB2312" w:cs="仿宋_GB2312"/>
                <w:color w:val="000000"/>
                <w:w w:val="104"/>
                <w:sz w:val="18"/>
                <w:szCs w:val="18"/>
              </w:rPr>
            </w:pPr>
            <w:r>
              <w:rPr>
                <w:rFonts w:hint="eastAsia" w:ascii="仿宋_GB2312" w:hAnsi="仿宋_GB2312" w:eastAsia="仿宋_GB2312" w:cs="仿宋_GB2312"/>
                <w:color w:val="000000"/>
                <w:w w:val="104"/>
                <w:sz w:val="18"/>
                <w:szCs w:val="18"/>
              </w:rPr>
              <w:t>1.《道路货物运输及站场管理规定》（交通运输部令第17号）第十五条；</w:t>
            </w:r>
          </w:p>
          <w:p>
            <w:pPr>
              <w:pStyle w:val="4"/>
              <w:shd w:val="clear" w:color="auto" w:fill="FFFFFF"/>
              <w:adjustRightInd w:val="0"/>
              <w:snapToGrid w:val="0"/>
              <w:spacing w:after="150" w:line="240" w:lineRule="exact"/>
              <w:rPr>
                <w:rFonts w:ascii="仿宋_GB2312" w:hAnsi="仿宋_GB2312" w:eastAsia="仿宋_GB2312" w:cs="仿宋_GB2312"/>
                <w:color w:val="000000"/>
                <w:w w:val="104"/>
                <w:sz w:val="18"/>
                <w:szCs w:val="18"/>
              </w:rPr>
            </w:pPr>
            <w:r>
              <w:rPr>
                <w:rFonts w:hint="eastAsia" w:ascii="仿宋_GB2312" w:hAnsi="仿宋_GB2312" w:eastAsia="仿宋_GB2312" w:cs="仿宋_GB2312"/>
                <w:color w:val="000000"/>
                <w:w w:val="104"/>
                <w:sz w:val="18"/>
                <w:szCs w:val="18"/>
              </w:rPr>
              <w:t>2.《道理运输管理工作规范》（交运便字〔2014〕181号）。</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市级、县级</w:t>
            </w:r>
          </w:p>
        </w:tc>
        <w:tc>
          <w:tcPr>
            <w:tcW w:w="3983" w:type="dxa"/>
            <w:vAlign w:val="center"/>
          </w:tcPr>
          <w:p>
            <w:pPr>
              <w:adjustRightInd w:val="0"/>
              <w:snapToGrid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1.受理责任：依法公示需报送的材料，依法受理备案申请。</w:t>
            </w:r>
          </w:p>
          <w:p>
            <w:pPr>
              <w:adjustRightInd w:val="0"/>
              <w:snapToGrid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2.审查责任：对提交材料审核，提出审查意见。</w:t>
            </w:r>
          </w:p>
          <w:p>
            <w:pPr>
              <w:adjustRightInd w:val="0"/>
              <w:snapToGrid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3.备案责任：依法予以备案。</w:t>
            </w:r>
          </w:p>
        </w:tc>
        <w:tc>
          <w:tcPr>
            <w:tcW w:w="3407" w:type="dxa"/>
            <w:vAlign w:val="center"/>
          </w:tcPr>
          <w:p>
            <w:pPr>
              <w:adjustRightInd w:val="0"/>
              <w:snapToGrid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val="en-US" w:eastAsia="zh-CN"/>
              </w:rPr>
              <w:t>4</w:t>
            </w:r>
          </w:p>
        </w:tc>
        <w:tc>
          <w:tcPr>
            <w:tcW w:w="846"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adjustRightInd w:val="0"/>
              <w:snapToGrid w:val="0"/>
              <w:spacing w:line="240" w:lineRule="exact"/>
              <w:jc w:val="left"/>
              <w:rPr>
                <w:rFonts w:ascii="仿宋_GB2312" w:hAnsi="仿宋_GB2312" w:eastAsia="仿宋_GB2312" w:cs="仿宋_GB2312"/>
                <w:w w:val="104"/>
                <w:sz w:val="18"/>
                <w:szCs w:val="18"/>
              </w:rPr>
            </w:pPr>
            <w:r>
              <w:rPr>
                <w:rFonts w:hint="eastAsia" w:ascii="仿宋_GB2312" w:hAnsi="仿宋_GB2312" w:eastAsia="仿宋_GB2312" w:cs="仿宋_GB2312"/>
                <w:w w:val="104"/>
                <w:sz w:val="18"/>
                <w:szCs w:val="18"/>
              </w:rPr>
              <w:t>机动车维修连锁经营服务备案</w:t>
            </w:r>
          </w:p>
        </w:tc>
        <w:tc>
          <w:tcPr>
            <w:tcW w:w="3137" w:type="dxa"/>
            <w:vAlign w:val="center"/>
          </w:tcPr>
          <w:p>
            <w:pPr>
              <w:pStyle w:val="4"/>
              <w:shd w:val="clear" w:color="auto" w:fill="FFFFFF"/>
              <w:adjustRightInd w:val="0"/>
              <w:snapToGrid w:val="0"/>
              <w:spacing w:after="150" w:line="240" w:lineRule="exact"/>
              <w:rPr>
                <w:rFonts w:ascii="仿宋_GB2312" w:hAnsi="仿宋_GB2312" w:eastAsia="仿宋_GB2312" w:cs="仿宋_GB2312"/>
                <w:color w:val="000000"/>
                <w:w w:val="104"/>
                <w:sz w:val="18"/>
                <w:szCs w:val="18"/>
              </w:rPr>
            </w:pPr>
            <w:r>
              <w:rPr>
                <w:rFonts w:hint="eastAsia" w:ascii="仿宋_GB2312" w:hAnsi="仿宋_GB2312" w:eastAsia="仿宋_GB2312" w:cs="仿宋_GB2312"/>
                <w:color w:val="000000"/>
                <w:w w:val="104"/>
                <w:sz w:val="18"/>
                <w:szCs w:val="18"/>
              </w:rPr>
              <w:t>《机动车维修管理规定》（交通运输部令第18号）第十六条。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市级、县市</w:t>
            </w:r>
          </w:p>
        </w:tc>
        <w:tc>
          <w:tcPr>
            <w:tcW w:w="3983" w:type="dxa"/>
            <w:vAlign w:val="center"/>
          </w:tcPr>
          <w:p>
            <w:pPr>
              <w:adjustRightInd w:val="0"/>
              <w:snapToGrid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1.受理责任：依法公示需报送的材料，依法受理备案申请。</w:t>
            </w:r>
          </w:p>
          <w:p>
            <w:pPr>
              <w:adjustRightInd w:val="0"/>
              <w:snapToGrid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2.审查责任：对提交材料审核，提出审查意见。</w:t>
            </w:r>
          </w:p>
          <w:p>
            <w:pPr>
              <w:adjustRightInd w:val="0"/>
              <w:snapToGrid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3.备案责任：依法备案。</w:t>
            </w:r>
          </w:p>
        </w:tc>
        <w:tc>
          <w:tcPr>
            <w:tcW w:w="3407" w:type="dxa"/>
            <w:vAlign w:val="center"/>
          </w:tcPr>
          <w:p>
            <w:pPr>
              <w:adjustRightInd w:val="0"/>
              <w:snapToGrid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《监察法》《行政处罚法》《国家赔偿法》《公务员法》《公职人员政务处分法》《政府信息公开条例》《河北省行政执法监督条例》等规定的追责情形。</w:t>
            </w:r>
          </w:p>
        </w:tc>
        <w:tc>
          <w:tcPr>
            <w:tcW w:w="571" w:type="dxa"/>
            <w:vAlign w:val="center"/>
          </w:tcPr>
          <w:p>
            <w:pPr>
              <w:spacing w:line="240" w:lineRule="exact"/>
              <w:rPr>
                <w:rFonts w:ascii="仿宋_GB2312" w:hAnsi="仿宋_GB2312" w:eastAsia="仿宋_GB2312" w:cs="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7" w:hRule="atLeast"/>
        </w:trPr>
        <w:tc>
          <w:tcPr>
            <w:tcW w:w="524" w:type="dxa"/>
            <w:tcMar>
              <w:top w:w="0" w:type="dxa"/>
              <w:left w:w="0" w:type="dxa"/>
              <w:bottom w:w="0" w:type="dxa"/>
              <w:right w:w="0" w:type="dxa"/>
            </w:tcMar>
            <w:vAlign w:val="center"/>
          </w:tcPr>
          <w:p>
            <w:pPr>
              <w:pStyle w:val="7"/>
              <w:spacing w:before="63" w:line="240" w:lineRule="exact"/>
              <w:ind w:right="92"/>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w w:val="104"/>
                <w:sz w:val="18"/>
                <w:szCs w:val="18"/>
              </w:rPr>
              <w:t>1</w:t>
            </w:r>
            <w:r>
              <w:rPr>
                <w:rFonts w:hint="eastAsia" w:ascii="仿宋_GB2312" w:hAnsi="仿宋_GB2312" w:eastAsia="仿宋_GB2312" w:cs="仿宋_GB2312"/>
                <w:color w:val="000000"/>
                <w:w w:val="104"/>
                <w:sz w:val="18"/>
                <w:szCs w:val="18"/>
                <w:lang w:val="en-US" w:eastAsia="zh-CN"/>
              </w:rPr>
              <w:t>5</w:t>
            </w:r>
          </w:p>
        </w:tc>
        <w:tc>
          <w:tcPr>
            <w:tcW w:w="846" w:type="dxa"/>
            <w:tcMar>
              <w:top w:w="0" w:type="dxa"/>
              <w:left w:w="0" w:type="dxa"/>
              <w:bottom w:w="0" w:type="dxa"/>
              <w:right w:w="0" w:type="dxa"/>
            </w:tcMar>
            <w:vAlign w:val="center"/>
          </w:tcPr>
          <w:p>
            <w:pPr>
              <w:pStyle w:val="7"/>
              <w:spacing w:before="63" w:line="240" w:lineRule="exact"/>
              <w:ind w:right="29"/>
              <w:jc w:val="center"/>
              <w:rPr>
                <w:rFonts w:ascii="仿宋_GB2312" w:hAnsi="仿宋_GB2312" w:eastAsia="仿宋_GB2312" w:cs="仿宋_GB2312"/>
                <w:color w:val="000000"/>
                <w:sz w:val="18"/>
                <w:szCs w:val="18"/>
              </w:rPr>
            </w:pPr>
            <w:r>
              <w:rPr>
                <w:rFonts w:hint="eastAsia" w:ascii="仿宋_GB2312" w:hAnsi="仿宋_GB2312" w:eastAsia="仿宋_GB2312" w:cs="仿宋_GB2312"/>
                <w:sz w:val="18"/>
                <w:szCs w:val="18"/>
              </w:rPr>
              <w:t>行政备案</w:t>
            </w:r>
          </w:p>
        </w:tc>
        <w:tc>
          <w:tcPr>
            <w:tcW w:w="1138" w:type="dxa"/>
            <w:vAlign w:val="center"/>
          </w:tcPr>
          <w:p>
            <w:pPr>
              <w:pStyle w:val="7"/>
              <w:spacing w:before="63" w:line="240" w:lineRule="exact"/>
              <w:rPr>
                <w:rFonts w:ascii="仿宋_GB2312" w:hAnsi="仿宋_GB2312" w:eastAsia="仿宋_GB2312" w:cs="仿宋_GB2312"/>
                <w:color w:val="FF0000"/>
                <w:sz w:val="18"/>
                <w:szCs w:val="18"/>
              </w:rPr>
            </w:pPr>
            <w:r>
              <w:rPr>
                <w:rFonts w:hint="eastAsia" w:ascii="仿宋_GB2312" w:hAnsi="仿宋_GB2312" w:eastAsia="仿宋_GB2312" w:cs="仿宋_GB2312"/>
                <w:sz w:val="18"/>
                <w:szCs w:val="18"/>
              </w:rPr>
              <w:t>小微型客车租赁经营备案</w:t>
            </w:r>
          </w:p>
        </w:tc>
        <w:tc>
          <w:tcPr>
            <w:tcW w:w="3137" w:type="dxa"/>
            <w:vAlign w:val="center"/>
          </w:tcPr>
          <w:p>
            <w:pPr>
              <w:pStyle w:val="7"/>
              <w:adjustRightInd w:val="0"/>
              <w:snapToGrid w:val="0"/>
              <w:spacing w:before="71" w:line="240" w:lineRule="exact"/>
              <w:ind w:right="23"/>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《小微型客车租赁经营服务管理办法》（交通运输部令第22号）第七条、第八条、第九条。</w:t>
            </w:r>
          </w:p>
        </w:tc>
        <w:tc>
          <w:tcPr>
            <w:tcW w:w="1138"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省交通</w:t>
            </w:r>
            <w:bookmarkStart w:id="0" w:name="_GoBack"/>
            <w:bookmarkEnd w:id="0"/>
            <w:r>
              <w:rPr>
                <w:rFonts w:hint="eastAsia" w:ascii="仿宋_GB2312" w:hAnsi="仿宋_GB2312" w:eastAsia="仿宋_GB2312" w:cs="仿宋_GB2312"/>
                <w:color w:val="000000"/>
                <w:sz w:val="18"/>
                <w:szCs w:val="18"/>
              </w:rPr>
              <w:t>运输厅</w:t>
            </w:r>
          </w:p>
        </w:tc>
        <w:tc>
          <w:tcPr>
            <w:tcW w:w="965" w:type="dxa"/>
            <w:tcMar>
              <w:top w:w="0" w:type="dxa"/>
              <w:left w:w="0" w:type="dxa"/>
              <w:bottom w:w="0" w:type="dxa"/>
              <w:right w:w="0" w:type="dxa"/>
            </w:tcMar>
            <w:vAlign w:val="center"/>
          </w:tcPr>
          <w:p>
            <w:pPr>
              <w:adjustRightInd w:val="0"/>
              <w:snapToGrid w:val="0"/>
              <w:spacing w:line="240" w:lineRule="exact"/>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市级、县级</w:t>
            </w:r>
          </w:p>
        </w:tc>
        <w:tc>
          <w:tcPr>
            <w:tcW w:w="3983" w:type="dxa"/>
            <w:vAlign w:val="center"/>
          </w:tcPr>
          <w:p>
            <w:pPr>
              <w:pStyle w:val="7"/>
              <w:adjustRightInd w:val="0"/>
              <w:snapToGrid w:val="0"/>
              <w:spacing w:before="1" w:line="240" w:lineRule="exact"/>
              <w:ind w:right="74"/>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1.受理责任：公示应当提交的材料，一次性告知补正材料，依法作出受</w:t>
            </w:r>
            <w:r>
              <w:rPr>
                <w:rFonts w:hint="eastAsia" w:ascii="仿宋_GB2312" w:hAnsi="仿宋_GB2312" w:eastAsia="仿宋_GB2312" w:cs="仿宋_GB2312"/>
                <w:color w:val="000000"/>
                <w:w w:val="104"/>
                <w:sz w:val="18"/>
                <w:szCs w:val="18"/>
              </w:rPr>
              <w:t>理或不予受理决定，</w:t>
            </w:r>
            <w:r>
              <w:rPr>
                <w:rFonts w:hint="eastAsia" w:ascii="仿宋_GB2312" w:hAnsi="仿宋_GB2312" w:eastAsia="仿宋_GB2312" w:cs="仿宋_GB2312"/>
                <w:color w:val="000000"/>
                <w:spacing w:val="-7"/>
                <w:w w:val="104"/>
                <w:sz w:val="18"/>
                <w:szCs w:val="18"/>
              </w:rPr>
              <w:t>不予受理应当告知理由</w:t>
            </w:r>
            <w:r>
              <w:rPr>
                <w:rFonts w:hint="eastAsia" w:ascii="仿宋_GB2312" w:hAnsi="仿宋_GB2312" w:eastAsia="仿宋_GB2312" w:cs="仿宋_GB2312"/>
                <w:color w:val="000000"/>
                <w:w w:val="104"/>
                <w:sz w:val="18"/>
                <w:szCs w:val="18"/>
              </w:rPr>
              <w:t>。</w:t>
            </w:r>
          </w:p>
          <w:p>
            <w:pPr>
              <w:pStyle w:val="7"/>
              <w:adjustRightInd w:val="0"/>
              <w:snapToGrid w:val="0"/>
              <w:spacing w:line="240" w:lineRule="exact"/>
              <w:ind w:left="19" w:right="81"/>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2.审查责任：对申请材料进行审查，依法履行听证职责，提出意见。</w:t>
            </w:r>
          </w:p>
          <w:p>
            <w:pPr>
              <w:pStyle w:val="7"/>
              <w:adjustRightInd w:val="0"/>
              <w:snapToGrid w:val="0"/>
              <w:spacing w:line="240" w:lineRule="exact"/>
              <w:ind w:left="19" w:right="81"/>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3.现场勘验责任：对申请材料的实质内容进行现场核查。</w:t>
            </w:r>
          </w:p>
          <w:p>
            <w:pPr>
              <w:pStyle w:val="7"/>
              <w:adjustRightInd w:val="0"/>
              <w:snapToGrid w:val="0"/>
              <w:spacing w:line="240" w:lineRule="exact"/>
              <w:ind w:left="19" w:right="81"/>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4.决定责任：办理车辆备案手续，发放车辆备案证明文件。</w:t>
            </w:r>
          </w:p>
          <w:p>
            <w:pPr>
              <w:pStyle w:val="7"/>
              <w:adjustRightInd w:val="0"/>
              <w:snapToGrid w:val="0"/>
              <w:spacing w:line="240" w:lineRule="exact"/>
              <w:ind w:left="19" w:right="81"/>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5.送达责任：依法定程序送达文书。</w:t>
            </w:r>
          </w:p>
          <w:p>
            <w:pPr>
              <w:pStyle w:val="7"/>
              <w:adjustRightInd w:val="0"/>
              <w:snapToGrid w:val="0"/>
              <w:spacing w:line="240" w:lineRule="exact"/>
              <w:ind w:left="19" w:right="81"/>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6.公示责任：对做出的行政许可决定自7个工作日公示。</w:t>
            </w:r>
          </w:p>
          <w:p>
            <w:pPr>
              <w:pStyle w:val="7"/>
              <w:adjustRightInd w:val="0"/>
              <w:snapToGrid w:val="0"/>
              <w:spacing w:line="240" w:lineRule="exact"/>
              <w:ind w:left="21"/>
              <w:rPr>
                <w:rFonts w:ascii="仿宋_GB2312" w:hAnsi="仿宋_GB2312" w:eastAsia="仿宋_GB2312" w:cs="仿宋_GB2312"/>
                <w:color w:val="000000"/>
                <w:w w:val="104"/>
                <w:sz w:val="18"/>
                <w:szCs w:val="18"/>
              </w:rPr>
            </w:pPr>
            <w:r>
              <w:rPr>
                <w:rFonts w:hint="eastAsia" w:ascii="仿宋_GB2312" w:hAnsi="仿宋_GB2312" w:eastAsia="仿宋_GB2312" w:cs="仿宋_GB2312"/>
                <w:color w:val="000000"/>
                <w:sz w:val="18"/>
                <w:szCs w:val="18"/>
              </w:rPr>
              <w:t>7.</w:t>
            </w:r>
            <w:r>
              <w:rPr>
                <w:rFonts w:hint="eastAsia" w:ascii="仿宋_GB2312" w:hAnsi="仿宋_GB2312" w:eastAsia="仿宋_GB2312" w:cs="仿宋_GB2312"/>
                <w:color w:val="000000"/>
                <w:w w:val="104"/>
                <w:sz w:val="18"/>
                <w:szCs w:val="18"/>
              </w:rPr>
              <w:t>其他法律法规规章文件规定应履行的责任。</w:t>
            </w:r>
          </w:p>
        </w:tc>
        <w:tc>
          <w:tcPr>
            <w:tcW w:w="3407" w:type="dxa"/>
            <w:vAlign w:val="center"/>
          </w:tcPr>
          <w:p>
            <w:pPr>
              <w:pStyle w:val="7"/>
              <w:adjustRightInd w:val="0"/>
              <w:snapToGrid w:val="0"/>
              <w:spacing w:line="240" w:lineRule="exact"/>
              <w:ind w:left="19"/>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《监察法》《行政处罚法》《国家赔偿法》《公务员法》《公职人员政务处分法》《政府信息公开条例》《河北省行政执法监督条你》等规定的追责情形。</w:t>
            </w:r>
          </w:p>
        </w:tc>
        <w:tc>
          <w:tcPr>
            <w:tcW w:w="571" w:type="dxa"/>
          </w:tcPr>
          <w:p>
            <w:pPr>
              <w:spacing w:line="240" w:lineRule="exact"/>
              <w:rPr>
                <w:rFonts w:ascii="仿宋_GB2312" w:hAnsi="仿宋_GB2312" w:eastAsia="仿宋_GB2312" w:cs="仿宋_GB2312"/>
                <w:color w:val="000000"/>
                <w:sz w:val="18"/>
                <w:szCs w:val="18"/>
              </w:rPr>
            </w:pPr>
          </w:p>
        </w:tc>
      </w:tr>
    </w:tbl>
    <w:p>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B7906"/>
    <w:rsid w:val="00130BE9"/>
    <w:rsid w:val="0018010B"/>
    <w:rsid w:val="0020341E"/>
    <w:rsid w:val="00281E5D"/>
    <w:rsid w:val="0029381F"/>
    <w:rsid w:val="002A69E3"/>
    <w:rsid w:val="003848E2"/>
    <w:rsid w:val="00394E8A"/>
    <w:rsid w:val="0048198D"/>
    <w:rsid w:val="004819B4"/>
    <w:rsid w:val="00541B3D"/>
    <w:rsid w:val="005E592B"/>
    <w:rsid w:val="00723DD8"/>
    <w:rsid w:val="00785CCC"/>
    <w:rsid w:val="007D24EC"/>
    <w:rsid w:val="008078BA"/>
    <w:rsid w:val="00880CEF"/>
    <w:rsid w:val="008B41B0"/>
    <w:rsid w:val="008D2B3E"/>
    <w:rsid w:val="008F3E7C"/>
    <w:rsid w:val="00957971"/>
    <w:rsid w:val="00966737"/>
    <w:rsid w:val="00997DFF"/>
    <w:rsid w:val="009B1C12"/>
    <w:rsid w:val="009C7031"/>
    <w:rsid w:val="00A94B2D"/>
    <w:rsid w:val="00AA6C33"/>
    <w:rsid w:val="00C85623"/>
    <w:rsid w:val="00CC4968"/>
    <w:rsid w:val="00D00984"/>
    <w:rsid w:val="00DC3F53"/>
    <w:rsid w:val="13395482"/>
    <w:rsid w:val="1561661E"/>
    <w:rsid w:val="2CBB7906"/>
    <w:rsid w:val="7FB23B4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next w:val="3"/>
    <w:qFormat/>
    <w:uiPriority w:val="0"/>
    <w:pPr>
      <w:widowControl/>
      <w:jc w:val="left"/>
    </w:pPr>
    <w:rPr>
      <w:rFonts w:ascii="宋体"/>
      <w:kern w:val="0"/>
      <w:sz w:val="24"/>
      <w:szCs w:val="21"/>
    </w:rPr>
  </w:style>
  <w:style w:type="paragraph" w:customStyle="1" w:styleId="7">
    <w:name w:val="Table Paragraph"/>
    <w:basedOn w:val="1"/>
    <w:qFormat/>
    <w:uiPriority w:val="0"/>
    <w:pPr>
      <w:autoSpaceDE w:val="0"/>
      <w:autoSpaceDN w:val="0"/>
      <w:jc w:val="left"/>
    </w:pPr>
    <w:rPr>
      <w:rFonts w:ascii="宋体" w:cs="宋体"/>
      <w:kern w:val="0"/>
      <w:sz w:val="22"/>
      <w:szCs w:val="22"/>
    </w:rPr>
  </w:style>
  <w:style w:type="character" w:customStyle="1" w:styleId="8">
    <w:name w:val="页脚 Char"/>
    <w:basedOn w:val="5"/>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825</Words>
  <Characters>4707</Characters>
  <Lines>39</Lines>
  <Paragraphs>11</Paragraphs>
  <TotalTime>0</TotalTime>
  <ScaleCrop>false</ScaleCrop>
  <LinksUpToDate>false</LinksUpToDate>
  <CharactersWithSpaces>5521</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2022-10-21T10:05:00Z</dcterms:created>
  <dc:creator>Administrator</dc:creator>
  <cp:lastModifiedBy>lenovo</cp:lastModifiedBy>
  <dcterms:modified xsi:type="dcterms:W3CDTF">2023-09-21T08:22:54Z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