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1570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4"/>
        <w:gridCol w:w="846"/>
        <w:gridCol w:w="1138"/>
        <w:gridCol w:w="3137"/>
        <w:gridCol w:w="1138"/>
        <w:gridCol w:w="965"/>
        <w:gridCol w:w="3983"/>
        <w:gridCol w:w="3407"/>
        <w:gridCol w:w="5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blHeader/>
        </w:trPr>
        <w:tc>
          <w:tcPr>
            <w:tcW w:w="52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sz w:val="24"/>
              </w:rPr>
            </w:pPr>
            <w:r>
              <w:rPr>
                <w:rFonts w:hint="eastAsia" w:ascii="黑体" w:hAnsi="黑体" w:eastAsia="黑体" w:cs="黑体"/>
                <w:sz w:val="24"/>
              </w:rPr>
              <w:t>序号</w:t>
            </w:r>
          </w:p>
        </w:tc>
        <w:tc>
          <w:tcPr>
            <w:tcW w:w="84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sz w:val="24"/>
              </w:rPr>
            </w:pPr>
            <w:r>
              <w:rPr>
                <w:rFonts w:hint="eastAsia" w:ascii="黑体" w:hAnsi="黑体" w:eastAsia="黑体" w:cs="黑体"/>
                <w:sz w:val="24"/>
              </w:rPr>
              <w:t>权力</w:t>
            </w:r>
          </w:p>
          <w:p>
            <w:pPr>
              <w:autoSpaceDN w:val="0"/>
              <w:jc w:val="center"/>
              <w:rPr>
                <w:rFonts w:ascii="黑体" w:hAnsi="黑体" w:eastAsia="黑体" w:cs="黑体"/>
                <w:sz w:val="24"/>
              </w:rPr>
            </w:pPr>
            <w:r>
              <w:rPr>
                <w:rFonts w:hint="eastAsia" w:ascii="黑体" w:hAnsi="黑体" w:eastAsia="黑体" w:cs="黑体"/>
                <w:sz w:val="24"/>
              </w:rPr>
              <w:t>类型</w:t>
            </w:r>
          </w:p>
        </w:tc>
        <w:tc>
          <w:tcPr>
            <w:tcW w:w="113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sz w:val="24"/>
              </w:rPr>
            </w:pPr>
            <w:r>
              <w:rPr>
                <w:rFonts w:hint="eastAsia" w:ascii="黑体" w:hAnsi="黑体" w:eastAsia="黑体" w:cs="黑体"/>
                <w:sz w:val="24"/>
              </w:rPr>
              <w:t>权力事项</w:t>
            </w:r>
          </w:p>
        </w:tc>
        <w:tc>
          <w:tcPr>
            <w:tcW w:w="313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sz w:val="24"/>
              </w:rPr>
            </w:pPr>
            <w:r>
              <w:rPr>
                <w:rFonts w:hint="eastAsia" w:ascii="黑体" w:hAnsi="黑体" w:eastAsia="黑体" w:cs="黑体"/>
                <w:sz w:val="24"/>
              </w:rPr>
              <w:t>实施依据</w:t>
            </w:r>
          </w:p>
        </w:tc>
        <w:tc>
          <w:tcPr>
            <w:tcW w:w="1138"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sz w:val="24"/>
              </w:rPr>
            </w:pPr>
            <w:r>
              <w:rPr>
                <w:rFonts w:hint="eastAsia" w:ascii="黑体" w:hAnsi="黑体" w:eastAsia="黑体" w:cs="黑体"/>
                <w:sz w:val="24"/>
              </w:rPr>
              <w:t>省级</w:t>
            </w:r>
          </w:p>
          <w:p>
            <w:pPr>
              <w:autoSpaceDN w:val="0"/>
              <w:jc w:val="center"/>
              <w:rPr>
                <w:rFonts w:ascii="黑体" w:hAnsi="黑体" w:eastAsia="黑体" w:cs="黑体"/>
                <w:sz w:val="24"/>
              </w:rPr>
            </w:pPr>
            <w:r>
              <w:rPr>
                <w:rFonts w:ascii="黑体" w:hAnsi="黑体" w:eastAsia="黑体" w:cs="黑体"/>
                <w:sz w:val="24"/>
              </w:rPr>
              <w:t>主管</w:t>
            </w:r>
            <w:r>
              <w:rPr>
                <w:rFonts w:hint="eastAsia" w:ascii="黑体" w:hAnsi="黑体" w:eastAsia="黑体" w:cs="黑体"/>
                <w:sz w:val="24"/>
              </w:rPr>
              <w:t>部门</w:t>
            </w:r>
          </w:p>
        </w:tc>
        <w:tc>
          <w:tcPr>
            <w:tcW w:w="965"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sz w:val="24"/>
              </w:rPr>
            </w:pPr>
            <w:r>
              <w:rPr>
                <w:rFonts w:hint="eastAsia" w:ascii="黑体" w:hAnsi="黑体" w:eastAsia="黑体" w:cs="黑体"/>
                <w:sz w:val="24"/>
              </w:rPr>
              <w:t>实施</w:t>
            </w:r>
          </w:p>
          <w:p>
            <w:pPr>
              <w:autoSpaceDN w:val="0"/>
              <w:jc w:val="center"/>
              <w:rPr>
                <w:rFonts w:ascii="黑体" w:hAnsi="黑体" w:eastAsia="黑体" w:cs="黑体"/>
                <w:sz w:val="24"/>
              </w:rPr>
            </w:pPr>
            <w:r>
              <w:rPr>
                <w:rFonts w:hint="eastAsia" w:ascii="黑体" w:hAnsi="黑体" w:eastAsia="黑体" w:cs="黑体"/>
                <w:sz w:val="24"/>
              </w:rPr>
              <w:t>层级</w:t>
            </w:r>
          </w:p>
        </w:tc>
        <w:tc>
          <w:tcPr>
            <w:tcW w:w="3983"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sz w:val="24"/>
              </w:rPr>
            </w:pPr>
            <w:r>
              <w:rPr>
                <w:rFonts w:hint="eastAsia" w:ascii="黑体" w:hAnsi="黑体" w:eastAsia="黑体" w:cs="黑体"/>
                <w:sz w:val="24"/>
              </w:rPr>
              <w:t>责任事项</w:t>
            </w:r>
          </w:p>
        </w:tc>
        <w:tc>
          <w:tcPr>
            <w:tcW w:w="3407"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sz w:val="24"/>
              </w:rPr>
            </w:pPr>
            <w:r>
              <w:rPr>
                <w:rFonts w:hint="eastAsia" w:ascii="黑体" w:hAnsi="黑体" w:eastAsia="黑体" w:cs="黑体"/>
                <w:sz w:val="24"/>
              </w:rPr>
              <w:t>追责情形</w:t>
            </w:r>
          </w:p>
        </w:tc>
        <w:tc>
          <w:tcPr>
            <w:tcW w:w="566"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autoSpaceDN w:val="0"/>
              <w:jc w:val="center"/>
              <w:rPr>
                <w:rFonts w:ascii="黑体" w:hAnsi="黑体" w:eastAsia="黑体" w:cs="黑体"/>
                <w:sz w:val="24"/>
              </w:rPr>
            </w:pPr>
            <w:r>
              <w:rPr>
                <w:rFonts w:hint="eastAsia" w:ascii="黑体" w:hAnsi="黑体" w:eastAsia="黑体" w:cs="黑体"/>
                <w:sz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957" w:hRule="atLeast"/>
        </w:trPr>
        <w:tc>
          <w:tcPr>
            <w:tcW w:w="524"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84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行政确认</w:t>
            </w:r>
          </w:p>
        </w:tc>
        <w:tc>
          <w:tcPr>
            <w:tcW w:w="1138"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客运站站级核定</w:t>
            </w:r>
          </w:p>
        </w:tc>
        <w:tc>
          <w:tcPr>
            <w:tcW w:w="3137"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1.《道路旅客运输及客运站管理规定》第十一条;</w:t>
            </w:r>
          </w:p>
          <w:p>
            <w:pPr>
              <w:autoSpaceDN w:val="0"/>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2.《汽车客运站级别划分和建设要求》(JT/T200-2004)第八条</w:t>
            </w:r>
            <w:r>
              <w:rPr>
                <w:rFonts w:hint="eastAsia" w:ascii="仿宋_GB2312" w:hAnsi="仿宋_GB2312" w:eastAsia="仿宋_GB2312" w:cs="仿宋_GB2312"/>
                <w:sz w:val="18"/>
                <w:szCs w:val="18"/>
              </w:rPr>
              <w:t>。</w:t>
            </w:r>
          </w:p>
        </w:tc>
        <w:tc>
          <w:tcPr>
            <w:tcW w:w="1138"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省交通运输厅</w:t>
            </w:r>
          </w:p>
        </w:tc>
        <w:tc>
          <w:tcPr>
            <w:tcW w:w="96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市级、县级</w:t>
            </w:r>
          </w:p>
        </w:tc>
        <w:tc>
          <w:tcPr>
            <w:tcW w:w="3983" w:type="dxa"/>
            <w:tcBorders>
              <w:top w:val="single" w:color="auto" w:sz="4" w:space="0"/>
              <w:left w:val="single" w:color="auto" w:sz="4" w:space="0"/>
              <w:bottom w:val="single" w:color="auto" w:sz="4" w:space="0"/>
              <w:right w:val="single" w:color="auto" w:sz="4" w:space="0"/>
            </w:tcBorders>
            <w:vAlign w:val="center"/>
          </w:tcPr>
          <w:p>
            <w:pPr>
              <w:pStyle w:val="11"/>
              <w:adjustRightInd w:val="0"/>
              <w:snapToGrid w:val="0"/>
              <w:spacing w:line="240" w:lineRule="exact"/>
              <w:ind w:left="19" w:right="81"/>
              <w:rPr>
                <w:rFonts w:ascii="仿宋_GB2312" w:hAnsi="仿宋_GB2312" w:eastAsia="仿宋_GB2312" w:cs="仿宋_GB2312"/>
                <w:sz w:val="18"/>
                <w:szCs w:val="18"/>
              </w:rPr>
            </w:pPr>
            <w:r>
              <w:rPr>
                <w:rFonts w:ascii="仿宋_GB2312" w:hAnsi="仿宋_GB2312" w:eastAsia="仿宋_GB2312" w:cs="仿宋_GB2312"/>
                <w:sz w:val="18"/>
                <w:szCs w:val="18"/>
              </w:rPr>
              <w:t>1.</w:t>
            </w:r>
            <w:r>
              <w:rPr>
                <w:rFonts w:hint="eastAsia" w:ascii="仿宋_GB2312" w:hAnsi="仿宋_GB2312" w:eastAsia="仿宋_GB2312" w:cs="仿宋_GB2312"/>
                <w:sz w:val="18"/>
                <w:szCs w:val="18"/>
              </w:rPr>
              <w:t>受理责任：公示应当提交的材料，一次性告知补正材料，依法受理或不予受理，不予受理应当告知理由。需要所在地县级道路运输管理机构初审的，受理初审后，逐级上报到有核定权的道路运输管理机构。</w:t>
            </w:r>
          </w:p>
          <w:p>
            <w:pPr>
              <w:pStyle w:val="11"/>
              <w:adjustRightInd w:val="0"/>
              <w:snapToGrid w:val="0"/>
              <w:spacing w:line="240" w:lineRule="exact"/>
              <w:ind w:left="19" w:right="81"/>
              <w:rPr>
                <w:rFonts w:ascii="仿宋_GB2312" w:hAnsi="仿宋_GB2312" w:eastAsia="仿宋_GB2312" w:cs="仿宋_GB2312"/>
                <w:sz w:val="18"/>
                <w:szCs w:val="18"/>
              </w:rPr>
            </w:pPr>
            <w:r>
              <w:rPr>
                <w:rFonts w:ascii="仿宋_GB2312" w:hAnsi="仿宋_GB2312" w:eastAsia="仿宋_GB2312" w:cs="仿宋_GB2312"/>
                <w:sz w:val="18"/>
                <w:szCs w:val="18"/>
              </w:rPr>
              <w:t>2.</w:t>
            </w:r>
            <w:r>
              <w:rPr>
                <w:rFonts w:hint="eastAsia" w:ascii="仿宋_GB2312" w:hAnsi="仿宋_GB2312" w:eastAsia="仿宋_GB2312" w:cs="仿宋_GB2312"/>
                <w:sz w:val="18"/>
                <w:szCs w:val="18"/>
              </w:rPr>
              <w:t>审查责任：对申请材料进行审查，依法履行听证职责，提出审核意见。</w:t>
            </w:r>
          </w:p>
          <w:p>
            <w:pPr>
              <w:pStyle w:val="11"/>
              <w:adjustRightInd w:val="0"/>
              <w:snapToGrid w:val="0"/>
              <w:spacing w:line="240" w:lineRule="exact"/>
              <w:ind w:left="19" w:right="81"/>
              <w:rPr>
                <w:rFonts w:ascii="仿宋_GB2312" w:hAnsi="仿宋_GB2312" w:eastAsia="仿宋_GB2312" w:cs="仿宋_GB2312"/>
                <w:sz w:val="18"/>
                <w:szCs w:val="18"/>
              </w:rPr>
            </w:pPr>
            <w:r>
              <w:rPr>
                <w:rFonts w:ascii="仿宋_GB2312" w:hAnsi="仿宋_GB2312" w:eastAsia="仿宋_GB2312" w:cs="仿宋_GB2312"/>
                <w:sz w:val="18"/>
                <w:szCs w:val="18"/>
              </w:rPr>
              <w:t>3.</w:t>
            </w:r>
            <w:r>
              <w:rPr>
                <w:rFonts w:hint="eastAsia" w:ascii="仿宋_GB2312" w:hAnsi="仿宋_GB2312" w:eastAsia="仿宋_GB2312" w:cs="仿宋_GB2312"/>
                <w:sz w:val="18"/>
                <w:szCs w:val="18"/>
              </w:rPr>
              <w:t>现场勘验责任：有核定权的道路运输管理机构收到申请后，应当在7个工作日内对客运站进行现场核查，并按照《汽车客运站级别划分和建设要求》(JT／T200)核定站级。</w:t>
            </w:r>
          </w:p>
          <w:p>
            <w:pPr>
              <w:pStyle w:val="11"/>
              <w:adjustRightInd w:val="0"/>
              <w:snapToGrid w:val="0"/>
              <w:spacing w:line="240" w:lineRule="exact"/>
              <w:ind w:left="19" w:right="81"/>
              <w:rPr>
                <w:rFonts w:ascii="仿宋_GB2312" w:hAnsi="仿宋_GB2312" w:eastAsia="仿宋_GB2312" w:cs="仿宋_GB2312"/>
                <w:sz w:val="18"/>
                <w:szCs w:val="18"/>
              </w:rPr>
            </w:pPr>
            <w:r>
              <w:rPr>
                <w:rFonts w:ascii="仿宋_GB2312" w:hAnsi="仿宋_GB2312" w:eastAsia="仿宋_GB2312" w:cs="仿宋_GB2312"/>
                <w:sz w:val="18"/>
                <w:szCs w:val="18"/>
              </w:rPr>
              <w:t>4.</w:t>
            </w:r>
            <w:r>
              <w:rPr>
                <w:rFonts w:hint="eastAsia" w:ascii="仿宋_GB2312" w:hAnsi="仿宋_GB2312" w:eastAsia="仿宋_GB2312" w:cs="仿宋_GB2312"/>
                <w:sz w:val="18"/>
                <w:szCs w:val="18"/>
              </w:rPr>
              <w:t>决定责任：符合规定的，道路运输管理机构应当出具客运站站级验收合格证明。</w:t>
            </w:r>
          </w:p>
          <w:p>
            <w:pPr>
              <w:pStyle w:val="11"/>
              <w:adjustRightInd w:val="0"/>
              <w:snapToGrid w:val="0"/>
              <w:spacing w:line="240" w:lineRule="exact"/>
              <w:ind w:left="19" w:right="81"/>
              <w:rPr>
                <w:rFonts w:ascii="仿宋_GB2312" w:hAnsi="仿宋_GB2312" w:eastAsia="仿宋_GB2312" w:cs="仿宋_GB2312"/>
                <w:sz w:val="18"/>
                <w:szCs w:val="18"/>
              </w:rPr>
            </w:pPr>
            <w:r>
              <w:rPr>
                <w:rFonts w:ascii="仿宋_GB2312" w:hAnsi="仿宋_GB2312" w:eastAsia="仿宋_GB2312" w:cs="仿宋_GB2312"/>
                <w:sz w:val="18"/>
                <w:szCs w:val="18"/>
              </w:rPr>
              <w:t>5.</w:t>
            </w:r>
            <w:r>
              <w:rPr>
                <w:rFonts w:hint="eastAsia" w:ascii="仿宋_GB2312" w:hAnsi="仿宋_GB2312" w:eastAsia="仿宋_GB2312" w:cs="仿宋_GB2312"/>
                <w:sz w:val="18"/>
                <w:szCs w:val="18"/>
              </w:rPr>
              <w:t>送达责任：依法定程序送达文书。</w:t>
            </w:r>
          </w:p>
        </w:tc>
        <w:tc>
          <w:tcPr>
            <w:tcW w:w="340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1.</w:t>
            </w:r>
            <w:r>
              <w:rPr>
                <w:rFonts w:hint="eastAsia" w:ascii="仿宋_GB2312" w:hAnsi="仿宋_GB2312" w:eastAsia="仿宋_GB2312" w:cs="仿宋_GB2312"/>
                <w:sz w:val="18"/>
                <w:szCs w:val="18"/>
              </w:rPr>
              <w:t>对符合受理条件的行政确认申请不予受理；</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2.</w:t>
            </w:r>
            <w:r>
              <w:rPr>
                <w:rFonts w:hint="eastAsia" w:ascii="仿宋_GB2312" w:hAnsi="仿宋_GB2312" w:eastAsia="仿宋_GB2312" w:cs="仿宋_GB2312"/>
                <w:sz w:val="18"/>
                <w:szCs w:val="18"/>
              </w:rPr>
              <w:t>对不符合条件的受理、办理的情形；</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3.</w:t>
            </w:r>
            <w:r>
              <w:rPr>
                <w:rFonts w:hint="eastAsia" w:ascii="仿宋_GB2312" w:hAnsi="仿宋_GB2312" w:eastAsia="仿宋_GB2312" w:cs="仿宋_GB2312"/>
                <w:sz w:val="18"/>
                <w:szCs w:val="18"/>
              </w:rPr>
              <w:t>未严格按照相关政策、法律、法规履行审查义务，对应当予以确认的不予确认，或者对不应确认的予以确认；</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4.</w:t>
            </w:r>
            <w:r>
              <w:rPr>
                <w:rFonts w:hint="eastAsia" w:ascii="仿宋_GB2312" w:hAnsi="仿宋_GB2312" w:eastAsia="仿宋_GB2312" w:cs="仿宋_GB2312"/>
                <w:sz w:val="18"/>
                <w:szCs w:val="18"/>
              </w:rPr>
              <w:t>在审查过程中玩忽职守、滥用职权的；</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5.</w:t>
            </w:r>
            <w:r>
              <w:rPr>
                <w:rFonts w:hint="eastAsia" w:ascii="仿宋_GB2312" w:hAnsi="仿宋_GB2312" w:eastAsia="仿宋_GB2312" w:cs="仿宋_GB2312"/>
                <w:sz w:val="18"/>
                <w:szCs w:val="18"/>
              </w:rPr>
              <w:t>在行使行政权力过程中发生腐败行为的；</w:t>
            </w:r>
          </w:p>
          <w:p>
            <w:pPr>
              <w:autoSpaceDN w:val="0"/>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6.</w:t>
            </w:r>
            <w:r>
              <w:rPr>
                <w:rFonts w:hint="eastAsia" w:ascii="仿宋_GB2312" w:hAnsi="仿宋_GB2312" w:eastAsia="仿宋_GB2312" w:cs="仿宋_GB2312"/>
                <w:sz w:val="18"/>
                <w:szCs w:val="18"/>
              </w:rPr>
              <w:t>其他违反法律法规规章文件规定的行为。</w:t>
            </w:r>
          </w:p>
        </w:tc>
        <w:tc>
          <w:tcPr>
            <w:tcW w:w="566"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957" w:hRule="atLeast"/>
        </w:trPr>
        <w:tc>
          <w:tcPr>
            <w:tcW w:w="524"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2</w:t>
            </w:r>
          </w:p>
        </w:tc>
        <w:tc>
          <w:tcPr>
            <w:tcW w:w="84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行政确认</w:t>
            </w:r>
          </w:p>
        </w:tc>
        <w:tc>
          <w:tcPr>
            <w:tcW w:w="1138"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确认特定时段开行包车或者加班车资质</w:t>
            </w:r>
          </w:p>
        </w:tc>
        <w:tc>
          <w:tcPr>
            <w:tcW w:w="3137"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《道路旅客运输及客运站管理规定》（中华人民共和国交通运输部令2022年第33号）第三十六条</w:t>
            </w:r>
          </w:p>
        </w:tc>
        <w:tc>
          <w:tcPr>
            <w:tcW w:w="1138"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省交通运输厅</w:t>
            </w:r>
          </w:p>
        </w:tc>
        <w:tc>
          <w:tcPr>
            <w:tcW w:w="96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市级、县级</w:t>
            </w:r>
          </w:p>
        </w:tc>
        <w:tc>
          <w:tcPr>
            <w:tcW w:w="3983"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1.</w:t>
            </w:r>
            <w:r>
              <w:rPr>
                <w:rFonts w:hint="eastAsia" w:ascii="仿宋_GB2312" w:hAnsi="仿宋_GB2312" w:eastAsia="仿宋_GB2312" w:cs="仿宋_GB2312"/>
                <w:sz w:val="18"/>
                <w:szCs w:val="18"/>
              </w:rPr>
              <w:t xml:space="preserve">受理环节责任：接收人员及时记录登记并向相关领导汇报。  </w:t>
            </w:r>
          </w:p>
          <w:p>
            <w:pPr>
              <w:autoSpaceDN w:val="0"/>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2.</w:t>
            </w:r>
            <w:r>
              <w:rPr>
                <w:rFonts w:hint="eastAsia" w:ascii="仿宋_GB2312" w:hAnsi="仿宋_GB2312" w:eastAsia="仿宋_GB2312" w:cs="仿宋_GB2312"/>
                <w:sz w:val="18"/>
                <w:szCs w:val="18"/>
              </w:rPr>
              <w:t>审查环节责任：审查客运车辆调配计划。</w:t>
            </w:r>
          </w:p>
          <w:p>
            <w:pPr>
              <w:autoSpaceDN w:val="0"/>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3.</w:t>
            </w:r>
            <w:r>
              <w:rPr>
                <w:rFonts w:hint="eastAsia" w:ascii="仿宋_GB2312" w:hAnsi="仿宋_GB2312" w:eastAsia="仿宋_GB2312" w:cs="仿宋_GB2312"/>
                <w:sz w:val="18"/>
                <w:szCs w:val="18"/>
              </w:rPr>
              <w:t>决定环节责任：按照上级指令及领导指示下达具体车辆数量及类型；</w:t>
            </w:r>
          </w:p>
          <w:p>
            <w:pPr>
              <w:autoSpaceDN w:val="0"/>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4.</w:t>
            </w:r>
            <w:r>
              <w:rPr>
                <w:rFonts w:hint="eastAsia" w:ascii="仿宋_GB2312" w:hAnsi="仿宋_GB2312" w:eastAsia="仿宋_GB2312" w:cs="仿宋_GB2312"/>
                <w:sz w:val="18"/>
                <w:szCs w:val="18"/>
              </w:rPr>
              <w:t>送达环节责任：按要求及时将指令及时送达。</w:t>
            </w:r>
          </w:p>
          <w:p>
            <w:pPr>
              <w:autoSpaceDN w:val="0"/>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5.</w:t>
            </w:r>
            <w:r>
              <w:rPr>
                <w:rFonts w:hint="eastAsia" w:ascii="仿宋_GB2312" w:hAnsi="仿宋_GB2312" w:eastAsia="仿宋_GB2312" w:cs="仿宋_GB2312"/>
                <w:sz w:val="18"/>
                <w:szCs w:val="18"/>
              </w:rPr>
              <w:t>落实环节责任：按照计划下达指令调度车辆落实。</w:t>
            </w:r>
            <w:r>
              <w:rPr>
                <w:rFonts w:ascii="仿宋_GB2312" w:hAnsi="仿宋_GB2312" w:eastAsia="仿宋_GB2312" w:cs="仿宋_GB2312"/>
                <w:sz w:val="18"/>
                <w:szCs w:val="18"/>
              </w:rPr>
              <w:t>6.</w:t>
            </w:r>
            <w:r>
              <w:rPr>
                <w:rFonts w:hint="eastAsia" w:ascii="仿宋_GB2312" w:hAnsi="仿宋_GB2312" w:eastAsia="仿宋_GB2312" w:cs="仿宋_GB2312"/>
                <w:sz w:val="18"/>
                <w:szCs w:val="18"/>
              </w:rPr>
              <w:t>其他法律法规规章文件规定应履行的责任：</w:t>
            </w:r>
          </w:p>
        </w:tc>
        <w:tc>
          <w:tcPr>
            <w:tcW w:w="340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1.</w:t>
            </w:r>
            <w:r>
              <w:rPr>
                <w:rFonts w:hint="eastAsia" w:ascii="仿宋_GB2312" w:hAnsi="仿宋_GB2312" w:eastAsia="仿宋_GB2312" w:cs="仿宋_GB2312"/>
                <w:sz w:val="18"/>
                <w:szCs w:val="18"/>
              </w:rPr>
              <w:t>对符合受理条件的行政确认申请不予受理；</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2.</w:t>
            </w:r>
            <w:r>
              <w:rPr>
                <w:rFonts w:hint="eastAsia" w:ascii="仿宋_GB2312" w:hAnsi="仿宋_GB2312" w:eastAsia="仿宋_GB2312" w:cs="仿宋_GB2312"/>
                <w:sz w:val="18"/>
                <w:szCs w:val="18"/>
              </w:rPr>
              <w:t>对不符合条件的受理、办理的情形；</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3.</w:t>
            </w:r>
            <w:r>
              <w:rPr>
                <w:rFonts w:hint="eastAsia" w:ascii="仿宋_GB2312" w:hAnsi="仿宋_GB2312" w:eastAsia="仿宋_GB2312" w:cs="仿宋_GB2312"/>
                <w:sz w:val="18"/>
                <w:szCs w:val="18"/>
              </w:rPr>
              <w:t>未严格按照相关政策、法律、法规履行审查义务，对应当予以确认的不予确认，或者对不应确认的予以确认；</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4.</w:t>
            </w:r>
            <w:r>
              <w:rPr>
                <w:rFonts w:hint="eastAsia" w:ascii="仿宋_GB2312" w:hAnsi="仿宋_GB2312" w:eastAsia="仿宋_GB2312" w:cs="仿宋_GB2312"/>
                <w:sz w:val="18"/>
                <w:szCs w:val="18"/>
              </w:rPr>
              <w:t>在审查过程中玩忽职守、滥用职权的；</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5.</w:t>
            </w:r>
            <w:r>
              <w:rPr>
                <w:rFonts w:hint="eastAsia" w:ascii="仿宋_GB2312" w:hAnsi="仿宋_GB2312" w:eastAsia="仿宋_GB2312" w:cs="仿宋_GB2312"/>
                <w:sz w:val="18"/>
                <w:szCs w:val="18"/>
              </w:rPr>
              <w:t>在行使行政权力过程中发生腐败行为的；</w:t>
            </w:r>
          </w:p>
          <w:p>
            <w:pPr>
              <w:autoSpaceDN w:val="0"/>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6.</w:t>
            </w:r>
            <w:r>
              <w:rPr>
                <w:rFonts w:hint="eastAsia" w:ascii="仿宋_GB2312" w:hAnsi="仿宋_GB2312" w:eastAsia="仿宋_GB2312" w:cs="仿宋_GB2312"/>
                <w:sz w:val="18"/>
                <w:szCs w:val="18"/>
              </w:rPr>
              <w:t>其他违反法律法规规章文件规定的行为。</w:t>
            </w:r>
          </w:p>
        </w:tc>
        <w:tc>
          <w:tcPr>
            <w:tcW w:w="566"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957" w:hRule="atLeast"/>
        </w:trPr>
        <w:tc>
          <w:tcPr>
            <w:tcW w:w="524"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3</w:t>
            </w:r>
          </w:p>
        </w:tc>
        <w:tc>
          <w:tcPr>
            <w:tcW w:w="84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行政确认</w:t>
            </w:r>
          </w:p>
        </w:tc>
        <w:tc>
          <w:tcPr>
            <w:tcW w:w="1138"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公路工程竣工质量复测</w:t>
            </w:r>
          </w:p>
        </w:tc>
        <w:tc>
          <w:tcPr>
            <w:tcW w:w="3137"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《中华人民共和国船员培训管理规则》第七条</w:t>
            </w:r>
          </w:p>
        </w:tc>
        <w:tc>
          <w:tcPr>
            <w:tcW w:w="1138"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省交通运输厅</w:t>
            </w:r>
          </w:p>
        </w:tc>
        <w:tc>
          <w:tcPr>
            <w:tcW w:w="96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市级、县级</w:t>
            </w:r>
          </w:p>
        </w:tc>
        <w:tc>
          <w:tcPr>
            <w:tcW w:w="3983"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1.</w:t>
            </w:r>
            <w:r>
              <w:rPr>
                <w:rFonts w:hint="eastAsia" w:ascii="仿宋_GB2312" w:hAnsi="仿宋_GB2312" w:eastAsia="仿宋_GB2312" w:cs="仿宋_GB2312"/>
                <w:sz w:val="18"/>
                <w:szCs w:val="18"/>
              </w:rPr>
              <w:t>受理责任：对公路水运工程竣工验收前，根据交通运输主管部门拟定的验收工作计划，受理对工程质量复测工作。</w:t>
            </w:r>
          </w:p>
          <w:p>
            <w:pPr>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 xml:space="preserve">2.复测责任：对符合竣工验收复测条件的公路工程，组织复测，出具项目工程质量鉴定报告和项目工程质量监督管理工作报告。                  3.送达责任：对完成的项目工程质量鉴定报告和项目工程质量监督管理工作报告及时送达到交通运输主管部门。  </w:t>
            </w:r>
          </w:p>
        </w:tc>
        <w:tc>
          <w:tcPr>
            <w:tcW w:w="340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1.</w:t>
            </w:r>
            <w:r>
              <w:rPr>
                <w:rFonts w:hint="eastAsia" w:ascii="仿宋_GB2312" w:hAnsi="仿宋_GB2312" w:eastAsia="仿宋_GB2312" w:cs="仿宋_GB2312"/>
                <w:sz w:val="18"/>
                <w:szCs w:val="18"/>
              </w:rPr>
              <w:t>对符合受理条件的行政确认申请不予受理；</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2.</w:t>
            </w:r>
            <w:r>
              <w:rPr>
                <w:rFonts w:hint="eastAsia" w:ascii="仿宋_GB2312" w:hAnsi="仿宋_GB2312" w:eastAsia="仿宋_GB2312" w:cs="仿宋_GB2312"/>
                <w:sz w:val="18"/>
                <w:szCs w:val="18"/>
              </w:rPr>
              <w:t>对不符合条件的受理、办理的情形；</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3.</w:t>
            </w:r>
            <w:r>
              <w:rPr>
                <w:rFonts w:hint="eastAsia" w:ascii="仿宋_GB2312" w:hAnsi="仿宋_GB2312" w:eastAsia="仿宋_GB2312" w:cs="仿宋_GB2312"/>
                <w:sz w:val="18"/>
                <w:szCs w:val="18"/>
              </w:rPr>
              <w:t>未严格按照相关政策、法律、法规履行审查义务，对应当予以确认的不予确认，或者对不应确认的予以确认；</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4.</w:t>
            </w:r>
            <w:r>
              <w:rPr>
                <w:rFonts w:hint="eastAsia" w:ascii="仿宋_GB2312" w:hAnsi="仿宋_GB2312" w:eastAsia="仿宋_GB2312" w:cs="仿宋_GB2312"/>
                <w:sz w:val="18"/>
                <w:szCs w:val="18"/>
              </w:rPr>
              <w:t>在审查过程中玩忽职守、滥用职权的；</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5.</w:t>
            </w:r>
            <w:r>
              <w:rPr>
                <w:rFonts w:hint="eastAsia" w:ascii="仿宋_GB2312" w:hAnsi="仿宋_GB2312" w:eastAsia="仿宋_GB2312" w:cs="仿宋_GB2312"/>
                <w:sz w:val="18"/>
                <w:szCs w:val="18"/>
              </w:rPr>
              <w:t>在行使行政权力过程中发生腐败行为的；</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6.</w:t>
            </w:r>
            <w:r>
              <w:rPr>
                <w:rFonts w:hint="eastAsia" w:ascii="仿宋_GB2312" w:hAnsi="仿宋_GB2312" w:eastAsia="仿宋_GB2312" w:cs="仿宋_GB2312"/>
                <w:sz w:val="18"/>
                <w:szCs w:val="18"/>
              </w:rPr>
              <w:t>其他违反法律法规规章文件规定的行为。</w:t>
            </w:r>
          </w:p>
        </w:tc>
        <w:tc>
          <w:tcPr>
            <w:tcW w:w="566"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957" w:hRule="atLeast"/>
        </w:trPr>
        <w:tc>
          <w:tcPr>
            <w:tcW w:w="524"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4</w:t>
            </w:r>
          </w:p>
        </w:tc>
        <w:tc>
          <w:tcPr>
            <w:tcW w:w="84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行政确认</w:t>
            </w:r>
          </w:p>
        </w:tc>
        <w:tc>
          <w:tcPr>
            <w:tcW w:w="1138"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公路工程交工质量核验</w:t>
            </w:r>
          </w:p>
        </w:tc>
        <w:tc>
          <w:tcPr>
            <w:tcW w:w="3137"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《公路水运工程质量监督管理规定》(交通运输部令[2017]28号)第二十五条</w:t>
            </w:r>
          </w:p>
        </w:tc>
        <w:tc>
          <w:tcPr>
            <w:tcW w:w="1138"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省交通运输厅</w:t>
            </w:r>
          </w:p>
        </w:tc>
        <w:tc>
          <w:tcPr>
            <w:tcW w:w="96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市级、县级</w:t>
            </w:r>
          </w:p>
        </w:tc>
        <w:tc>
          <w:tcPr>
            <w:tcW w:w="3983"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1</w:t>
            </w:r>
            <w:r>
              <w:rPr>
                <w:rFonts w:ascii="仿宋_GB2312" w:hAnsi="仿宋_GB2312" w:eastAsia="仿宋_GB2312" w:cs="仿宋_GB2312"/>
                <w:sz w:val="18"/>
                <w:szCs w:val="18"/>
              </w:rPr>
              <w:t>.</w:t>
            </w:r>
            <w:r>
              <w:rPr>
                <w:rFonts w:hint="eastAsia" w:ascii="仿宋_GB2312" w:hAnsi="仿宋_GB2312" w:eastAsia="仿宋_GB2312" w:cs="仿宋_GB2312"/>
                <w:sz w:val="18"/>
                <w:szCs w:val="18"/>
              </w:rPr>
              <w:t>受理责任：公示应当提交的材料，一次性告知补正材料，依法受理或不予受理，不予受理应当告知理由。</w:t>
            </w:r>
          </w:p>
          <w:p>
            <w:pPr>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2</w:t>
            </w:r>
            <w:r>
              <w:rPr>
                <w:rFonts w:ascii="仿宋_GB2312" w:hAnsi="仿宋_GB2312" w:eastAsia="仿宋_GB2312" w:cs="仿宋_GB2312"/>
                <w:sz w:val="18"/>
                <w:szCs w:val="18"/>
              </w:rPr>
              <w:t>.</w:t>
            </w:r>
            <w:r>
              <w:rPr>
                <w:rFonts w:hint="eastAsia" w:ascii="仿宋_GB2312" w:hAnsi="仿宋_GB2312" w:eastAsia="仿宋_GB2312" w:cs="仿宋_GB2312"/>
                <w:sz w:val="18"/>
                <w:szCs w:val="18"/>
              </w:rPr>
              <w:t>审核责任：依法组织检验。</w:t>
            </w:r>
            <w:r>
              <w:rPr>
                <w:rFonts w:ascii="仿宋_GB2312" w:hAnsi="仿宋_GB2312" w:eastAsia="仿宋_GB2312" w:cs="仿宋_GB2312"/>
                <w:sz w:val="18"/>
                <w:szCs w:val="18"/>
              </w:rPr>
              <w:t>3.</w:t>
            </w:r>
            <w:r>
              <w:rPr>
                <w:rFonts w:hint="eastAsia" w:ascii="仿宋_GB2312" w:hAnsi="仿宋_GB2312" w:eastAsia="仿宋_GB2312" w:cs="仿宋_GB2312"/>
                <w:sz w:val="18"/>
                <w:szCs w:val="18"/>
              </w:rPr>
              <w:t>出具意见责任：符合要求的，依法出具工程交工质量核验意见。</w:t>
            </w:r>
          </w:p>
        </w:tc>
        <w:tc>
          <w:tcPr>
            <w:tcW w:w="340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1.</w:t>
            </w:r>
            <w:r>
              <w:rPr>
                <w:rFonts w:hint="eastAsia" w:ascii="仿宋_GB2312" w:hAnsi="仿宋_GB2312" w:eastAsia="仿宋_GB2312" w:cs="仿宋_GB2312"/>
                <w:sz w:val="18"/>
                <w:szCs w:val="18"/>
              </w:rPr>
              <w:t>对符合受理条件的行政确认申请不予受理；</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2.</w:t>
            </w:r>
            <w:r>
              <w:rPr>
                <w:rFonts w:hint="eastAsia" w:ascii="仿宋_GB2312" w:hAnsi="仿宋_GB2312" w:eastAsia="仿宋_GB2312" w:cs="仿宋_GB2312"/>
                <w:sz w:val="18"/>
                <w:szCs w:val="18"/>
              </w:rPr>
              <w:t>对不符合条件的受理、办理的情形；</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3.</w:t>
            </w:r>
            <w:r>
              <w:rPr>
                <w:rFonts w:hint="eastAsia" w:ascii="仿宋_GB2312" w:hAnsi="仿宋_GB2312" w:eastAsia="仿宋_GB2312" w:cs="仿宋_GB2312"/>
                <w:sz w:val="18"/>
                <w:szCs w:val="18"/>
              </w:rPr>
              <w:t>未严格按照相关政策、法律、法规履行审查义务，对应当予以确认的不予确认，或者对不应确认的予以确认；</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4.</w:t>
            </w:r>
            <w:r>
              <w:rPr>
                <w:rFonts w:hint="eastAsia" w:ascii="仿宋_GB2312" w:hAnsi="仿宋_GB2312" w:eastAsia="仿宋_GB2312" w:cs="仿宋_GB2312"/>
                <w:sz w:val="18"/>
                <w:szCs w:val="18"/>
              </w:rPr>
              <w:t>在审查过程中玩忽职守、滥用职权的；</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5.</w:t>
            </w:r>
            <w:r>
              <w:rPr>
                <w:rFonts w:hint="eastAsia" w:ascii="仿宋_GB2312" w:hAnsi="仿宋_GB2312" w:eastAsia="仿宋_GB2312" w:cs="仿宋_GB2312"/>
                <w:sz w:val="18"/>
                <w:szCs w:val="18"/>
              </w:rPr>
              <w:t>在行使行政权力过程中发生腐败行为的；</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6.</w:t>
            </w:r>
            <w:r>
              <w:rPr>
                <w:rFonts w:hint="eastAsia" w:ascii="仿宋_GB2312" w:hAnsi="仿宋_GB2312" w:eastAsia="仿宋_GB2312" w:cs="仿宋_GB2312"/>
                <w:sz w:val="18"/>
                <w:szCs w:val="18"/>
              </w:rPr>
              <w:t>其他违反法律法规规章文件规定的行为。</w:t>
            </w:r>
          </w:p>
        </w:tc>
        <w:tc>
          <w:tcPr>
            <w:tcW w:w="566"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957" w:hRule="atLeast"/>
        </w:trPr>
        <w:tc>
          <w:tcPr>
            <w:tcW w:w="524"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hint="eastAsia"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5</w:t>
            </w:r>
          </w:p>
        </w:tc>
        <w:tc>
          <w:tcPr>
            <w:tcW w:w="84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行政确认</w:t>
            </w:r>
          </w:p>
        </w:tc>
        <w:tc>
          <w:tcPr>
            <w:tcW w:w="1138"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对在公路桥梁跨越的河道上下游各500米范围内依法进行疏浚作业的公路桥梁安全确认</w:t>
            </w:r>
          </w:p>
        </w:tc>
        <w:tc>
          <w:tcPr>
            <w:tcW w:w="3137"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《公路安全保护条例》(国务院令第593号)第二十一条</w:t>
            </w:r>
          </w:p>
        </w:tc>
        <w:tc>
          <w:tcPr>
            <w:tcW w:w="1138"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省交通运输厅</w:t>
            </w:r>
          </w:p>
        </w:tc>
        <w:tc>
          <w:tcPr>
            <w:tcW w:w="965"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pPr>
              <w:autoSpaceDN w:val="0"/>
              <w:spacing w:line="240" w:lineRule="exact"/>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市级、县级</w:t>
            </w:r>
          </w:p>
        </w:tc>
        <w:tc>
          <w:tcPr>
            <w:tcW w:w="398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1</w:t>
            </w:r>
            <w:r>
              <w:rPr>
                <w:rFonts w:ascii="仿宋_GB2312" w:hAnsi="仿宋_GB2312" w:eastAsia="仿宋_GB2312" w:cs="仿宋_GB2312"/>
                <w:sz w:val="18"/>
                <w:szCs w:val="18"/>
              </w:rPr>
              <w:t>.</w:t>
            </w:r>
            <w:r>
              <w:rPr>
                <w:rFonts w:hint="eastAsia" w:ascii="仿宋_GB2312" w:hAnsi="仿宋_GB2312" w:eastAsia="仿宋_GB2312" w:cs="仿宋_GB2312"/>
                <w:sz w:val="18"/>
                <w:szCs w:val="18"/>
              </w:rPr>
              <w:t>受理责任：公示应当提交的材料，一次性告知补正材料，依法受理或不予受理，不予受理应当告知理由。</w:t>
            </w:r>
          </w:p>
          <w:p>
            <w:pPr>
              <w:widowControl/>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2</w:t>
            </w:r>
            <w:r>
              <w:rPr>
                <w:rFonts w:ascii="仿宋_GB2312" w:hAnsi="仿宋_GB2312" w:eastAsia="仿宋_GB2312" w:cs="仿宋_GB2312"/>
                <w:sz w:val="18"/>
                <w:szCs w:val="18"/>
              </w:rPr>
              <w:t>.</w:t>
            </w:r>
            <w:r>
              <w:rPr>
                <w:rFonts w:hint="eastAsia" w:ascii="仿宋_GB2312" w:hAnsi="仿宋_GB2312" w:eastAsia="仿宋_GB2312" w:cs="仿宋_GB2312"/>
                <w:sz w:val="18"/>
                <w:szCs w:val="18"/>
              </w:rPr>
              <w:t>审查责任：审查是否符合法定条件，是否符合公路桥梁安全要求，提出审查意见。</w:t>
            </w:r>
          </w:p>
          <w:p>
            <w:pPr>
              <w:widowControl/>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3</w:t>
            </w:r>
            <w:r>
              <w:rPr>
                <w:rFonts w:ascii="仿宋_GB2312" w:hAnsi="仿宋_GB2312" w:eastAsia="仿宋_GB2312" w:cs="仿宋_GB2312"/>
                <w:sz w:val="18"/>
                <w:szCs w:val="18"/>
              </w:rPr>
              <w:t>.</w:t>
            </w:r>
            <w:r>
              <w:rPr>
                <w:rFonts w:hint="eastAsia" w:ascii="仿宋_GB2312" w:hAnsi="仿宋_GB2312" w:eastAsia="仿宋_GB2312" w:cs="仿宋_GB2312"/>
                <w:sz w:val="18"/>
                <w:szCs w:val="18"/>
              </w:rPr>
              <w:t>决定责任:依法作出能否确认安全的决定。</w:t>
            </w:r>
          </w:p>
          <w:p>
            <w:pPr>
              <w:widowControl/>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4</w:t>
            </w:r>
            <w:r>
              <w:rPr>
                <w:rFonts w:ascii="仿宋_GB2312" w:hAnsi="仿宋_GB2312" w:eastAsia="仿宋_GB2312" w:cs="仿宋_GB2312"/>
                <w:sz w:val="18"/>
                <w:szCs w:val="18"/>
              </w:rPr>
              <w:t>.</w:t>
            </w:r>
            <w:r>
              <w:rPr>
                <w:rFonts w:hint="eastAsia" w:ascii="仿宋_GB2312" w:hAnsi="仿宋_GB2312" w:eastAsia="仿宋_GB2312" w:cs="仿宋_GB2312"/>
                <w:sz w:val="18"/>
                <w:szCs w:val="18"/>
              </w:rPr>
              <w:t>送达责任:对确</w:t>
            </w:r>
            <w:bookmarkStart w:id="0" w:name="_GoBack"/>
            <w:bookmarkEnd w:id="0"/>
            <w:r>
              <w:rPr>
                <w:rFonts w:hint="eastAsia" w:ascii="仿宋_GB2312" w:hAnsi="仿宋_GB2312" w:eastAsia="仿宋_GB2312" w:cs="仿宋_GB2312"/>
                <w:sz w:val="18"/>
                <w:szCs w:val="18"/>
              </w:rPr>
              <w:t>认结果进行反馈。</w:t>
            </w:r>
          </w:p>
        </w:tc>
        <w:tc>
          <w:tcPr>
            <w:tcW w:w="340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_GB2312" w:hAnsi="仿宋_GB2312" w:eastAsia="仿宋_GB2312" w:cs="仿宋_GB2312"/>
                <w:sz w:val="18"/>
                <w:szCs w:val="18"/>
              </w:rPr>
            </w:pPr>
            <w:r>
              <w:rPr>
                <w:rFonts w:hint="eastAsia" w:ascii="仿宋_GB2312" w:hAnsi="仿宋_GB2312" w:eastAsia="仿宋_GB2312" w:cs="仿宋_GB2312"/>
                <w:sz w:val="18"/>
                <w:szCs w:val="18"/>
              </w:rPr>
              <w:t>因不履行或不正确履行行政职责，有下列情形的，行政机关及相关工作人员应承担相应责任：</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1.</w:t>
            </w:r>
            <w:r>
              <w:rPr>
                <w:rFonts w:hint="eastAsia" w:ascii="仿宋_GB2312" w:hAnsi="仿宋_GB2312" w:eastAsia="仿宋_GB2312" w:cs="仿宋_GB2312"/>
                <w:sz w:val="18"/>
                <w:szCs w:val="18"/>
              </w:rPr>
              <w:t>对符合受理条件的行政确认申请不予受理；</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2.</w:t>
            </w:r>
            <w:r>
              <w:rPr>
                <w:rFonts w:hint="eastAsia" w:ascii="仿宋_GB2312" w:hAnsi="仿宋_GB2312" w:eastAsia="仿宋_GB2312" w:cs="仿宋_GB2312"/>
                <w:sz w:val="18"/>
                <w:szCs w:val="18"/>
              </w:rPr>
              <w:t>对不符合条件的受理、办理的情形；</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3.</w:t>
            </w:r>
            <w:r>
              <w:rPr>
                <w:rFonts w:hint="eastAsia" w:ascii="仿宋_GB2312" w:hAnsi="仿宋_GB2312" w:eastAsia="仿宋_GB2312" w:cs="仿宋_GB2312"/>
                <w:sz w:val="18"/>
                <w:szCs w:val="18"/>
              </w:rPr>
              <w:t>未严格按照相关政策、法律、法规履行审查义务，对应当予以确认的不予确认，或者对不应确认的予以确认；</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4.</w:t>
            </w:r>
            <w:r>
              <w:rPr>
                <w:rFonts w:hint="eastAsia" w:ascii="仿宋_GB2312" w:hAnsi="仿宋_GB2312" w:eastAsia="仿宋_GB2312" w:cs="仿宋_GB2312"/>
                <w:sz w:val="18"/>
                <w:szCs w:val="18"/>
              </w:rPr>
              <w:t>在审查过程中玩忽职守、滥用职权的；</w:t>
            </w:r>
          </w:p>
          <w:p>
            <w:pPr>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5.</w:t>
            </w:r>
            <w:r>
              <w:rPr>
                <w:rFonts w:hint="eastAsia" w:ascii="仿宋_GB2312" w:hAnsi="仿宋_GB2312" w:eastAsia="仿宋_GB2312" w:cs="仿宋_GB2312"/>
                <w:sz w:val="18"/>
                <w:szCs w:val="18"/>
              </w:rPr>
              <w:t>在行使行政权力过程中发生腐败行为的；</w:t>
            </w:r>
          </w:p>
          <w:p>
            <w:pPr>
              <w:autoSpaceDN w:val="0"/>
              <w:spacing w:line="240" w:lineRule="exact"/>
              <w:jc w:val="left"/>
              <w:rPr>
                <w:rFonts w:ascii="仿宋_GB2312" w:hAnsi="仿宋_GB2312" w:eastAsia="仿宋_GB2312" w:cs="仿宋_GB2312"/>
                <w:sz w:val="18"/>
                <w:szCs w:val="18"/>
              </w:rPr>
            </w:pPr>
            <w:r>
              <w:rPr>
                <w:rFonts w:ascii="仿宋_GB2312" w:hAnsi="仿宋_GB2312" w:eastAsia="仿宋_GB2312" w:cs="仿宋_GB2312"/>
                <w:sz w:val="18"/>
                <w:szCs w:val="18"/>
              </w:rPr>
              <w:t>6.</w:t>
            </w:r>
            <w:r>
              <w:rPr>
                <w:rFonts w:hint="eastAsia" w:ascii="仿宋_GB2312" w:hAnsi="仿宋_GB2312" w:eastAsia="仿宋_GB2312" w:cs="仿宋_GB2312"/>
                <w:sz w:val="18"/>
                <w:szCs w:val="18"/>
              </w:rPr>
              <w:t>其他违反法律法规规章文件规定的行为。</w:t>
            </w:r>
          </w:p>
        </w:tc>
        <w:tc>
          <w:tcPr>
            <w:tcW w:w="566" w:type="dxa"/>
            <w:tcBorders>
              <w:top w:val="single" w:color="auto" w:sz="4" w:space="0"/>
              <w:left w:val="single" w:color="auto" w:sz="4" w:space="0"/>
              <w:bottom w:val="single" w:color="auto" w:sz="4" w:space="0"/>
              <w:right w:val="single" w:color="auto" w:sz="4" w:space="0"/>
            </w:tcBorders>
            <w:vAlign w:val="center"/>
          </w:tcPr>
          <w:p>
            <w:pPr>
              <w:autoSpaceDN w:val="0"/>
              <w:spacing w:line="240" w:lineRule="exact"/>
              <w:jc w:val="center"/>
              <w:rPr>
                <w:rFonts w:ascii="仿宋_GB2312" w:hAnsi="仿宋_GB2312" w:eastAsia="仿宋_GB2312" w:cs="仿宋_GB2312"/>
                <w:sz w:val="18"/>
                <w:szCs w:val="18"/>
              </w:rPr>
            </w:pPr>
          </w:p>
        </w:tc>
      </w:tr>
    </w:tbl>
    <w:p>
      <w:pPr>
        <w:spacing w:line="240" w:lineRule="exact"/>
        <w:rPr>
          <w:rFonts w:ascii="仿宋_GB2312" w:hAnsi="仿宋_GB2312" w:eastAsia="仿宋_GB2312" w:cs="仿宋_GB2312"/>
          <w:sz w:val="18"/>
          <w:szCs w:val="18"/>
        </w:rPr>
      </w:pPr>
    </w:p>
    <w:sectPr>
      <w:footerReference r:id="rId5" w:type="first"/>
      <w:footerReference r:id="rId3" w:type="default"/>
      <w:footerReference r:id="rId4" w:type="even"/>
      <w:pgSz w:w="16838" w:h="11906" w:orient="landscape"/>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pPr>
    <w:r>
      <w:rPr>
        <w:rStyle w:val="9"/>
      </w:rPr>
      <w:fldChar w:fldCharType="begin"/>
    </w:r>
    <w:r>
      <w:rPr>
        <w:rStyle w:val="9"/>
      </w:rPr>
      <w:instrText xml:space="preserve">Page</w:instrText>
    </w:r>
    <w:r>
      <w:rPr>
        <w:rStyle w:val="9"/>
      </w:rPr>
      <w:fldChar w:fldCharType="separate"/>
    </w:r>
    <w:r>
      <w:rPr>
        <w:rStyle w:val="9"/>
      </w:rPr>
      <w:t>4</w:t>
    </w:r>
    <w:r>
      <w:rPr>
        <w:rStyle w:val="9"/>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pPr>
    <w:r>
      <w:rPr>
        <w:rStyle w:val="9"/>
      </w:rPr>
      <w:fldChar w:fldCharType="begin"/>
    </w:r>
    <w:r>
      <w:rPr>
        <w:rStyle w:val="9"/>
      </w:rPr>
      <w:instrText xml:space="preserve">Page</w:instrText>
    </w:r>
    <w:r>
      <w:rPr>
        <w:rStyle w:val="9"/>
      </w:rPr>
      <w:fldChar w:fldCharType="separate"/>
    </w:r>
    <w:r>
      <w:rPr>
        <w:rStyle w:val="9"/>
      </w:rPr>
      <w:t>1</w:t>
    </w:r>
    <w:r>
      <w:rPr>
        <w:rStyle w:val="9"/>
      </w:rPr>
      <w:fldChar w:fldCharType="end"/>
    </w:r>
  </w:p>
  <w:p>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pPr>
    <w:r>
      <w:rPr>
        <w:rStyle w:val="9"/>
      </w:rPr>
      <w:fldChar w:fldCharType="begin"/>
    </w:r>
    <w:r>
      <w:rPr>
        <w:rStyle w:val="9"/>
      </w:rPr>
      <w:instrText xml:space="preserve">Page</w:instrText>
    </w:r>
    <w:r>
      <w:rPr>
        <w:rStyle w:val="9"/>
      </w:rPr>
      <w:fldChar w:fldCharType="separate"/>
    </w:r>
    <w:r>
      <w:rPr>
        <w:rStyle w:val="9"/>
      </w:rPr>
      <w:t>1</w:t>
    </w:r>
    <w:r>
      <w:rPr>
        <w:rStyle w:val="9"/>
      </w:rPr>
      <w:fldChar w:fldCharType="end"/>
    </w:r>
  </w:p>
  <w:p>
    <w:pPr>
      <w:pStyle w:val="5"/>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embedSystem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xOTc2NDk4NTg3NmU0YTlmNzk2ZmUyOGU5N2E2YmMifQ=="/>
  </w:docVars>
  <w:rsids>
    <w:rsidRoot w:val="009929AF"/>
    <w:rsid w:val="002C3A2E"/>
    <w:rsid w:val="002E5A61"/>
    <w:rsid w:val="007C3554"/>
    <w:rsid w:val="009273F3"/>
    <w:rsid w:val="009929AF"/>
    <w:rsid w:val="00D00744"/>
    <w:rsid w:val="00EA77A1"/>
    <w:rsid w:val="0AA162B4"/>
    <w:rsid w:val="136C3111"/>
    <w:rsid w:val="16BA69AF"/>
    <w:rsid w:val="1ECF5DD3"/>
    <w:rsid w:val="25373533"/>
    <w:rsid w:val="3AD912BD"/>
    <w:rsid w:val="3BFDA053"/>
    <w:rsid w:val="596D4926"/>
    <w:rsid w:val="5EF7D10B"/>
    <w:rsid w:val="6ED7E910"/>
    <w:rsid w:val="70EC06B1"/>
    <w:rsid w:val="73CF0745"/>
    <w:rsid w:val="7DF04FAA"/>
    <w:rsid w:val="7FA2190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8">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5">
    <w:name w:val="footer"/>
    <w:basedOn w:val="1"/>
    <w:qFormat/>
    <w:uiPriority w:val="0"/>
    <w:pPr>
      <w:tabs>
        <w:tab w:val="center" w:pos="4153"/>
        <w:tab w:val="right" w:pos="8307"/>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7"/>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cs="宋体"/>
      <w:kern w:val="0"/>
      <w:sz w:val="24"/>
    </w:rPr>
  </w:style>
  <w:style w:type="character" w:styleId="9">
    <w:name w:val="page number"/>
    <w:basedOn w:val="8"/>
    <w:qFormat/>
    <w:uiPriority w:val="0"/>
  </w:style>
  <w:style w:type="paragraph" w:customStyle="1" w:styleId="11">
    <w:name w:val="Table Paragraph"/>
    <w:basedOn w:val="1"/>
    <w:qFormat/>
    <w:uiPriority w:val="0"/>
    <w:pPr>
      <w:autoSpaceDE w:val="0"/>
      <w:autoSpaceDN w:val="0"/>
      <w:jc w:val="left"/>
    </w:pPr>
    <w:rPr>
      <w:rFonts w:ascii="宋体" w:cs="宋体"/>
      <w:kern w:val="0"/>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398</Words>
  <Characters>2275</Characters>
  <Lines>18</Lines>
  <Paragraphs>5</Paragraphs>
  <TotalTime>0</TotalTime>
  <ScaleCrop>false</ScaleCrop>
  <LinksUpToDate>false</LinksUpToDate>
  <CharactersWithSpaces>2668</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2022-05-01T11:00:00Z</dcterms:created>
  <dc:creator>Windows User</dc:creator>
  <cp:lastModifiedBy>lenovo</cp:lastModifiedBy>
  <cp:lastPrinted>2022-05-12T10:42:00Z</cp:lastPrinted>
  <dcterms:modified xsi:type="dcterms:W3CDTF">2023-09-21T07:57:34Z</dcterms:modified>
  <dc:title>秦皇岛市交通运输系统行政裁决事项权责清单</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y fmtid="{D5CDD505-2E9C-101B-9397-08002B2CF9AE}" pid="3" name="ICV">
    <vt:lpwstr>04589FFCAA794DABA6D95212A5A4AA65</vt:lpwstr>
  </property>
</Properties>
</file>