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15" w:type="dxa"/>
          <w:left w:w="15" w:type="dxa"/>
          <w:bottom w:w="15" w:type="dxa"/>
          <w:right w:w="15" w:type="dxa"/>
        </w:tblCellMar>
      </w:tblPr>
      <w:tblGrid>
        <w:gridCol w:w="544"/>
        <w:gridCol w:w="850"/>
        <w:gridCol w:w="1134"/>
        <w:gridCol w:w="3118"/>
        <w:gridCol w:w="1134"/>
        <w:gridCol w:w="964"/>
        <w:gridCol w:w="3969"/>
        <w:gridCol w:w="3402"/>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567" w:hRule="atLeast"/>
          <w:tblHeader/>
        </w:trPr>
        <w:tc>
          <w:tcPr>
            <w:tcW w:w="544" w:type="dxa"/>
            <w:tcBorders>
              <w:tl2br w:val="nil"/>
              <w:tr2bl w:val="nil"/>
            </w:tcBorders>
            <w:shd w:val="clear" w:color="auto" w:fill="auto"/>
            <w:vAlign w:val="center"/>
          </w:tcPr>
          <w:p>
            <w:pPr>
              <w:keepNext w:val="0"/>
              <w:keepLines w:val="0"/>
              <w:widowControl/>
              <w:suppressLineNumbers w:val="0"/>
              <w:jc w:val="center"/>
              <w:textAlignment w:val="center"/>
              <w:rPr>
                <w:rFonts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序</w:t>
            </w:r>
            <w:r>
              <w:rPr>
                <w:rFonts w:hint="eastAsia" w:ascii="黑体" w:hAnsi="宋体" w:eastAsia="黑体" w:cs="黑体"/>
                <w:i w:val="0"/>
                <w:color w:val="000000"/>
                <w:kern w:val="0"/>
                <w:sz w:val="24"/>
                <w:szCs w:val="24"/>
                <w:highlight w:val="none"/>
                <w:u w:val="none"/>
                <w:lang w:val="en-US" w:eastAsia="zh-CN" w:bidi="ar"/>
              </w:rPr>
              <w:br w:type="textWrapping"/>
            </w:r>
            <w:r>
              <w:rPr>
                <w:rFonts w:hint="eastAsia" w:ascii="黑体" w:hAnsi="宋体" w:eastAsia="黑体" w:cs="黑体"/>
                <w:i w:val="0"/>
                <w:color w:val="000000"/>
                <w:kern w:val="0"/>
                <w:sz w:val="24"/>
                <w:szCs w:val="24"/>
                <w:highlight w:val="none"/>
                <w:u w:val="none"/>
                <w:lang w:val="en-US" w:eastAsia="zh-CN" w:bidi="ar"/>
              </w:rPr>
              <w:t>号</w:t>
            </w:r>
          </w:p>
        </w:tc>
        <w:tc>
          <w:tcPr>
            <w:tcW w:w="85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权力</w:t>
            </w:r>
            <w:r>
              <w:rPr>
                <w:rFonts w:hint="eastAsia" w:ascii="黑体" w:hAnsi="宋体" w:eastAsia="黑体" w:cs="黑体"/>
                <w:i w:val="0"/>
                <w:color w:val="000000"/>
                <w:kern w:val="0"/>
                <w:sz w:val="24"/>
                <w:szCs w:val="24"/>
                <w:highlight w:val="none"/>
                <w:u w:val="none"/>
                <w:lang w:val="en-US" w:eastAsia="zh-CN" w:bidi="ar"/>
              </w:rPr>
              <w:br w:type="textWrapping"/>
            </w:r>
            <w:r>
              <w:rPr>
                <w:rFonts w:hint="eastAsia" w:ascii="黑体" w:hAnsi="宋体" w:eastAsia="黑体" w:cs="黑体"/>
                <w:i w:val="0"/>
                <w:color w:val="000000"/>
                <w:kern w:val="0"/>
                <w:sz w:val="24"/>
                <w:szCs w:val="24"/>
                <w:highlight w:val="none"/>
                <w:u w:val="none"/>
                <w:lang w:val="en-US" w:eastAsia="zh-CN" w:bidi="ar"/>
              </w:rPr>
              <w:t>类型</w:t>
            </w:r>
          </w:p>
        </w:tc>
        <w:tc>
          <w:tcPr>
            <w:tcW w:w="113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权力</w:t>
            </w:r>
            <w:r>
              <w:rPr>
                <w:rFonts w:hint="eastAsia" w:ascii="黑体" w:hAnsi="宋体" w:eastAsia="黑体" w:cs="黑体"/>
                <w:i w:val="0"/>
                <w:color w:val="000000"/>
                <w:kern w:val="0"/>
                <w:sz w:val="24"/>
                <w:szCs w:val="24"/>
                <w:highlight w:val="none"/>
                <w:u w:val="none"/>
                <w:lang w:val="en-US" w:eastAsia="zh-CN" w:bidi="ar"/>
              </w:rPr>
              <w:br w:type="textWrapping"/>
            </w:r>
            <w:r>
              <w:rPr>
                <w:rFonts w:hint="eastAsia" w:ascii="黑体" w:hAnsi="宋体" w:eastAsia="黑体" w:cs="黑体"/>
                <w:i w:val="0"/>
                <w:color w:val="000000"/>
                <w:kern w:val="0"/>
                <w:sz w:val="24"/>
                <w:szCs w:val="24"/>
                <w:highlight w:val="none"/>
                <w:u w:val="none"/>
                <w:lang w:val="en-US" w:eastAsia="zh-CN" w:bidi="ar"/>
              </w:rPr>
              <w:t>事项</w:t>
            </w:r>
          </w:p>
        </w:tc>
        <w:tc>
          <w:tcPr>
            <w:tcW w:w="311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实施依据</w:t>
            </w:r>
          </w:p>
        </w:tc>
        <w:tc>
          <w:tcPr>
            <w:tcW w:w="113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highlight w:val="none"/>
                <w:u w:val="none"/>
                <w:lang w:val="en-US" w:eastAsia="zh-CN" w:bidi="ar"/>
              </w:rPr>
            </w:pPr>
            <w:r>
              <w:rPr>
                <w:rFonts w:hint="eastAsia" w:ascii="黑体" w:hAnsi="宋体" w:eastAsia="黑体" w:cs="黑体"/>
                <w:i w:val="0"/>
                <w:color w:val="000000"/>
                <w:kern w:val="0"/>
                <w:sz w:val="24"/>
                <w:szCs w:val="24"/>
                <w:highlight w:val="none"/>
                <w:u w:val="none"/>
                <w:lang w:val="en-US" w:eastAsia="zh-CN" w:bidi="ar"/>
              </w:rPr>
              <w:t>省级</w:t>
            </w:r>
          </w:p>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主管部门</w:t>
            </w:r>
          </w:p>
        </w:tc>
        <w:tc>
          <w:tcPr>
            <w:tcW w:w="96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highlight w:val="none"/>
                <w:u w:val="none"/>
                <w:lang w:val="en-US" w:eastAsia="zh-CN" w:bidi="ar"/>
              </w:rPr>
            </w:pPr>
            <w:r>
              <w:rPr>
                <w:rFonts w:hint="eastAsia" w:ascii="黑体" w:hAnsi="宋体" w:eastAsia="黑体" w:cs="黑体"/>
                <w:i w:val="0"/>
                <w:color w:val="000000"/>
                <w:kern w:val="0"/>
                <w:sz w:val="24"/>
                <w:szCs w:val="24"/>
                <w:highlight w:val="none"/>
                <w:u w:val="none"/>
                <w:lang w:val="en-US" w:eastAsia="zh-CN" w:bidi="ar"/>
              </w:rPr>
              <w:t>实施</w:t>
            </w:r>
          </w:p>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层级</w:t>
            </w:r>
          </w:p>
        </w:tc>
        <w:tc>
          <w:tcPr>
            <w:tcW w:w="396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责任事项</w:t>
            </w:r>
          </w:p>
        </w:tc>
        <w:tc>
          <w:tcPr>
            <w:tcW w:w="34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追责情形</w:t>
            </w:r>
          </w:p>
        </w:tc>
        <w:tc>
          <w:tcPr>
            <w:tcW w:w="56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lang w:val="en-US" w:eastAsia="zh-CN"/>
              </w:rPr>
              <w:t>1</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rPr>
              <w:t>行政</w:t>
            </w:r>
            <w:r>
              <w:rPr>
                <w:rFonts w:ascii="仿宋_GB2312" w:hAnsi="仿宋_GB2312" w:eastAsia="仿宋_GB2312" w:cs="仿宋_GB2312"/>
                <w:color w:val="000000"/>
                <w:kern w:val="0"/>
                <w:sz w:val="18"/>
                <w:szCs w:val="18"/>
              </w:rPr>
              <w:br w:type="textWrapping"/>
            </w:r>
            <w:r>
              <w:rPr>
                <w:rFonts w:hint="eastAsia" w:ascii="仿宋_GB2312" w:hAnsi="仿宋_GB2312" w:eastAsia="仿宋_GB2312" w:cs="仿宋_GB2312"/>
                <w:color w:val="000000"/>
                <w:kern w:val="0"/>
                <w:sz w:val="18"/>
                <w:szCs w:val="18"/>
              </w:rPr>
              <w:t>给付</w:t>
            </w:r>
            <w:r>
              <w:rPr>
                <w:rFonts w:ascii="仿宋_GB2312" w:hAnsi="仿宋_GB2312" w:eastAsia="仿宋_GB2312" w:cs="仿宋_GB2312"/>
                <w:color w:val="000000"/>
                <w:kern w:val="0"/>
                <w:sz w:val="18"/>
                <w:szCs w:val="18"/>
              </w:rPr>
              <w:t xml:space="preserve"> </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rPr>
              <w:t>法律援助补贴的支付</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ascii="仿宋_GB2312" w:hAnsi="仿宋_GB2312" w:eastAsia="仿宋_GB2312" w:cs="仿宋_GB2312"/>
                <w:color w:val="000000"/>
                <w:kern w:val="0"/>
                <w:sz w:val="18"/>
                <w:szCs w:val="18"/>
              </w:rPr>
              <w:t>1.</w:t>
            </w:r>
            <w:r>
              <w:rPr>
                <w:rFonts w:hint="eastAsia" w:ascii="仿宋_GB2312" w:hAnsi="仿宋_GB2312" w:eastAsia="仿宋_GB2312" w:cs="仿宋_GB2312"/>
                <w:color w:val="000000"/>
                <w:kern w:val="0"/>
                <w:sz w:val="18"/>
                <w:szCs w:val="18"/>
              </w:rPr>
              <w:t>《法律援助法》第五十二条</w:t>
            </w:r>
            <w:r>
              <w:rPr>
                <w:rFonts w:ascii="仿宋_GB2312" w:hAnsi="仿宋_GB2312" w:eastAsia="仿宋_GB2312" w:cs="仿宋_GB2312"/>
                <w:color w:val="000000"/>
                <w:kern w:val="0"/>
                <w:sz w:val="18"/>
                <w:szCs w:val="18"/>
              </w:rPr>
              <w:t xml:space="preserve"> </w:t>
            </w:r>
            <w:r>
              <w:rPr>
                <w:rFonts w:hint="eastAsia" w:ascii="仿宋_GB2312" w:hAnsi="仿宋_GB2312" w:eastAsia="仿宋_GB2312" w:cs="仿宋_GB2312"/>
                <w:color w:val="000000"/>
                <w:kern w:val="0"/>
                <w:sz w:val="18"/>
                <w:szCs w:val="18"/>
              </w:rPr>
              <w:t>法律援助机构应当依照有关规定及时向法律援助人员支付法律援助补贴。</w:t>
            </w:r>
            <w:r>
              <w:rPr>
                <w:rFonts w:ascii="仿宋_GB2312" w:hAnsi="仿宋_GB2312" w:eastAsia="仿宋_GB2312" w:cs="仿宋_GB2312"/>
                <w:color w:val="000000"/>
                <w:kern w:val="0"/>
                <w:sz w:val="18"/>
                <w:szCs w:val="18"/>
              </w:rPr>
              <w:br w:type="textWrapping"/>
            </w:r>
            <w:r>
              <w:rPr>
                <w:rFonts w:ascii="仿宋_GB2312" w:hAnsi="仿宋_GB2312" w:eastAsia="仿宋_GB2312" w:cs="仿宋_GB2312"/>
                <w:color w:val="000000"/>
                <w:kern w:val="0"/>
                <w:sz w:val="18"/>
                <w:szCs w:val="18"/>
              </w:rPr>
              <w:t>2.</w:t>
            </w:r>
            <w:r>
              <w:rPr>
                <w:rFonts w:hint="eastAsia" w:ascii="仿宋_GB2312" w:hAnsi="仿宋_GB2312" w:eastAsia="仿宋_GB2312" w:cs="仿宋_GB2312"/>
                <w:color w:val="000000"/>
                <w:kern w:val="0"/>
                <w:sz w:val="18"/>
                <w:szCs w:val="18"/>
              </w:rPr>
              <w:t>《法律援助条例》（</w:t>
            </w:r>
            <w:r>
              <w:rPr>
                <w:rFonts w:ascii="仿宋_GB2312" w:hAnsi="仿宋_GB2312" w:eastAsia="仿宋_GB2312" w:cs="仿宋_GB2312"/>
                <w:color w:val="000000"/>
                <w:kern w:val="0"/>
                <w:sz w:val="18"/>
                <w:szCs w:val="18"/>
              </w:rPr>
              <w:t>2003</w:t>
            </w:r>
            <w:r>
              <w:rPr>
                <w:rFonts w:hint="eastAsia" w:ascii="仿宋_GB2312" w:hAnsi="仿宋_GB2312" w:eastAsia="仿宋_GB2312" w:cs="仿宋_GB2312"/>
                <w:color w:val="000000"/>
                <w:kern w:val="0"/>
                <w:sz w:val="18"/>
                <w:szCs w:val="18"/>
              </w:rPr>
              <w:t>年</w:t>
            </w:r>
            <w:r>
              <w:rPr>
                <w:rFonts w:ascii="仿宋_GB2312" w:hAnsi="仿宋_GB2312" w:eastAsia="仿宋_GB2312" w:cs="仿宋_GB2312"/>
                <w:color w:val="000000"/>
                <w:kern w:val="0"/>
                <w:sz w:val="18"/>
                <w:szCs w:val="18"/>
              </w:rPr>
              <w:t>7</w:t>
            </w:r>
            <w:r>
              <w:rPr>
                <w:rFonts w:hint="eastAsia" w:ascii="仿宋_GB2312" w:hAnsi="仿宋_GB2312" w:eastAsia="仿宋_GB2312" w:cs="仿宋_GB2312"/>
                <w:color w:val="000000"/>
                <w:kern w:val="0"/>
                <w:sz w:val="18"/>
                <w:szCs w:val="18"/>
              </w:rPr>
              <w:t>月</w:t>
            </w:r>
            <w:r>
              <w:rPr>
                <w:rFonts w:ascii="仿宋_GB2312" w:hAnsi="仿宋_GB2312" w:eastAsia="仿宋_GB2312" w:cs="仿宋_GB2312"/>
                <w:color w:val="000000"/>
                <w:kern w:val="0"/>
                <w:sz w:val="18"/>
                <w:szCs w:val="18"/>
              </w:rPr>
              <w:t>21</w:t>
            </w:r>
            <w:r>
              <w:rPr>
                <w:rFonts w:hint="eastAsia" w:ascii="仿宋_GB2312" w:hAnsi="仿宋_GB2312" w:eastAsia="仿宋_GB2312" w:cs="仿宋_GB2312"/>
                <w:color w:val="000000"/>
                <w:kern w:val="0"/>
                <w:sz w:val="18"/>
                <w:szCs w:val="18"/>
              </w:rPr>
              <w:t>日国务院令第</w:t>
            </w:r>
            <w:r>
              <w:rPr>
                <w:rFonts w:ascii="仿宋_GB2312" w:hAnsi="仿宋_GB2312" w:eastAsia="仿宋_GB2312" w:cs="仿宋_GB2312"/>
                <w:color w:val="000000"/>
                <w:kern w:val="0"/>
                <w:sz w:val="18"/>
                <w:szCs w:val="18"/>
              </w:rPr>
              <w:t>385</w:t>
            </w:r>
            <w:r>
              <w:rPr>
                <w:rFonts w:hint="eastAsia" w:ascii="仿宋_GB2312" w:hAnsi="仿宋_GB2312" w:eastAsia="仿宋_GB2312" w:cs="仿宋_GB2312"/>
                <w:color w:val="000000"/>
                <w:kern w:val="0"/>
                <w:sz w:val="18"/>
                <w:szCs w:val="18"/>
              </w:rPr>
              <w:t>号公布）第二十四条</w:t>
            </w:r>
            <w:r>
              <w:rPr>
                <w:rFonts w:ascii="仿宋_GB2312" w:hAnsi="仿宋_GB2312" w:eastAsia="仿宋_GB2312" w:cs="仿宋_GB2312"/>
                <w:color w:val="000000"/>
                <w:kern w:val="0"/>
                <w:sz w:val="18"/>
                <w:szCs w:val="18"/>
              </w:rPr>
              <w:t xml:space="preserve"> </w:t>
            </w:r>
            <w:r>
              <w:rPr>
                <w:rFonts w:hint="eastAsia" w:ascii="仿宋_GB2312" w:hAnsi="仿宋_GB2312" w:eastAsia="仿宋_GB2312" w:cs="仿宋_GB2312"/>
                <w:color w:val="000000"/>
                <w:kern w:val="0"/>
                <w:sz w:val="18"/>
                <w:szCs w:val="18"/>
              </w:rPr>
              <w:t>　受指派办理法律援助案件的律师或者接受安排办理法律援助案件的社会组织人员在案件结案时，应当向法律援助机构提交有关的法律文书副本或者复印件以及结案报告等材料。法律援助机构收到前款规定的结案材料后，应当向受指派办理法律援助案件的律师或者接受安排办理法律援助案件的社会组织人员支付法律援助办案补贴。法律援助办案补贴的标准由省、自治区、直辖市人民政府司法行政部门会同同级财政部门，根据当地经济发展水平，参考法律援助机构办理各类法律援助案件的平均成本等因素核定，并可以根据需要调整。</w:t>
            </w:r>
            <w:r>
              <w:rPr>
                <w:rFonts w:ascii="仿宋_GB2312" w:hAnsi="仿宋_GB2312" w:eastAsia="仿宋_GB2312" w:cs="仿宋_GB2312"/>
                <w:color w:val="000000"/>
                <w:kern w:val="0"/>
                <w:sz w:val="18"/>
                <w:szCs w:val="18"/>
              </w:rPr>
              <w:t xml:space="preserve"> </w:t>
            </w:r>
            <w:r>
              <w:rPr>
                <w:rFonts w:ascii="仿宋_GB2312" w:hAnsi="仿宋_GB2312" w:eastAsia="仿宋_GB2312" w:cs="仿宋_GB2312"/>
                <w:color w:val="000000"/>
                <w:kern w:val="0"/>
                <w:sz w:val="18"/>
                <w:szCs w:val="18"/>
              </w:rPr>
              <w:br w:type="textWrapping"/>
            </w:r>
            <w:r>
              <w:rPr>
                <w:rFonts w:ascii="仿宋_GB2312" w:hAnsi="仿宋_GB2312" w:eastAsia="仿宋_GB2312" w:cs="仿宋_GB2312"/>
                <w:color w:val="000000"/>
                <w:kern w:val="0"/>
                <w:sz w:val="18"/>
                <w:szCs w:val="18"/>
              </w:rPr>
              <w:t>3.</w:t>
            </w:r>
            <w:r>
              <w:rPr>
                <w:rFonts w:hint="eastAsia" w:ascii="仿宋_GB2312" w:hAnsi="仿宋_GB2312" w:eastAsia="仿宋_GB2312" w:cs="仿宋_GB2312"/>
                <w:color w:val="000000"/>
                <w:kern w:val="0"/>
                <w:sz w:val="18"/>
                <w:szCs w:val="18"/>
              </w:rPr>
              <w:t>《河北省法律援助条例》（</w:t>
            </w:r>
            <w:r>
              <w:rPr>
                <w:rFonts w:ascii="仿宋_GB2312" w:hAnsi="仿宋_GB2312" w:eastAsia="仿宋_GB2312" w:cs="仿宋_GB2312"/>
                <w:color w:val="000000"/>
                <w:kern w:val="0"/>
                <w:sz w:val="18"/>
                <w:szCs w:val="18"/>
              </w:rPr>
              <w:t>2007</w:t>
            </w:r>
            <w:r>
              <w:rPr>
                <w:rFonts w:hint="eastAsia" w:ascii="仿宋_GB2312" w:hAnsi="仿宋_GB2312" w:eastAsia="仿宋_GB2312" w:cs="仿宋_GB2312"/>
                <w:color w:val="000000"/>
                <w:kern w:val="0"/>
                <w:sz w:val="18"/>
                <w:szCs w:val="18"/>
              </w:rPr>
              <w:t>年</w:t>
            </w:r>
            <w:r>
              <w:rPr>
                <w:rFonts w:ascii="仿宋_GB2312" w:hAnsi="仿宋_GB2312" w:eastAsia="仿宋_GB2312" w:cs="仿宋_GB2312"/>
                <w:color w:val="000000"/>
                <w:kern w:val="0"/>
                <w:sz w:val="18"/>
                <w:szCs w:val="18"/>
              </w:rPr>
              <w:t>7</w:t>
            </w:r>
            <w:r>
              <w:rPr>
                <w:rFonts w:hint="eastAsia" w:ascii="仿宋_GB2312" w:hAnsi="仿宋_GB2312" w:eastAsia="仿宋_GB2312" w:cs="仿宋_GB2312"/>
                <w:color w:val="000000"/>
                <w:kern w:val="0"/>
                <w:sz w:val="18"/>
                <w:szCs w:val="18"/>
              </w:rPr>
              <w:t>月</w:t>
            </w:r>
            <w:r>
              <w:rPr>
                <w:rFonts w:ascii="仿宋_GB2312" w:hAnsi="仿宋_GB2312" w:eastAsia="仿宋_GB2312" w:cs="仿宋_GB2312"/>
                <w:color w:val="000000"/>
                <w:kern w:val="0"/>
                <w:sz w:val="18"/>
                <w:szCs w:val="18"/>
              </w:rPr>
              <w:t>19</w:t>
            </w:r>
            <w:r>
              <w:rPr>
                <w:rFonts w:hint="eastAsia" w:ascii="仿宋_GB2312" w:hAnsi="仿宋_GB2312" w:eastAsia="仿宋_GB2312" w:cs="仿宋_GB2312"/>
                <w:color w:val="000000"/>
                <w:kern w:val="0"/>
                <w:sz w:val="18"/>
                <w:szCs w:val="18"/>
              </w:rPr>
              <w:t>日河北省第十届人民代表大会常务委员会第二十九次会议通过）第二十八条</w:t>
            </w:r>
            <w:r>
              <w:rPr>
                <w:rFonts w:ascii="仿宋_GB2312" w:hAnsi="仿宋_GB2312" w:eastAsia="仿宋_GB2312" w:cs="仿宋_GB2312"/>
                <w:color w:val="000000"/>
                <w:kern w:val="0"/>
                <w:sz w:val="18"/>
                <w:szCs w:val="18"/>
              </w:rPr>
              <w:t xml:space="preserve"> </w:t>
            </w:r>
            <w:r>
              <w:rPr>
                <w:rFonts w:hint="eastAsia" w:ascii="仿宋_GB2312" w:hAnsi="仿宋_GB2312" w:eastAsia="仿宋_GB2312" w:cs="仿宋_GB2312"/>
                <w:color w:val="000000"/>
                <w:kern w:val="0"/>
                <w:sz w:val="18"/>
                <w:szCs w:val="18"/>
              </w:rPr>
              <w:t>法律援助事项结案后，承办法律援助事项的人员应当在十日内，将法律文书副本或者复印件、结案报告等材料装订成卷，提交法律援助机构审查。法律援助机构审查合格后，应当及时向承办法律援助事项的人员支付办案补贴。法律援助办案补贴的标准由省司法行政部门会同财政部门确定，并根据本省经济发展水平和法律援助工作需要逐步提高。</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rPr>
              <w:t>省司法厅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bookmarkStart w:id="0" w:name="_GoBack"/>
            <w:bookmarkEnd w:id="0"/>
            <w:r>
              <w:rPr>
                <w:rFonts w:hint="eastAsia" w:ascii="仿宋_GB2312" w:hAnsi="仿宋_GB2312" w:eastAsia="仿宋_GB2312" w:cs="仿宋_GB2312"/>
                <w:color w:val="000000"/>
                <w:kern w:val="0"/>
                <w:sz w:val="18"/>
                <w:szCs w:val="18"/>
                <w:lang w:eastAsia="zh-CN"/>
              </w:rPr>
              <w:t>区司法局</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ascii="仿宋_GB2312" w:hAnsi="仿宋_GB2312" w:eastAsia="仿宋_GB2312" w:cs="仿宋_GB2312"/>
                <w:color w:val="000000"/>
                <w:kern w:val="0"/>
                <w:sz w:val="18"/>
                <w:szCs w:val="18"/>
              </w:rPr>
              <w:t>1.</w:t>
            </w:r>
            <w:r>
              <w:rPr>
                <w:rFonts w:hint="eastAsia" w:ascii="仿宋_GB2312" w:hAnsi="仿宋_GB2312" w:eastAsia="仿宋_GB2312" w:cs="仿宋_GB2312"/>
                <w:color w:val="000000"/>
                <w:kern w:val="0"/>
                <w:sz w:val="18"/>
                <w:szCs w:val="18"/>
              </w:rPr>
              <w:t>审查环节责任：法律援助案件、事项由法律援助机构统一审查、统一受理、统一指派、统一监督，未经法律援助机构的审查、批准、指派，不承担办案补贴费用。</w:t>
            </w:r>
            <w:r>
              <w:rPr>
                <w:rFonts w:ascii="仿宋_GB2312" w:hAnsi="仿宋_GB2312" w:eastAsia="仿宋_GB2312" w:cs="仿宋_GB2312"/>
                <w:color w:val="000000"/>
                <w:kern w:val="0"/>
                <w:sz w:val="18"/>
                <w:szCs w:val="18"/>
              </w:rPr>
              <w:br w:type="textWrapping"/>
            </w:r>
            <w:r>
              <w:rPr>
                <w:rFonts w:ascii="仿宋_GB2312" w:hAnsi="仿宋_GB2312" w:eastAsia="仿宋_GB2312" w:cs="仿宋_GB2312"/>
                <w:color w:val="000000"/>
                <w:kern w:val="0"/>
                <w:sz w:val="18"/>
                <w:szCs w:val="18"/>
              </w:rPr>
              <w:t>2.</w:t>
            </w:r>
            <w:r>
              <w:rPr>
                <w:rFonts w:hint="eastAsia" w:ascii="仿宋_GB2312" w:hAnsi="仿宋_GB2312" w:eastAsia="仿宋_GB2312" w:cs="仿宋_GB2312"/>
                <w:color w:val="000000"/>
                <w:kern w:val="0"/>
                <w:sz w:val="18"/>
                <w:szCs w:val="18"/>
              </w:rPr>
              <w:t>决定环节责任：法律援助人员应当在法律援助案件办结后</w:t>
            </w:r>
            <w:r>
              <w:rPr>
                <w:rFonts w:ascii="仿宋_GB2312" w:hAnsi="仿宋_GB2312" w:eastAsia="仿宋_GB2312" w:cs="仿宋_GB2312"/>
                <w:color w:val="000000"/>
                <w:kern w:val="0"/>
                <w:sz w:val="18"/>
                <w:szCs w:val="18"/>
              </w:rPr>
              <w:t>30</w:t>
            </w:r>
            <w:r>
              <w:rPr>
                <w:rFonts w:hint="eastAsia" w:ascii="仿宋_GB2312" w:hAnsi="仿宋_GB2312" w:eastAsia="仿宋_GB2312" w:cs="仿宋_GB2312"/>
                <w:color w:val="000000"/>
                <w:kern w:val="0"/>
                <w:sz w:val="18"/>
                <w:szCs w:val="18"/>
              </w:rPr>
              <w:t>个工作日内，向指派的法律援助机构递交案件卷宗。法律援助机构应对案件卷宗进行审查，对符合要求的，按照补贴标准，向承办法律援助案件的法律援助人员支付办案补贴。</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rPr>
              <w:t>因不履行或不正确履行行政职责，有下列情形的法律援助机构及其工作人员应承担相应责任：</w:t>
            </w:r>
            <w:r>
              <w:rPr>
                <w:rFonts w:ascii="仿宋_GB2312" w:hAnsi="仿宋_GB2312" w:eastAsia="仿宋_GB2312" w:cs="仿宋_GB2312"/>
                <w:color w:val="000000"/>
                <w:kern w:val="0"/>
                <w:sz w:val="18"/>
                <w:szCs w:val="18"/>
              </w:rPr>
              <w:br w:type="textWrapping"/>
            </w:r>
            <w:r>
              <w:rPr>
                <w:rFonts w:ascii="仿宋_GB2312" w:hAnsi="仿宋_GB2312" w:eastAsia="仿宋_GB2312" w:cs="仿宋_GB2312"/>
                <w:color w:val="000000"/>
                <w:kern w:val="0"/>
                <w:sz w:val="18"/>
                <w:szCs w:val="18"/>
              </w:rPr>
              <w:t>1.</w:t>
            </w:r>
            <w:r>
              <w:rPr>
                <w:rFonts w:hint="eastAsia" w:ascii="仿宋_GB2312" w:hAnsi="仿宋_GB2312" w:eastAsia="仿宋_GB2312" w:cs="仿宋_GB2312"/>
                <w:color w:val="000000"/>
                <w:kern w:val="0"/>
                <w:sz w:val="18"/>
                <w:szCs w:val="18"/>
              </w:rPr>
              <w:t>违反规定审核批准法律援助办案经费的；</w:t>
            </w:r>
            <w:r>
              <w:rPr>
                <w:rFonts w:ascii="仿宋_GB2312" w:hAnsi="仿宋_GB2312" w:eastAsia="仿宋_GB2312" w:cs="仿宋_GB2312"/>
                <w:color w:val="000000"/>
                <w:kern w:val="0"/>
                <w:sz w:val="18"/>
                <w:szCs w:val="18"/>
              </w:rPr>
              <w:t xml:space="preserve">                  2.</w:t>
            </w:r>
            <w:r>
              <w:rPr>
                <w:rFonts w:hint="eastAsia" w:ascii="仿宋_GB2312" w:hAnsi="仿宋_GB2312" w:eastAsia="仿宋_GB2312" w:cs="仿宋_GB2312"/>
                <w:color w:val="000000"/>
                <w:kern w:val="0"/>
                <w:sz w:val="18"/>
                <w:szCs w:val="18"/>
              </w:rPr>
              <w:t>侵占、私分、挪用法律援助经费的；</w:t>
            </w:r>
            <w:r>
              <w:rPr>
                <w:rFonts w:ascii="仿宋_GB2312" w:hAnsi="仿宋_GB2312" w:eastAsia="仿宋_GB2312" w:cs="仿宋_GB2312"/>
                <w:color w:val="000000"/>
                <w:kern w:val="0"/>
                <w:sz w:val="18"/>
                <w:szCs w:val="18"/>
              </w:rPr>
              <w:t xml:space="preserve">                      3.</w:t>
            </w:r>
            <w:r>
              <w:rPr>
                <w:rFonts w:hint="eastAsia" w:ascii="仿宋_GB2312" w:hAnsi="仿宋_GB2312" w:eastAsia="仿宋_GB2312" w:cs="仿宋_GB2312"/>
                <w:color w:val="000000"/>
                <w:kern w:val="0"/>
                <w:sz w:val="18"/>
                <w:szCs w:val="18"/>
              </w:rPr>
              <w:t>收取他人财物。</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lang w:val="en-US" w:eastAsia="zh-CN"/>
              </w:rPr>
              <w:t>2</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rPr>
              <w:t>行政</w:t>
            </w:r>
            <w:r>
              <w:rPr>
                <w:rFonts w:ascii="仿宋_GB2312" w:hAnsi="仿宋_GB2312" w:eastAsia="仿宋_GB2312" w:cs="仿宋_GB2312"/>
                <w:color w:val="000000"/>
                <w:kern w:val="0"/>
                <w:sz w:val="18"/>
                <w:szCs w:val="18"/>
              </w:rPr>
              <w:br w:type="textWrapping"/>
            </w:r>
            <w:r>
              <w:rPr>
                <w:rFonts w:hint="eastAsia" w:ascii="仿宋_GB2312" w:hAnsi="仿宋_GB2312" w:eastAsia="仿宋_GB2312" w:cs="仿宋_GB2312"/>
                <w:color w:val="000000"/>
                <w:kern w:val="0"/>
                <w:sz w:val="18"/>
                <w:szCs w:val="18"/>
              </w:rPr>
              <w:t>给付</w:t>
            </w:r>
            <w:r>
              <w:rPr>
                <w:rFonts w:ascii="仿宋_GB2312" w:hAnsi="仿宋_GB2312" w:eastAsia="仿宋_GB2312" w:cs="仿宋_GB2312"/>
                <w:color w:val="000000"/>
                <w:kern w:val="0"/>
                <w:sz w:val="18"/>
                <w:szCs w:val="18"/>
              </w:rPr>
              <w:t xml:space="preserve"> </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rPr>
              <w:t>人民调解员补贴的给付</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rPr>
              <w:t>《中华人民共和国人民调解法》（</w:t>
            </w:r>
            <w:r>
              <w:rPr>
                <w:rFonts w:ascii="仿宋_GB2312" w:hAnsi="仿宋_GB2312" w:eastAsia="仿宋_GB2312" w:cs="仿宋_GB2312"/>
                <w:color w:val="000000"/>
                <w:kern w:val="0"/>
                <w:sz w:val="18"/>
                <w:szCs w:val="18"/>
              </w:rPr>
              <w:t>2010</w:t>
            </w:r>
            <w:r>
              <w:rPr>
                <w:rFonts w:hint="eastAsia" w:ascii="仿宋_GB2312" w:hAnsi="仿宋_GB2312" w:eastAsia="仿宋_GB2312" w:cs="仿宋_GB2312"/>
                <w:color w:val="000000"/>
                <w:kern w:val="0"/>
                <w:sz w:val="18"/>
                <w:szCs w:val="18"/>
              </w:rPr>
              <w:t>年</w:t>
            </w:r>
            <w:r>
              <w:rPr>
                <w:rFonts w:ascii="仿宋_GB2312" w:hAnsi="仿宋_GB2312" w:eastAsia="仿宋_GB2312" w:cs="仿宋_GB2312"/>
                <w:color w:val="000000"/>
                <w:kern w:val="0"/>
                <w:sz w:val="18"/>
                <w:szCs w:val="18"/>
              </w:rPr>
              <w:t>8</w:t>
            </w:r>
            <w:r>
              <w:rPr>
                <w:rFonts w:hint="eastAsia" w:ascii="仿宋_GB2312" w:hAnsi="仿宋_GB2312" w:eastAsia="仿宋_GB2312" w:cs="仿宋_GB2312"/>
                <w:color w:val="000000"/>
                <w:kern w:val="0"/>
                <w:sz w:val="18"/>
                <w:szCs w:val="18"/>
              </w:rPr>
              <w:t>月</w:t>
            </w:r>
            <w:r>
              <w:rPr>
                <w:rFonts w:ascii="仿宋_GB2312" w:hAnsi="仿宋_GB2312" w:eastAsia="仿宋_GB2312" w:cs="仿宋_GB2312"/>
                <w:color w:val="000000"/>
                <w:kern w:val="0"/>
                <w:sz w:val="18"/>
                <w:szCs w:val="18"/>
              </w:rPr>
              <w:t>28</w:t>
            </w:r>
            <w:r>
              <w:rPr>
                <w:rFonts w:hint="eastAsia" w:ascii="仿宋_GB2312" w:hAnsi="仿宋_GB2312" w:eastAsia="仿宋_GB2312" w:cs="仿宋_GB2312"/>
                <w:color w:val="000000"/>
                <w:kern w:val="0"/>
                <w:sz w:val="18"/>
                <w:szCs w:val="18"/>
              </w:rPr>
              <w:t>日主席令第</w:t>
            </w:r>
            <w:r>
              <w:rPr>
                <w:rFonts w:ascii="仿宋_GB2312" w:hAnsi="仿宋_GB2312" w:eastAsia="仿宋_GB2312" w:cs="仿宋_GB2312"/>
                <w:color w:val="000000"/>
                <w:kern w:val="0"/>
                <w:sz w:val="18"/>
                <w:szCs w:val="18"/>
              </w:rPr>
              <w:t>34</w:t>
            </w:r>
            <w:r>
              <w:rPr>
                <w:rFonts w:hint="eastAsia" w:ascii="仿宋_GB2312" w:hAnsi="仿宋_GB2312" w:eastAsia="仿宋_GB2312" w:cs="仿宋_GB2312"/>
                <w:color w:val="000000"/>
                <w:kern w:val="0"/>
                <w:sz w:val="18"/>
                <w:szCs w:val="18"/>
              </w:rPr>
              <w:t>号）第十六条</w:t>
            </w:r>
            <w:r>
              <w:rPr>
                <w:rFonts w:ascii="仿宋_GB2312" w:hAnsi="仿宋_GB2312" w:eastAsia="仿宋_GB2312" w:cs="仿宋_GB2312"/>
                <w:color w:val="000000"/>
                <w:kern w:val="0"/>
                <w:sz w:val="18"/>
                <w:szCs w:val="18"/>
              </w:rPr>
              <w:t xml:space="preserve"> </w:t>
            </w:r>
            <w:r>
              <w:rPr>
                <w:rFonts w:hint="eastAsia" w:ascii="仿宋_GB2312" w:hAnsi="仿宋_GB2312" w:eastAsia="仿宋_GB2312" w:cs="仿宋_GB2312"/>
                <w:color w:val="000000"/>
                <w:kern w:val="0"/>
                <w:sz w:val="18"/>
                <w:szCs w:val="18"/>
              </w:rPr>
              <w:t>人民调解员从事调解工作，应当给予适当的误工补贴；因从事调解工作致伤致残，生活发生困难的，当地人民政府应当提供必要的医疗、生活救助；在人民调解工作岗位上牺牲的人民调解员，其配偶、子女按照国家规定享受抚恤和优待。</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rPr>
              <w:t>省司法厅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lang w:eastAsia="zh-CN"/>
              </w:rPr>
              <w:t>区司法局</w:t>
            </w:r>
          </w:p>
        </w:tc>
        <w:tc>
          <w:tcPr>
            <w:tcW w:w="3969" w:type="dxa"/>
            <w:tcBorders>
              <w:tl2br w:val="nil"/>
              <w:tr2bl w:val="nil"/>
            </w:tcBorders>
            <w:shd w:val="clear" w:color="auto" w:fill="FFFFFF"/>
            <w:vAlign w:val="center"/>
          </w:tcPr>
          <w:p>
            <w:pPr>
              <w:widowControl/>
              <w:spacing w:line="240" w:lineRule="exact"/>
              <w:jc w:val="left"/>
              <w:textAlignment w:val="center"/>
              <w:rPr>
                <w:rFonts w:ascii="仿宋_GB2312" w:hAnsi="仿宋_GB2312" w:eastAsia="仿宋_GB2312" w:cs="仿宋_GB2312"/>
                <w:color w:val="000000"/>
                <w:kern w:val="0"/>
                <w:sz w:val="18"/>
                <w:szCs w:val="18"/>
              </w:rPr>
            </w:pPr>
            <w:r>
              <w:rPr>
                <w:rFonts w:ascii="仿宋_GB2312" w:hAnsi="仿宋_GB2312" w:eastAsia="仿宋_GB2312" w:cs="仿宋_GB2312"/>
                <w:color w:val="000000"/>
                <w:kern w:val="0"/>
                <w:sz w:val="18"/>
                <w:szCs w:val="18"/>
              </w:rPr>
              <w:t>1.</w:t>
            </w:r>
            <w:r>
              <w:rPr>
                <w:rFonts w:hint="eastAsia" w:ascii="仿宋_GB2312" w:hAnsi="仿宋_GB2312" w:eastAsia="仿宋_GB2312" w:cs="仿宋_GB2312"/>
                <w:color w:val="000000"/>
                <w:kern w:val="0"/>
                <w:sz w:val="18"/>
                <w:szCs w:val="18"/>
              </w:rPr>
              <w:t>审查环节责任：审查人民调解案件，根据难易程度，确定发放标准。</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ascii="仿宋_GB2312" w:hAnsi="仿宋_GB2312" w:eastAsia="仿宋_GB2312" w:cs="仿宋_GB2312"/>
                <w:color w:val="000000"/>
                <w:kern w:val="0"/>
                <w:sz w:val="18"/>
                <w:szCs w:val="18"/>
              </w:rPr>
              <w:t>2.</w:t>
            </w:r>
            <w:r>
              <w:rPr>
                <w:rFonts w:hint="eastAsia" w:ascii="仿宋_GB2312" w:hAnsi="仿宋_GB2312" w:eastAsia="仿宋_GB2312" w:cs="仿宋_GB2312"/>
                <w:color w:val="000000"/>
                <w:kern w:val="0"/>
                <w:sz w:val="18"/>
                <w:szCs w:val="18"/>
              </w:rPr>
              <w:t>决定环节责任：按照补贴标准审核决定统一发放。</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rPr>
              <w:t>因不履行或不正确履行行政职责，有下列情形的司法行政机关工作人员应承担相应责任：</w:t>
            </w:r>
            <w:r>
              <w:rPr>
                <w:rFonts w:ascii="仿宋_GB2312" w:hAnsi="仿宋_GB2312" w:eastAsia="仿宋_GB2312" w:cs="仿宋_GB2312"/>
                <w:color w:val="000000"/>
                <w:kern w:val="0"/>
                <w:sz w:val="18"/>
                <w:szCs w:val="18"/>
              </w:rPr>
              <w:br w:type="textWrapping"/>
            </w:r>
            <w:r>
              <w:rPr>
                <w:rFonts w:ascii="仿宋_GB2312" w:hAnsi="仿宋_GB2312" w:eastAsia="仿宋_GB2312" w:cs="仿宋_GB2312"/>
                <w:color w:val="000000"/>
                <w:kern w:val="0"/>
                <w:sz w:val="18"/>
                <w:szCs w:val="18"/>
              </w:rPr>
              <w:t>1.</w:t>
            </w:r>
            <w:r>
              <w:rPr>
                <w:rFonts w:hint="eastAsia" w:ascii="仿宋_GB2312" w:hAnsi="仿宋_GB2312" w:eastAsia="仿宋_GB2312" w:cs="仿宋_GB2312"/>
                <w:color w:val="000000"/>
                <w:kern w:val="0"/>
                <w:sz w:val="18"/>
                <w:szCs w:val="18"/>
              </w:rPr>
              <w:t>不按规定及时审查发放办案补贴；</w:t>
            </w:r>
            <w:r>
              <w:rPr>
                <w:rFonts w:ascii="仿宋_GB2312" w:hAnsi="仿宋_GB2312" w:eastAsia="仿宋_GB2312" w:cs="仿宋_GB2312"/>
                <w:color w:val="000000"/>
                <w:kern w:val="0"/>
                <w:sz w:val="18"/>
                <w:szCs w:val="18"/>
              </w:rPr>
              <w:t xml:space="preserve">                        2.</w:t>
            </w:r>
            <w:r>
              <w:rPr>
                <w:rFonts w:hint="eastAsia" w:ascii="仿宋_GB2312" w:hAnsi="仿宋_GB2312" w:eastAsia="仿宋_GB2312" w:cs="仿宋_GB2312"/>
                <w:color w:val="000000"/>
                <w:kern w:val="0"/>
                <w:sz w:val="18"/>
                <w:szCs w:val="18"/>
              </w:rPr>
              <w:t>侵占、挪用补贴。</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3</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对律师事务所（分所）的检查 </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1.《律师法》第四条 司法行政部门依照本法对律师、律师事务所和律师协会进行监督、指导。第二十四条 律师事务所应当于每年的年度考核后，向设区的市级或者直辖市的区人民政府司法行政部门提交本所的年度执业情况报告和律师执业考核结果。</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2.《律师事务所管理办法》（司法部令第142号）第五十九条 律师事务所应当于每年的一季度经所在地县级司法行政机关向设区的市级司法行政机关提交上一年度本所执业情况报告和律师执业考核结果，直辖市的律师事务所的执业情况报告和律师执业考核结果直接向所在地区（县）司法行政机关提交，接受司法行政机关的年度检查考核。第六十五条 设区的市级司法行政机关履行下列监督管理职责：（二）指导、监督下一级司法行政机关的日常监督管理工作，组织开展对律师事务所的专项监督检查工作，指导对律师事务所重大投诉案件的查处工作；（五）组织开展对律师事务所的年度检查考核工作。第六十八条  律师事务所管理分所的情况，应当纳入司法行政机关对该所年度检查考核的内容；律师事务所对分所及其律师疏于管理、造成严重后果的，由该所所在地司法行政机关依法实施行政处罚。律师事务所分所及其律师，应当接受分所所在地司法行政机关的监督、指导，接受分所所在地律师协会的行业管理。第七十二条 司法行政机关、律师协会应当建立律师和律师事务所信息管理系统，按照有关规定向社会公开律师事务所基本信息和年度检查考核结果、奖惩情况。</w:t>
            </w:r>
          </w:p>
        </w:tc>
        <w:tc>
          <w:tcPr>
            <w:tcW w:w="113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1.检查环节责任：对本辖区内律师事务所及分所组织专项监督检查和年度检查考核。</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2.处置环节责任：未发现问题终止检查，并向当事人告知检查结果；发现问题作出警示谈话，责令改正，并对整改情况进行监督；应予处罚惩戒的，实施行政处罚或移交律师协会给予行业处分。</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3.公告环节责任：向社会公开律师事务所检查、考核结果。</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4.事后管理环节责任：对监督检查发现的问题，律师所及分所整改完成后，对整改情况组织进行核查。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5.其他责任：法律法规规章等规定应履行的责任。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1.不对本辖区内律师事务所及分所工作情况组织监督检查；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2.对在检查中发现的问题，不责令限期整改、不依法实施处罚；</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3.不及时予以公告；</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4.对监督检查发现的问题，律师事务所及分整改完成后，不对整改情况组织进行核查；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5.其他违反法律法规规章文件规定的行为。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4</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行政检查</w:t>
            </w:r>
          </w:p>
        </w:tc>
        <w:tc>
          <w:tcPr>
            <w:tcW w:w="113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对律师的检查</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1.《律师法》第四条 司法行政部门依照本法对律师、律师事务所和律师协会进行监督、指导。</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2.《律师执业管理办法》（司法部令第112号）第四十七条第三款 律师执业，应当遵守所在律师事务所的执业管理制度，接受律师事务所的指导和监督，参加律师执业年度考核。第五十一条 设区的市级司法行政机关履行下列监督管理职责：指导、监督下一级司法行政机关对律师执业的日常监督管理工作，组织开展对律师执业的专项检查或者专项考核工作，指导对律师重大投诉案件的查处工作。第五十六条 司法行政机关、律师协会应当建立律师和律师事务所信息管理系统，按照有关规定向社会公开律师基本信息和年度考核结果、奖惩情况。</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1.检查环节责任：对本辖区内律师组织专项检查和专项考核。</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2.处置环节责任：未发现问题终止检查，并向当事人告知检查结果；发现问题作出警示谈话，责令改正，并对整改情况进行监督；应予处罚惩戒的，实施行政处罚或移交律师协会给予行业处分。</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3.公告环节责任：向社会公开律师检查、考核结果。</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4.事后管理环节责任：对监督检查发现的问题，整改完成后，对整改情况组织进行核查。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5.其他责任：法律法规规章等规定应履行的责任。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1.不对本辖区律师组织专项检查和专项考核；</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2.对在检查中发现的问题，不责令限期整改、不依法实施处罚；</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3.不及时予以公告；</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4.对监督检查发现的问题，整改完成后，不对整改情况组织进行核查；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5.其他违反法律法规规章文件规定的行为。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3812"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5</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对律所及律师承办法律援助事项的检查</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1.《法律援助法》第五条 国务院司法行政部门指导、监督全国的法律援助工作。县级以上地方人民政府司法行政部门指导、监督本行政区域的法律援助工作。2.《法律援助条例》第四条 国务院司法行政部门监督管理全国的法律援助工作。县级以上各级人民政府司法行政部门监督管理本行政区域的法律援助工作。第六条 律师应当依照律师法和本条例的规定履行法律援助义务，为受援人提供符合标准的法律服务，依法维护受援人的合法权益，接受律师协会和司法行政部门的监督。</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1.检查环节责任：对本辖区内法律援助工作检查。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2.处置环节责任：未发现问题终止检查，并向当事人告知检查结果；发现问题作出警示谈话，责令改正，并对整改情况进行监督；应予处罚惩戒的，实施行政处罚。</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3.事后管理环节责任：对监督检查发现的问题，整改完成后，对整改情况组织进行核查。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4.其他责任：法律法规规章等规定应履行的责任。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1.不对本辖区内工作情况组织监督检查；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2.对在检查中发现的问题，不责令限期整改、不依法实施处罚；</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3.不及时予以公告；</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4.对监督检查发现的问题，整改完成后，不对整改情况组织进行核查；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5.其他违反法律法规规章文件规定的行为。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5362"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6</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对公证机构的检查 </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1.《中华人民共和国公证法》第五条　司法行政部门依照本法规定对公证机构、公证员和公证协会进行监督、指导。</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2.《公证机构执业管理办法》（司法部令第101号）第二十四条  司法行政机关依法对公证机构的组织建设、队伍建设、执业活动、质量控制、内部管理等情况进行监督。第二十六条　设区的市和公证机构所在地司法行政机关对本地公证机构的下列事项实施监督：（一）组织建设情况；（二）执业活动情况；（三）公证质量情况；（四）公证员执业年度考核情况；（五）档案管理情况；（六）财务制度执行情况；（七）内部管理制度建设情况；（八）司法部和省、自治区、直辖市司法行政机关要求进行监督检查的其他事项。</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1.检查环节责任：对本辖区内对公证机构的行政检查。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2.处置环节责任：未发现问题终止检查，并向当事人告知检查结果；发现问题作出警示谈话，责令改正，并对整改情况进行监督；应予处罚惩戒的，实施行政处罚。</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3.事后管理环节责任：对监督检查发现的问题，整改完成后，对整改情况组织进行核查。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4.其他责任：法律法规规章等规定应履行的责任。 </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1.对在检查中发现的问题，不责令限期整改、不依法实施处罚；</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2.对监督检查发现的问题，整改完成后，不对整改情况组织进行核查；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939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7</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对公证员办理公证业务情况的检查</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1.《中华人民共和国公证法》第五条　司法行政部门依照本法规定对公证机构、公证员和公证协会进行监督、指导。</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2.《公证员执业管理办法》（司法部令第102号）第二十六条 司法行政机关实施监督检查，可以对公证员办理公证业务的情况进行检查，要求公证员及其所在公证机构说明有关情况，调阅相关材料和公证档案，向相关单位和人员调查、核实有关情况。公证员及其所在公证机构不得拒绝司法行政机关依法实施的监督检查，不得谎报、隐匿、伪造、销毁相关证据材料。</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1.检查环节责任：对本辖区内对公证员办理公证业务情况的行政检查。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2.处置环节责任：未发现问题终止检查，并向当事人告知检查结果；发现问题作出警示谈话，责令改正，并对整改情况进行监督；应予处罚惩戒的，实施行政处罚。</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3.事后管理责任：对监督检查发现的问题，整改完成后，对整改情况组织进行核查。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4.其他责任：法律法规规章等规定应履行的责任。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 </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1.对在检查中发现的问题，不责令限期整改、不依法实施处罚；</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2.对监督检查发现的问题，整改完成后，不对整改情况组织进行核查；</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9625"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highlight w:val="none"/>
                <w:lang w:val="en-US" w:eastAsia="zh-CN"/>
              </w:rPr>
              <w:t>8</w:t>
            </w:r>
          </w:p>
        </w:tc>
        <w:tc>
          <w:tcPr>
            <w:tcW w:w="850"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highlight w:val="none"/>
              </w:rPr>
              <w:t>行政确认</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highlight w:val="none"/>
              </w:rPr>
              <w:t>对法律援助律师、公职律师、公司律师颁发工作证</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ascii="仿宋_GB2312" w:hAnsi="仿宋_GB2312" w:eastAsia="仿宋_GB2312" w:cs="仿宋_GB2312"/>
                <w:color w:val="000000"/>
                <w:kern w:val="0"/>
                <w:sz w:val="18"/>
                <w:szCs w:val="18"/>
                <w:highlight w:val="none"/>
              </w:rPr>
              <w:t>1.</w:t>
            </w:r>
            <w:r>
              <w:rPr>
                <w:rFonts w:hint="eastAsia" w:ascii="仿宋_GB2312" w:hAnsi="仿宋_GB2312" w:eastAsia="仿宋_GB2312" w:cs="仿宋_GB2312"/>
                <w:color w:val="000000"/>
                <w:kern w:val="0"/>
                <w:sz w:val="18"/>
                <w:szCs w:val="18"/>
                <w:highlight w:val="none"/>
              </w:rPr>
              <w:t>《公司律师管理办法》（司发通〔</w:t>
            </w:r>
            <w:r>
              <w:rPr>
                <w:rFonts w:ascii="仿宋_GB2312" w:hAnsi="仿宋_GB2312" w:eastAsia="仿宋_GB2312" w:cs="仿宋_GB2312"/>
                <w:color w:val="000000"/>
                <w:kern w:val="0"/>
                <w:sz w:val="18"/>
                <w:szCs w:val="18"/>
                <w:highlight w:val="none"/>
              </w:rPr>
              <w:t>2018</w:t>
            </w:r>
            <w:r>
              <w:rPr>
                <w:rFonts w:hint="eastAsia" w:ascii="仿宋_GB2312" w:hAnsi="仿宋_GB2312" w:eastAsia="仿宋_GB2312" w:cs="仿宋_GB2312"/>
                <w:color w:val="000000"/>
                <w:kern w:val="0"/>
                <w:sz w:val="18"/>
                <w:szCs w:val="18"/>
                <w:highlight w:val="none"/>
              </w:rPr>
              <w:t>〕</w:t>
            </w:r>
            <w:r>
              <w:rPr>
                <w:rFonts w:ascii="仿宋_GB2312" w:hAnsi="仿宋_GB2312" w:eastAsia="仿宋_GB2312" w:cs="仿宋_GB2312"/>
                <w:color w:val="000000"/>
                <w:kern w:val="0"/>
                <w:sz w:val="18"/>
                <w:szCs w:val="18"/>
                <w:highlight w:val="none"/>
              </w:rPr>
              <w:t>131</w:t>
            </w:r>
            <w:r>
              <w:rPr>
                <w:rFonts w:hint="eastAsia" w:ascii="仿宋_GB2312" w:hAnsi="仿宋_GB2312" w:eastAsia="仿宋_GB2312" w:cs="仿宋_GB2312"/>
                <w:color w:val="000000"/>
                <w:kern w:val="0"/>
                <w:sz w:val="18"/>
                <w:szCs w:val="18"/>
                <w:highlight w:val="none"/>
              </w:rPr>
              <w:t>号）第八条</w:t>
            </w:r>
            <w:r>
              <w:rPr>
                <w:rFonts w:ascii="仿宋_GB2312" w:hAnsi="仿宋_GB2312" w:eastAsia="仿宋_GB2312" w:cs="仿宋_GB2312"/>
                <w:color w:val="000000"/>
                <w:kern w:val="0"/>
                <w:sz w:val="18"/>
                <w:szCs w:val="18"/>
                <w:highlight w:val="none"/>
              </w:rPr>
              <w:t xml:space="preserve"> </w:t>
            </w:r>
            <w:r>
              <w:rPr>
                <w:rFonts w:hint="eastAsia" w:ascii="仿宋_GB2312" w:hAnsi="仿宋_GB2312" w:eastAsia="仿宋_GB2312" w:cs="仿宋_GB2312"/>
                <w:color w:val="000000"/>
                <w:kern w:val="0"/>
                <w:sz w:val="18"/>
                <w:szCs w:val="18"/>
                <w:highlight w:val="none"/>
              </w:rPr>
              <w:t>其他国有企业员工申请颁发公司律师证书的，由所在单位审核同意后向当地设区的市级或者直辖市的区（县）司法行政机关提出申请。</w:t>
            </w:r>
            <w:r>
              <w:rPr>
                <w:rFonts w:ascii="仿宋_GB2312" w:hAnsi="仿宋_GB2312" w:eastAsia="仿宋_GB2312" w:cs="仿宋_GB2312"/>
                <w:color w:val="000000"/>
                <w:kern w:val="0"/>
                <w:sz w:val="18"/>
                <w:szCs w:val="18"/>
                <w:highlight w:val="none"/>
              </w:rPr>
              <w:br w:type="textWrapping"/>
            </w:r>
            <w:r>
              <w:rPr>
                <w:rFonts w:ascii="仿宋_GB2312" w:hAnsi="仿宋_GB2312" w:eastAsia="仿宋_GB2312" w:cs="仿宋_GB2312"/>
                <w:color w:val="000000"/>
                <w:kern w:val="0"/>
                <w:sz w:val="18"/>
                <w:szCs w:val="18"/>
                <w:highlight w:val="none"/>
              </w:rPr>
              <w:t>2.</w:t>
            </w:r>
            <w:r>
              <w:rPr>
                <w:rFonts w:hint="eastAsia" w:ascii="仿宋_GB2312" w:hAnsi="仿宋_GB2312" w:eastAsia="仿宋_GB2312" w:cs="仿宋_GB2312"/>
                <w:color w:val="000000"/>
                <w:kern w:val="0"/>
                <w:sz w:val="18"/>
                <w:szCs w:val="18"/>
                <w:highlight w:val="none"/>
              </w:rPr>
              <w:t>《关于推行法律顾问制度和公职律师公司律师制度的意见》</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中办发</w:t>
            </w:r>
            <w:r>
              <w:rPr>
                <w:rFonts w:ascii="仿宋_GB2312" w:hAnsi="仿宋_GB2312" w:eastAsia="仿宋_GB2312" w:cs="仿宋_GB2312"/>
                <w:color w:val="000000"/>
                <w:kern w:val="0"/>
                <w:sz w:val="18"/>
                <w:szCs w:val="18"/>
                <w:highlight w:val="none"/>
              </w:rPr>
              <w:t>[2016]30</w:t>
            </w:r>
            <w:r>
              <w:rPr>
                <w:rFonts w:hint="eastAsia" w:ascii="仿宋_GB2312" w:hAnsi="仿宋_GB2312" w:eastAsia="仿宋_GB2312" w:cs="仿宋_GB2312"/>
                <w:color w:val="000000"/>
                <w:kern w:val="0"/>
                <w:sz w:val="18"/>
                <w:szCs w:val="18"/>
                <w:highlight w:val="none"/>
              </w:rPr>
              <w:t>号</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（二十五）</w:t>
            </w:r>
            <w:r>
              <w:rPr>
                <w:rFonts w:ascii="仿宋_GB2312" w:hAnsi="仿宋_GB2312" w:eastAsia="仿宋_GB2312" w:cs="仿宋_GB2312"/>
                <w:color w:val="000000"/>
                <w:kern w:val="0"/>
                <w:sz w:val="18"/>
                <w:szCs w:val="18"/>
                <w:highlight w:val="none"/>
              </w:rPr>
              <w:t xml:space="preserve"> </w:t>
            </w:r>
            <w:r>
              <w:rPr>
                <w:rFonts w:hint="eastAsia" w:ascii="仿宋_GB2312" w:hAnsi="仿宋_GB2312" w:eastAsia="仿宋_GB2312" w:cs="仿宋_GB2312"/>
                <w:color w:val="000000"/>
                <w:kern w:val="0"/>
                <w:sz w:val="18"/>
                <w:szCs w:val="18"/>
                <w:highlight w:val="none"/>
              </w:rPr>
              <w:t>在党政机关专门从事法律事务工作或者担任法律顾问、在国有企业担任法律顾问，并具有法律职业资格或者律师资格的人员，经所在单位同意可以向司法行政部门申请颁发公职律师、公司律师证书。经审查，申请人具有法律职业资格或者律师资格的，司法行政部门应当向其颁发公职律师、公司律师证书。</w:t>
            </w:r>
            <w:r>
              <w:rPr>
                <w:rFonts w:ascii="仿宋_GB2312" w:hAnsi="仿宋_GB2312" w:eastAsia="仿宋_GB2312" w:cs="仿宋_GB2312"/>
                <w:color w:val="000000"/>
                <w:kern w:val="0"/>
                <w:sz w:val="18"/>
                <w:szCs w:val="18"/>
                <w:highlight w:val="none"/>
              </w:rPr>
              <w:br w:type="textWrapping"/>
            </w:r>
            <w:r>
              <w:rPr>
                <w:rFonts w:ascii="仿宋_GB2312" w:hAnsi="仿宋_GB2312" w:eastAsia="仿宋_GB2312" w:cs="仿宋_GB2312"/>
                <w:color w:val="000000"/>
                <w:kern w:val="0"/>
                <w:sz w:val="18"/>
                <w:szCs w:val="18"/>
                <w:highlight w:val="none"/>
              </w:rPr>
              <w:t>3.</w:t>
            </w:r>
            <w:r>
              <w:rPr>
                <w:rFonts w:hint="eastAsia" w:ascii="仿宋_GB2312" w:hAnsi="仿宋_GB2312" w:eastAsia="仿宋_GB2312" w:cs="仿宋_GB2312"/>
                <w:color w:val="000000"/>
                <w:kern w:val="0"/>
                <w:sz w:val="18"/>
                <w:szCs w:val="18"/>
                <w:highlight w:val="none"/>
              </w:rPr>
              <w:t>《律师和律师事务所执业证书管理办法》</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司法部令第</w:t>
            </w:r>
            <w:r>
              <w:rPr>
                <w:rFonts w:ascii="仿宋_GB2312" w:hAnsi="仿宋_GB2312" w:eastAsia="仿宋_GB2312" w:cs="仿宋_GB2312"/>
                <w:color w:val="000000"/>
                <w:kern w:val="0"/>
                <w:sz w:val="18"/>
                <w:szCs w:val="18"/>
                <w:highlight w:val="none"/>
              </w:rPr>
              <w:t>119</w:t>
            </w:r>
            <w:r>
              <w:rPr>
                <w:rFonts w:hint="eastAsia" w:ascii="仿宋_GB2312" w:hAnsi="仿宋_GB2312" w:eastAsia="仿宋_GB2312" w:cs="仿宋_GB2312"/>
                <w:color w:val="000000"/>
                <w:kern w:val="0"/>
                <w:sz w:val="18"/>
                <w:szCs w:val="18"/>
                <w:highlight w:val="none"/>
              </w:rPr>
              <w:t>号</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第二十一条</w:t>
            </w:r>
            <w:r>
              <w:rPr>
                <w:rFonts w:ascii="仿宋_GB2312" w:hAnsi="仿宋_GB2312" w:eastAsia="仿宋_GB2312" w:cs="仿宋_GB2312"/>
                <w:color w:val="000000"/>
                <w:kern w:val="0"/>
                <w:sz w:val="18"/>
                <w:szCs w:val="18"/>
                <w:highlight w:val="none"/>
              </w:rPr>
              <w:t xml:space="preserve"> </w:t>
            </w:r>
            <w:r>
              <w:rPr>
                <w:rFonts w:hint="eastAsia" w:ascii="仿宋_GB2312" w:hAnsi="仿宋_GB2312" w:eastAsia="仿宋_GB2312" w:cs="仿宋_GB2312"/>
                <w:color w:val="000000"/>
                <w:kern w:val="0"/>
                <w:sz w:val="18"/>
                <w:szCs w:val="18"/>
                <w:highlight w:val="none"/>
              </w:rPr>
              <w:t>对公职律师、公司律师、法律援助律师的律师工作证的管理，参照本办法执行。</w:t>
            </w:r>
            <w:r>
              <w:rPr>
                <w:rFonts w:ascii="仿宋_GB2312" w:hAnsi="仿宋_GB2312" w:eastAsia="仿宋_GB2312" w:cs="仿宋_GB2312"/>
                <w:color w:val="000000"/>
                <w:kern w:val="0"/>
                <w:sz w:val="18"/>
                <w:szCs w:val="18"/>
                <w:highlight w:val="none"/>
              </w:rPr>
              <w:br w:type="textWrapping"/>
            </w:r>
            <w:r>
              <w:rPr>
                <w:rFonts w:ascii="仿宋_GB2312" w:hAnsi="仿宋_GB2312" w:eastAsia="仿宋_GB2312" w:cs="仿宋_GB2312"/>
                <w:color w:val="000000"/>
                <w:kern w:val="0"/>
                <w:sz w:val="18"/>
                <w:szCs w:val="18"/>
                <w:highlight w:val="none"/>
              </w:rPr>
              <w:t>4.</w:t>
            </w:r>
            <w:r>
              <w:rPr>
                <w:rFonts w:hint="eastAsia" w:ascii="仿宋_GB2312" w:hAnsi="仿宋_GB2312" w:eastAsia="仿宋_GB2312" w:cs="仿宋_GB2312"/>
                <w:color w:val="000000"/>
                <w:kern w:val="0"/>
                <w:sz w:val="18"/>
                <w:szCs w:val="18"/>
                <w:highlight w:val="none"/>
              </w:rPr>
              <w:t>《法律援助条例》第四条</w:t>
            </w:r>
            <w:r>
              <w:rPr>
                <w:rFonts w:ascii="仿宋_GB2312" w:hAnsi="仿宋_GB2312" w:eastAsia="仿宋_GB2312" w:cs="仿宋_GB2312"/>
                <w:color w:val="000000"/>
                <w:kern w:val="0"/>
                <w:sz w:val="18"/>
                <w:szCs w:val="18"/>
                <w:highlight w:val="none"/>
              </w:rPr>
              <w:t xml:space="preserve"> </w:t>
            </w:r>
            <w:r>
              <w:rPr>
                <w:rFonts w:hint="eastAsia" w:ascii="仿宋_GB2312" w:hAnsi="仿宋_GB2312" w:eastAsia="仿宋_GB2312" w:cs="仿宋_GB2312"/>
                <w:color w:val="000000"/>
                <w:kern w:val="0"/>
                <w:sz w:val="18"/>
                <w:szCs w:val="18"/>
                <w:highlight w:val="none"/>
              </w:rPr>
              <w:t>国务院司法行政部门监督管理全国的法律援助工作。县级以上地方各级人民政府司法行政部门监督管理本行政区域的法律援助工作。中华全国律师协会和地方律师协会应当按照律师协会章程对依据本条例实施的法律援助工作予以协助。</w:t>
            </w:r>
            <w:r>
              <w:rPr>
                <w:rFonts w:ascii="仿宋_GB2312" w:hAnsi="仿宋_GB2312" w:eastAsia="仿宋_GB2312" w:cs="仿宋_GB2312"/>
                <w:color w:val="000000"/>
                <w:kern w:val="0"/>
                <w:sz w:val="18"/>
                <w:szCs w:val="18"/>
                <w:highlight w:val="none"/>
              </w:rPr>
              <w:t xml:space="preserve">                                                             5.</w:t>
            </w:r>
            <w:r>
              <w:rPr>
                <w:rFonts w:hint="eastAsia" w:ascii="仿宋_GB2312" w:hAnsi="仿宋_GB2312" w:eastAsia="仿宋_GB2312" w:cs="仿宋_GB2312"/>
                <w:color w:val="000000"/>
                <w:kern w:val="0"/>
                <w:sz w:val="18"/>
                <w:szCs w:val="18"/>
                <w:highlight w:val="none"/>
              </w:rPr>
              <w:t>《公职律师管理办法》</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司发通（</w:t>
            </w:r>
            <w:r>
              <w:rPr>
                <w:rFonts w:ascii="仿宋_GB2312" w:hAnsi="仿宋_GB2312" w:eastAsia="仿宋_GB2312" w:cs="仿宋_GB2312"/>
                <w:color w:val="000000"/>
                <w:kern w:val="0"/>
                <w:sz w:val="18"/>
                <w:szCs w:val="18"/>
                <w:highlight w:val="none"/>
              </w:rPr>
              <w:t>2018</w:t>
            </w:r>
            <w:r>
              <w:rPr>
                <w:rFonts w:hint="eastAsia" w:ascii="仿宋_GB2312" w:hAnsi="仿宋_GB2312" w:eastAsia="仿宋_GB2312" w:cs="仿宋_GB2312"/>
                <w:color w:val="000000"/>
                <w:kern w:val="0"/>
                <w:sz w:val="18"/>
                <w:szCs w:val="18"/>
                <w:highlight w:val="none"/>
              </w:rPr>
              <w:t>）</w:t>
            </w:r>
            <w:r>
              <w:rPr>
                <w:rFonts w:ascii="仿宋_GB2312" w:hAnsi="仿宋_GB2312" w:eastAsia="仿宋_GB2312" w:cs="仿宋_GB2312"/>
                <w:color w:val="000000"/>
                <w:kern w:val="0"/>
                <w:sz w:val="18"/>
                <w:szCs w:val="18"/>
                <w:highlight w:val="none"/>
              </w:rPr>
              <w:t>131</w:t>
            </w:r>
            <w:r>
              <w:rPr>
                <w:rFonts w:hint="eastAsia" w:ascii="仿宋_GB2312" w:hAnsi="仿宋_GB2312" w:eastAsia="仿宋_GB2312" w:cs="仿宋_GB2312"/>
                <w:color w:val="000000"/>
                <w:kern w:val="0"/>
                <w:sz w:val="18"/>
                <w:szCs w:val="18"/>
                <w:highlight w:val="none"/>
              </w:rPr>
              <w:t>号</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第八条</w:t>
            </w:r>
            <w:r>
              <w:rPr>
                <w:rFonts w:ascii="仿宋_GB2312" w:hAnsi="仿宋_GB2312" w:eastAsia="仿宋_GB2312" w:cs="仿宋_GB2312"/>
                <w:color w:val="000000"/>
                <w:kern w:val="0"/>
                <w:sz w:val="18"/>
                <w:szCs w:val="18"/>
                <w:highlight w:val="none"/>
              </w:rPr>
              <w:t xml:space="preserve"> </w:t>
            </w:r>
            <w:r>
              <w:rPr>
                <w:rFonts w:hint="eastAsia" w:ascii="仿宋_GB2312" w:hAnsi="仿宋_GB2312" w:eastAsia="仿宋_GB2312" w:cs="仿宋_GB2312"/>
                <w:color w:val="000000"/>
                <w:kern w:val="0"/>
                <w:sz w:val="18"/>
                <w:szCs w:val="18"/>
                <w:highlight w:val="none"/>
              </w:rPr>
              <w:t>省级党政机关和人民团体公职人员申请担任公职律师的，由所在单位审核同意后向当地省、自治区、直辖市司法行政机关提出申请。设区的市级或者直辖市的区（县）级及以下党政机关和人民团体公职人员申请担任公职律师的，由所在单位审核同意后向当地设区的市级或者直辖市的区（县）司法行政机关提出申请。</w:t>
            </w:r>
          </w:p>
        </w:tc>
        <w:tc>
          <w:tcPr>
            <w:tcW w:w="113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highlight w:val="none"/>
              </w:rPr>
              <w:t>省司法厅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highlight w:val="none"/>
                <w:lang w:eastAsia="zh-CN"/>
              </w:rPr>
              <w:t>区司法局</w:t>
            </w:r>
          </w:p>
        </w:tc>
        <w:tc>
          <w:tcPr>
            <w:tcW w:w="3969"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ascii="仿宋_GB2312" w:hAnsi="仿宋_GB2312" w:eastAsia="仿宋_GB2312" w:cs="仿宋_GB2312"/>
                <w:color w:val="000000"/>
                <w:kern w:val="0"/>
                <w:sz w:val="18"/>
                <w:szCs w:val="18"/>
                <w:highlight w:val="none"/>
              </w:rPr>
              <w:t>1.</w:t>
            </w:r>
            <w:r>
              <w:rPr>
                <w:rFonts w:hint="eastAsia" w:ascii="仿宋_GB2312" w:hAnsi="仿宋_GB2312" w:eastAsia="仿宋_GB2312" w:cs="仿宋_GB2312"/>
                <w:color w:val="000000"/>
                <w:kern w:val="0"/>
                <w:sz w:val="18"/>
                <w:szCs w:val="18"/>
                <w:highlight w:val="none"/>
              </w:rPr>
              <w:t>受理环节责任</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公示依法应当提交的材料</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一次性告知补正材料</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依法受理或不予受理。</w:t>
            </w:r>
            <w:r>
              <w:rPr>
                <w:rFonts w:ascii="仿宋_GB2312" w:hAnsi="仿宋_GB2312" w:eastAsia="仿宋_GB2312" w:cs="仿宋_GB2312"/>
                <w:color w:val="000000"/>
                <w:kern w:val="0"/>
                <w:sz w:val="18"/>
                <w:szCs w:val="18"/>
                <w:highlight w:val="none"/>
              </w:rPr>
              <w:br w:type="textWrapping"/>
            </w:r>
            <w:r>
              <w:rPr>
                <w:rFonts w:ascii="仿宋_GB2312" w:hAnsi="仿宋_GB2312" w:eastAsia="仿宋_GB2312" w:cs="仿宋_GB2312"/>
                <w:color w:val="000000"/>
                <w:kern w:val="0"/>
                <w:sz w:val="18"/>
                <w:szCs w:val="18"/>
                <w:highlight w:val="none"/>
              </w:rPr>
              <w:t>2.</w:t>
            </w:r>
            <w:r>
              <w:rPr>
                <w:rFonts w:hint="eastAsia" w:ascii="仿宋_GB2312" w:hAnsi="仿宋_GB2312" w:eastAsia="仿宋_GB2312" w:cs="仿宋_GB2312"/>
                <w:color w:val="000000"/>
                <w:kern w:val="0"/>
                <w:sz w:val="18"/>
                <w:szCs w:val="18"/>
                <w:highlight w:val="none"/>
              </w:rPr>
              <w:t>审查报送环节责任</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审核推荐意见和有关材料，符合要求的，应当提出初审意见后再</w:t>
            </w:r>
            <w:r>
              <w:rPr>
                <w:rFonts w:hint="eastAsia" w:ascii="仿宋_GB2312" w:hAnsi="仿宋_GB2312" w:eastAsia="仿宋_GB2312" w:cs="仿宋_GB2312"/>
                <w:color w:val="000000"/>
                <w:kern w:val="0"/>
                <w:sz w:val="18"/>
                <w:szCs w:val="18"/>
                <w:highlight w:val="none"/>
                <w:lang w:val="en-US" w:eastAsia="zh-CN"/>
              </w:rPr>
              <w:t>逐级</w:t>
            </w:r>
            <w:r>
              <w:rPr>
                <w:rFonts w:hint="eastAsia" w:ascii="仿宋_GB2312" w:hAnsi="仿宋_GB2312" w:eastAsia="仿宋_GB2312" w:cs="仿宋_GB2312"/>
                <w:color w:val="000000"/>
                <w:kern w:val="0"/>
                <w:sz w:val="18"/>
                <w:szCs w:val="18"/>
                <w:highlight w:val="none"/>
              </w:rPr>
              <w:t>报省、自治区、直辖市司法行政机关审查，不符合要求的，应当书面通知申请人。</w:t>
            </w:r>
            <w:r>
              <w:rPr>
                <w:rFonts w:ascii="仿宋_GB2312" w:hAnsi="仿宋_GB2312" w:eastAsia="仿宋_GB2312" w:cs="仿宋_GB2312"/>
                <w:color w:val="000000"/>
                <w:kern w:val="0"/>
                <w:sz w:val="18"/>
                <w:szCs w:val="18"/>
                <w:highlight w:val="none"/>
              </w:rPr>
              <w:br w:type="textWrapping"/>
            </w:r>
            <w:r>
              <w:rPr>
                <w:rFonts w:ascii="仿宋_GB2312" w:hAnsi="仿宋_GB2312" w:eastAsia="仿宋_GB2312" w:cs="仿宋_GB2312"/>
                <w:color w:val="000000"/>
                <w:kern w:val="0"/>
                <w:sz w:val="18"/>
                <w:szCs w:val="18"/>
                <w:highlight w:val="none"/>
              </w:rPr>
              <w:t>3.</w:t>
            </w:r>
            <w:r>
              <w:rPr>
                <w:rFonts w:hint="eastAsia" w:ascii="仿宋_GB2312" w:hAnsi="仿宋_GB2312" w:eastAsia="仿宋_GB2312" w:cs="仿宋_GB2312"/>
                <w:color w:val="000000"/>
                <w:kern w:val="0"/>
                <w:sz w:val="18"/>
                <w:szCs w:val="18"/>
                <w:highlight w:val="none"/>
              </w:rPr>
              <w:t>送达环节责任</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通过省厅确认的，颁发证书。</w:t>
            </w:r>
            <w:r>
              <w:rPr>
                <w:rFonts w:ascii="仿宋_GB2312" w:hAnsi="仿宋_GB2312" w:eastAsia="仿宋_GB2312" w:cs="仿宋_GB2312"/>
                <w:color w:val="000000"/>
                <w:kern w:val="0"/>
                <w:sz w:val="18"/>
                <w:szCs w:val="18"/>
                <w:highlight w:val="none"/>
              </w:rPr>
              <w:br w:type="textWrapping"/>
            </w:r>
            <w:r>
              <w:rPr>
                <w:rFonts w:ascii="仿宋_GB2312" w:hAnsi="仿宋_GB2312" w:eastAsia="仿宋_GB2312" w:cs="仿宋_GB2312"/>
                <w:color w:val="000000"/>
                <w:kern w:val="0"/>
                <w:sz w:val="18"/>
                <w:szCs w:val="18"/>
                <w:highlight w:val="none"/>
              </w:rPr>
              <w:t>4.</w:t>
            </w:r>
            <w:r>
              <w:rPr>
                <w:rFonts w:hint="eastAsia" w:ascii="仿宋_GB2312" w:hAnsi="仿宋_GB2312" w:eastAsia="仿宋_GB2312" w:cs="仿宋_GB2312"/>
                <w:color w:val="000000"/>
                <w:kern w:val="0"/>
                <w:sz w:val="18"/>
                <w:szCs w:val="18"/>
                <w:highlight w:val="none"/>
              </w:rPr>
              <w:t>事后监管环节责任</w:t>
            </w:r>
            <w:r>
              <w:rPr>
                <w:rFonts w:ascii="仿宋_GB2312" w:hAnsi="仿宋_GB2312" w:eastAsia="仿宋_GB2312" w:cs="仿宋_GB2312"/>
                <w:color w:val="000000"/>
                <w:kern w:val="0"/>
                <w:sz w:val="18"/>
                <w:szCs w:val="18"/>
                <w:highlight w:val="none"/>
              </w:rPr>
              <w:t>:</w:t>
            </w:r>
            <w:r>
              <w:rPr>
                <w:rFonts w:hint="eastAsia" w:ascii="仿宋_GB2312" w:hAnsi="仿宋_GB2312" w:eastAsia="仿宋_GB2312" w:cs="仿宋_GB2312"/>
                <w:color w:val="000000"/>
                <w:kern w:val="0"/>
                <w:sz w:val="18"/>
                <w:szCs w:val="18"/>
                <w:highlight w:val="none"/>
              </w:rPr>
              <w:t>对业务活动监督指导。</w:t>
            </w:r>
            <w:r>
              <w:rPr>
                <w:rFonts w:ascii="仿宋_GB2312" w:hAnsi="仿宋_GB2312" w:eastAsia="仿宋_GB2312" w:cs="仿宋_GB2312"/>
                <w:color w:val="000000"/>
                <w:kern w:val="0"/>
                <w:sz w:val="18"/>
                <w:szCs w:val="18"/>
                <w:highlight w:val="none"/>
              </w:rPr>
              <w:br w:type="textWrapping"/>
            </w:r>
            <w:r>
              <w:rPr>
                <w:rFonts w:ascii="仿宋_GB2312" w:hAnsi="仿宋_GB2312" w:eastAsia="仿宋_GB2312" w:cs="仿宋_GB2312"/>
                <w:color w:val="000000"/>
                <w:kern w:val="0"/>
                <w:sz w:val="18"/>
                <w:szCs w:val="18"/>
                <w:highlight w:val="none"/>
              </w:rPr>
              <w:t>5.</w:t>
            </w:r>
            <w:r>
              <w:rPr>
                <w:rFonts w:hint="eastAsia" w:ascii="仿宋_GB2312" w:hAnsi="仿宋_GB2312" w:eastAsia="仿宋_GB2312" w:cs="仿宋_GB2312"/>
                <w:color w:val="000000"/>
                <w:kern w:val="0"/>
                <w:sz w:val="18"/>
                <w:szCs w:val="18"/>
                <w:highlight w:val="none"/>
              </w:rPr>
              <w:t>其他法律法规规章文件规定应履行的责任。</w:t>
            </w:r>
          </w:p>
        </w:tc>
        <w:tc>
          <w:tcPr>
            <w:tcW w:w="3402"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highlight w:val="none"/>
              </w:rPr>
              <w:t>因不履行或不正确履行行政职责，有下列情形的，行政机关及相关工作人员应承担相应责任：</w:t>
            </w:r>
            <w:r>
              <w:rPr>
                <w:rFonts w:ascii="仿宋_GB2312" w:hAnsi="仿宋_GB2312" w:eastAsia="仿宋_GB2312" w:cs="仿宋_GB2312"/>
                <w:color w:val="000000"/>
                <w:kern w:val="0"/>
                <w:sz w:val="18"/>
                <w:szCs w:val="18"/>
                <w:highlight w:val="none"/>
              </w:rPr>
              <w:br w:type="textWrapping"/>
            </w:r>
            <w:r>
              <w:rPr>
                <w:rFonts w:ascii="仿宋_GB2312" w:hAnsi="仿宋_GB2312" w:eastAsia="仿宋_GB2312" w:cs="仿宋_GB2312"/>
                <w:color w:val="000000"/>
                <w:kern w:val="0"/>
                <w:sz w:val="18"/>
                <w:szCs w:val="18"/>
                <w:highlight w:val="none"/>
              </w:rPr>
              <w:t>1.</w:t>
            </w:r>
            <w:r>
              <w:rPr>
                <w:rFonts w:hint="eastAsia" w:ascii="仿宋_GB2312" w:hAnsi="仿宋_GB2312" w:eastAsia="仿宋_GB2312" w:cs="仿宋_GB2312"/>
                <w:color w:val="000000"/>
                <w:kern w:val="0"/>
                <w:sz w:val="18"/>
                <w:szCs w:val="18"/>
                <w:highlight w:val="none"/>
              </w:rPr>
              <w:t>对符合受理条件的行政认定申请不予受理的；</w:t>
            </w:r>
            <w:r>
              <w:rPr>
                <w:rFonts w:ascii="仿宋_GB2312" w:hAnsi="仿宋_GB2312" w:eastAsia="仿宋_GB2312" w:cs="仿宋_GB2312"/>
                <w:color w:val="000000"/>
                <w:kern w:val="0"/>
                <w:sz w:val="18"/>
                <w:szCs w:val="18"/>
                <w:highlight w:val="none"/>
              </w:rPr>
              <w:br w:type="textWrapping"/>
            </w:r>
            <w:r>
              <w:rPr>
                <w:rFonts w:ascii="仿宋_GB2312" w:hAnsi="仿宋_GB2312" w:eastAsia="仿宋_GB2312" w:cs="仿宋_GB2312"/>
                <w:color w:val="000000"/>
                <w:kern w:val="0"/>
                <w:sz w:val="18"/>
                <w:szCs w:val="18"/>
                <w:highlight w:val="none"/>
              </w:rPr>
              <w:t>2.</w:t>
            </w:r>
            <w:r>
              <w:rPr>
                <w:rFonts w:hint="eastAsia" w:ascii="仿宋_GB2312" w:hAnsi="仿宋_GB2312" w:eastAsia="仿宋_GB2312" w:cs="仿宋_GB2312"/>
                <w:color w:val="000000"/>
                <w:kern w:val="0"/>
                <w:sz w:val="18"/>
                <w:szCs w:val="18"/>
                <w:highlight w:val="none"/>
              </w:rPr>
              <w:t>未严格按照相关政策、法律、法规履行审查义务，对应当予以认定的不予认定，或者对不应认定的予以认定；</w:t>
            </w:r>
            <w:r>
              <w:rPr>
                <w:rFonts w:ascii="仿宋_GB2312" w:hAnsi="仿宋_GB2312" w:eastAsia="仿宋_GB2312" w:cs="仿宋_GB2312"/>
                <w:color w:val="000000"/>
                <w:kern w:val="0"/>
                <w:sz w:val="18"/>
                <w:szCs w:val="18"/>
                <w:highlight w:val="none"/>
              </w:rPr>
              <w:br w:type="textWrapping"/>
            </w:r>
            <w:r>
              <w:rPr>
                <w:rFonts w:ascii="仿宋_GB2312" w:hAnsi="仿宋_GB2312" w:eastAsia="仿宋_GB2312" w:cs="仿宋_GB2312"/>
                <w:color w:val="000000"/>
                <w:kern w:val="0"/>
                <w:sz w:val="18"/>
                <w:szCs w:val="18"/>
                <w:highlight w:val="none"/>
              </w:rPr>
              <w:t>3.</w:t>
            </w:r>
            <w:r>
              <w:rPr>
                <w:rFonts w:hint="eastAsia" w:ascii="仿宋_GB2312" w:hAnsi="仿宋_GB2312" w:eastAsia="仿宋_GB2312" w:cs="仿宋_GB2312"/>
                <w:color w:val="000000"/>
                <w:kern w:val="0"/>
                <w:sz w:val="18"/>
                <w:szCs w:val="18"/>
                <w:highlight w:val="none"/>
              </w:rPr>
              <w:t>不依法履行监督职责或者监督不力；</w:t>
            </w:r>
            <w:r>
              <w:rPr>
                <w:rFonts w:ascii="仿宋_GB2312" w:hAnsi="仿宋_GB2312" w:eastAsia="仿宋_GB2312" w:cs="仿宋_GB2312"/>
                <w:color w:val="000000"/>
                <w:kern w:val="0"/>
                <w:sz w:val="18"/>
                <w:szCs w:val="18"/>
                <w:highlight w:val="none"/>
              </w:rPr>
              <w:br w:type="textWrapping"/>
            </w:r>
            <w:r>
              <w:rPr>
                <w:rFonts w:ascii="仿宋_GB2312" w:hAnsi="仿宋_GB2312" w:eastAsia="仿宋_GB2312" w:cs="仿宋_GB2312"/>
                <w:color w:val="000000"/>
                <w:kern w:val="0"/>
                <w:sz w:val="18"/>
                <w:szCs w:val="18"/>
                <w:highlight w:val="none"/>
              </w:rPr>
              <w:t>4.</w:t>
            </w:r>
            <w:r>
              <w:rPr>
                <w:rFonts w:hint="eastAsia" w:ascii="仿宋_GB2312" w:hAnsi="仿宋_GB2312" w:eastAsia="仿宋_GB2312" w:cs="仿宋_GB2312"/>
                <w:color w:val="000000"/>
                <w:kern w:val="0"/>
                <w:sz w:val="18"/>
                <w:szCs w:val="18"/>
                <w:highlight w:val="none"/>
              </w:rPr>
              <w:t>其他违反法律法规规章文件规定的行为。</w:t>
            </w:r>
          </w:p>
        </w:tc>
        <w:tc>
          <w:tcPr>
            <w:tcW w:w="567" w:type="dxa"/>
            <w:tcBorders>
              <w:tl2br w:val="nil"/>
              <w:tr2bl w:val="nil"/>
            </w:tcBorders>
            <w:shd w:val="clear" w:color="auto" w:fill="auto"/>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469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9</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行政奖励 </w:t>
            </w:r>
          </w:p>
        </w:tc>
        <w:tc>
          <w:tcPr>
            <w:tcW w:w="113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对律师事务所、律师的表彰奖励</w:t>
            </w:r>
          </w:p>
        </w:tc>
        <w:tc>
          <w:tcPr>
            <w:tcW w:w="3118"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1.《律师执业管理办法》（2008年7月18日司法部令第112号公布，2016年9月18日司法部令第134号修订）第五条 　司法行政机关、律师协会应当建立健全律师表彰奖励制度，根据有关规定设立综合性和单项表彰项目，对为维护人民群众合法权益、促进经济社会发展和国家法治建设作出突出贡献的律师进行表彰奖励。</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2.《律师事务所管理办法》（2008年7月18日司法部令第111号公布，2018年12月5日司法部令第142号修正）第六条 司法行政机关、律师协会应当建立健全律师事务所表彰奖励制度，根据有关规定设立综合性和单项表彰项目，对为维护人民群众合法权益、促进经济社会发展和国家法治建设作出突出贡献的律师事务所进行表彰奖励。</w:t>
            </w:r>
          </w:p>
        </w:tc>
        <w:tc>
          <w:tcPr>
            <w:tcW w:w="113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Style w:val="4"/>
                <w:rFonts w:hint="eastAsia" w:ascii="仿宋_GB2312" w:hAnsi="仿宋_GB2312" w:eastAsia="仿宋_GB2312" w:cs="仿宋_GB2312"/>
                <w:sz w:val="18"/>
                <w:szCs w:val="18"/>
                <w:highlight w:val="none"/>
                <w:lang w:val="en-US" w:eastAsia="zh-CN" w:bidi="ar"/>
              </w:rPr>
              <w:t xml:space="preserve">1.受理环节责任：对申报的材料进行受理。 </w:t>
            </w:r>
            <w:r>
              <w:rPr>
                <w:rStyle w:val="5"/>
                <w:rFonts w:hint="eastAsia" w:ascii="仿宋_GB2312" w:hAnsi="仿宋_GB2312" w:eastAsia="仿宋_GB2312" w:cs="仿宋_GB2312"/>
                <w:sz w:val="18"/>
                <w:szCs w:val="18"/>
                <w:highlight w:val="none"/>
                <w:lang w:val="en-US" w:eastAsia="zh-CN" w:bidi="ar"/>
              </w:rPr>
              <w:t> </w:t>
            </w:r>
            <w:r>
              <w:rPr>
                <w:rStyle w:val="4"/>
                <w:rFonts w:hint="eastAsia" w:ascii="仿宋_GB2312" w:hAnsi="仿宋_GB2312" w:eastAsia="仿宋_GB2312" w:cs="仿宋_GB2312"/>
                <w:sz w:val="18"/>
                <w:szCs w:val="18"/>
                <w:highlight w:val="none"/>
                <w:lang w:val="en-US" w:eastAsia="zh-CN" w:bidi="ar"/>
              </w:rPr>
              <w:br w:type="textWrapping"/>
            </w:r>
            <w:r>
              <w:rPr>
                <w:rStyle w:val="4"/>
                <w:rFonts w:hint="eastAsia" w:ascii="仿宋_GB2312" w:hAnsi="仿宋_GB2312" w:eastAsia="仿宋_GB2312" w:cs="仿宋_GB2312"/>
                <w:sz w:val="18"/>
                <w:szCs w:val="18"/>
                <w:highlight w:val="none"/>
                <w:lang w:val="en-US" w:eastAsia="zh-CN" w:bidi="ar"/>
              </w:rPr>
              <w:t xml:space="preserve">2.审查环节责任：对奖励对象的材料进行审核。 </w:t>
            </w:r>
            <w:r>
              <w:rPr>
                <w:rStyle w:val="5"/>
                <w:rFonts w:hint="eastAsia" w:ascii="仿宋_GB2312" w:hAnsi="仿宋_GB2312" w:eastAsia="仿宋_GB2312" w:cs="仿宋_GB2312"/>
                <w:sz w:val="18"/>
                <w:szCs w:val="18"/>
                <w:highlight w:val="none"/>
                <w:lang w:val="en-US" w:eastAsia="zh-CN" w:bidi="ar"/>
              </w:rPr>
              <w:t> </w:t>
            </w:r>
            <w:r>
              <w:rPr>
                <w:rStyle w:val="4"/>
                <w:rFonts w:hint="eastAsia" w:ascii="仿宋_GB2312" w:hAnsi="仿宋_GB2312" w:eastAsia="仿宋_GB2312" w:cs="仿宋_GB2312"/>
                <w:sz w:val="18"/>
                <w:szCs w:val="18"/>
                <w:highlight w:val="none"/>
                <w:lang w:val="en-US" w:eastAsia="zh-CN" w:bidi="ar"/>
              </w:rPr>
              <w:br w:type="textWrapping"/>
            </w:r>
            <w:r>
              <w:rPr>
                <w:rStyle w:val="4"/>
                <w:rFonts w:hint="eastAsia" w:ascii="仿宋_GB2312" w:hAnsi="仿宋_GB2312" w:eastAsia="仿宋_GB2312" w:cs="仿宋_GB2312"/>
                <w:sz w:val="18"/>
                <w:szCs w:val="18"/>
                <w:highlight w:val="none"/>
                <w:lang w:val="en-US" w:eastAsia="zh-CN" w:bidi="ar"/>
              </w:rPr>
              <w:t xml:space="preserve">3.公示环节责任：对符合条件的推荐对象进行公示。 </w:t>
            </w:r>
            <w:r>
              <w:rPr>
                <w:rStyle w:val="5"/>
                <w:rFonts w:hint="eastAsia" w:ascii="仿宋_GB2312" w:hAnsi="仿宋_GB2312" w:eastAsia="仿宋_GB2312" w:cs="仿宋_GB2312"/>
                <w:sz w:val="18"/>
                <w:szCs w:val="18"/>
                <w:highlight w:val="none"/>
                <w:lang w:val="en-US" w:eastAsia="zh-CN" w:bidi="ar"/>
              </w:rPr>
              <w:t> </w:t>
            </w:r>
            <w:r>
              <w:rPr>
                <w:rStyle w:val="4"/>
                <w:rFonts w:hint="eastAsia" w:ascii="仿宋_GB2312" w:hAnsi="仿宋_GB2312" w:eastAsia="仿宋_GB2312" w:cs="仿宋_GB2312"/>
                <w:sz w:val="18"/>
                <w:szCs w:val="18"/>
                <w:highlight w:val="none"/>
                <w:lang w:val="en-US" w:eastAsia="zh-CN" w:bidi="ar"/>
              </w:rPr>
              <w:br w:type="textWrapping"/>
            </w:r>
            <w:r>
              <w:rPr>
                <w:rStyle w:val="4"/>
                <w:rFonts w:hint="eastAsia" w:ascii="仿宋_GB2312" w:hAnsi="仿宋_GB2312" w:eastAsia="仿宋_GB2312" w:cs="仿宋_GB2312"/>
                <w:sz w:val="18"/>
                <w:szCs w:val="18"/>
                <w:highlight w:val="none"/>
                <w:lang w:val="en-US" w:eastAsia="zh-CN" w:bidi="ar"/>
              </w:rPr>
              <w:t>4.决定环节责任：按照程序报请研究审定，依法进行奖励。</w:t>
            </w:r>
            <w:r>
              <w:rPr>
                <w:rStyle w:val="4"/>
                <w:rFonts w:hint="eastAsia" w:ascii="仿宋_GB2312" w:hAnsi="仿宋_GB2312" w:eastAsia="仿宋_GB2312" w:cs="仿宋_GB2312"/>
                <w:sz w:val="18"/>
                <w:szCs w:val="18"/>
                <w:highlight w:val="none"/>
                <w:lang w:val="en-US" w:eastAsia="zh-CN" w:bidi="ar"/>
              </w:rPr>
              <w:br w:type="textWrapping"/>
            </w:r>
            <w:r>
              <w:rPr>
                <w:rStyle w:val="4"/>
                <w:rFonts w:hint="eastAsia" w:ascii="仿宋_GB2312" w:hAnsi="仿宋_GB2312" w:eastAsia="仿宋_GB2312" w:cs="仿宋_GB2312"/>
                <w:sz w:val="18"/>
                <w:szCs w:val="18"/>
                <w:highlight w:val="none"/>
                <w:lang w:val="en-US" w:eastAsia="zh-CN" w:bidi="ar"/>
              </w:rPr>
              <w:t>5.法律法规规章文件规定应履行的其他责任。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1.不符合条件的申请，违规受理并通过初评，造成不良影响的；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2.未经批准擅自举办表彰奖励活动的；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3.向参评单位和个人收取费用的；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4.未按照规定进行公示的；         </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5.工作中滥用职权、徇私舞弊、玩忽职守造成不良后果的；             </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6.工作中发生贪污腐败行为的；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7.其他违反法律法规规章文件规定的行为。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498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highlight w:val="none"/>
                <w:u w:val="none"/>
                <w:lang w:val="en-US"/>
              </w:rPr>
            </w:pPr>
            <w:r>
              <w:rPr>
                <w:rFonts w:hint="eastAsia" w:ascii="仿宋_GB2312" w:hAnsi="仿宋_GB2312" w:eastAsia="仿宋_GB2312" w:cs="仿宋_GB2312"/>
                <w:i w:val="0"/>
                <w:color w:val="000000"/>
                <w:kern w:val="0"/>
                <w:sz w:val="18"/>
                <w:szCs w:val="18"/>
                <w:highlight w:val="none"/>
                <w:u w:val="none"/>
                <w:lang w:val="en-US" w:eastAsia="zh-CN" w:bidi="ar"/>
              </w:rPr>
              <w:t>10</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行政奖励 </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对法制（治）宣传教育工作先进集体、先进工作者和先进个人的表彰奖励</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《河北省法制宣传教育条例》（省第十二届人大常委会2013年5月30日通过）第八条 县级以上人民政府司法行政部门主管本行政区域内的法制宣传教育工作，履行下列职责： (四)对本行政区域的法制宣传教育工作情况进行考核、评比和表彰。第二十三条　县级以上人民政府及各有关部门应当按照国家和本省有关规定，对在法制宣传教育工作中成绩显著的单位和个人给予表彰和奖励。</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1.受理环节责任：对申报的材料进行受理。</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2.审查环节责任：对奖励对象的材料进行审核。</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3.公示环节责任：对符合条件的推荐对象进行公示。</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4.决定环节责任：按照程序报请研究审定，依法进行奖励。</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5.法律法规规章文件规定应履行的其他责任。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1.不符合条件的申请，违规受理并通过初评，造成不良影响的；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2.未经批准擅自举办表彰奖励活动的；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3.向参评单位和个人收取费用的；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4.未按照规定进行公示的；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5.工作中滥用职权、徇私舞弊、玩忽职守造成不良后果的；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6.工作中发生贪污腐败行为的；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7.其他违反法律法规规章文件规定的行为。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4642"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highlight w:val="none"/>
                <w:u w:val="none"/>
                <w:lang w:val="en-US"/>
              </w:rPr>
            </w:pPr>
            <w:r>
              <w:rPr>
                <w:rFonts w:hint="eastAsia" w:ascii="仿宋_GB2312" w:hAnsi="仿宋_GB2312" w:eastAsia="仿宋_GB2312" w:cs="仿宋_GB2312"/>
                <w:i w:val="0"/>
                <w:color w:val="000000"/>
                <w:kern w:val="0"/>
                <w:sz w:val="18"/>
                <w:szCs w:val="18"/>
                <w:highlight w:val="none"/>
                <w:u w:val="none"/>
                <w:lang w:val="en-US" w:eastAsia="zh-CN" w:bidi="ar"/>
              </w:rPr>
              <w:t>11</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行政奖励 </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对人民调解委员会和人民调解员的表彰奖励</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《中华人民共和国人民调解法》第六条  国家鼓励和支持人民调解工作。县级以上地方人民政府对人民调解工作所需经费应当给予必要的支持和保障，对有突出贡献的人民调解委员会和人民调解员按照国家规定给予表彰奖励。</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1.受理环节责任：对申报的材料进行受理。</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2.审查环节责任：对奖励对象的材料进行审核。</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3.公示环节责任：对符合条件的推荐对象进行公示。</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4.决定环节责任：按照程序报请研究审定，依法进行奖励。</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5.法律法规规章文件规定应履行的其他责任。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1.不符合条件的申请，违规受理并通过初评，造成不良影响的；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2.未经批准擅自举办表彰奖励活动的；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3.向参评单位和个人收取费用的；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4.未按照规定进行公示的；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5.工作中滥用职权、徇私舞弊、玩忽职守造成不良后果的；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6.工作中发生贪污腐败行为的；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7.其他违反法律法规规章文件规定的行为。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4322"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highlight w:val="none"/>
                <w:u w:val="none"/>
                <w:lang w:val="en-US"/>
              </w:rPr>
            </w:pPr>
            <w:r>
              <w:rPr>
                <w:rFonts w:hint="eastAsia" w:ascii="仿宋_GB2312" w:hAnsi="仿宋_GB2312" w:eastAsia="仿宋_GB2312" w:cs="仿宋_GB2312"/>
                <w:i w:val="0"/>
                <w:color w:val="000000"/>
                <w:kern w:val="0"/>
                <w:sz w:val="18"/>
                <w:szCs w:val="18"/>
                <w:highlight w:val="none"/>
                <w:u w:val="none"/>
                <w:lang w:val="en-US" w:eastAsia="zh-CN" w:bidi="ar"/>
              </w:rPr>
              <w:t>12</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行政奖励 </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对法律援助工作先进单位和个人的表彰奖励</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1.《法律援助法》第十一条 国家对在法律援助工作中做出突出贡献的组织和个人，按照有关规定给予表彰、奖励。</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2.《法律援助条例》第九条　对在法律援助工作中作出突出贡献的组织和个人，有关的人民政府、司法行政部门应当给予表彰、奖励。</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auto"/>
                <w:sz w:val="18"/>
                <w:szCs w:val="18"/>
                <w:highlight w:val="none"/>
                <w:u w:val="none"/>
              </w:rPr>
            </w:pPr>
            <w:r>
              <w:rPr>
                <w:rFonts w:hint="eastAsia" w:ascii="仿宋_GB2312" w:hAnsi="仿宋_GB2312" w:eastAsia="仿宋_GB2312" w:cs="仿宋_GB2312"/>
                <w:i w:val="0"/>
                <w:color w:val="auto"/>
                <w:kern w:val="0"/>
                <w:sz w:val="18"/>
                <w:szCs w:val="18"/>
                <w:highlight w:val="none"/>
                <w:u w:val="none"/>
                <w:lang w:val="en-US" w:eastAsia="zh-CN" w:bidi="ar"/>
              </w:rPr>
              <w:t>区司法局</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auto"/>
                <w:sz w:val="18"/>
                <w:szCs w:val="18"/>
                <w:highlight w:val="none"/>
                <w:u w:val="none"/>
              </w:rPr>
            </w:pPr>
            <w:r>
              <w:rPr>
                <w:rStyle w:val="4"/>
                <w:rFonts w:hint="eastAsia" w:ascii="仿宋_GB2312" w:hAnsi="仿宋_GB2312" w:eastAsia="仿宋_GB2312" w:cs="仿宋_GB2312"/>
                <w:color w:val="auto"/>
                <w:sz w:val="18"/>
                <w:szCs w:val="18"/>
                <w:highlight w:val="none"/>
                <w:lang w:val="en-US" w:eastAsia="zh-CN" w:bidi="ar"/>
              </w:rPr>
              <w:t>1.受理环节责任：对申报的材料进行受理。</w:t>
            </w:r>
            <w:r>
              <w:rPr>
                <w:rStyle w:val="4"/>
                <w:rFonts w:hint="eastAsia" w:ascii="仿宋_GB2312" w:hAnsi="仿宋_GB2312" w:eastAsia="仿宋_GB2312" w:cs="仿宋_GB2312"/>
                <w:color w:val="auto"/>
                <w:sz w:val="18"/>
                <w:szCs w:val="18"/>
                <w:highlight w:val="none"/>
                <w:lang w:val="en-US" w:eastAsia="zh-CN" w:bidi="ar"/>
              </w:rPr>
              <w:br w:type="textWrapping"/>
            </w:r>
            <w:r>
              <w:rPr>
                <w:rStyle w:val="4"/>
                <w:rFonts w:hint="eastAsia" w:ascii="仿宋_GB2312" w:hAnsi="仿宋_GB2312" w:eastAsia="仿宋_GB2312" w:cs="仿宋_GB2312"/>
                <w:color w:val="auto"/>
                <w:sz w:val="18"/>
                <w:szCs w:val="18"/>
                <w:highlight w:val="none"/>
                <w:lang w:val="en-US" w:eastAsia="zh-CN" w:bidi="ar"/>
              </w:rPr>
              <w:t>2.审查环节责任：对奖励对象的材料进行审核。</w:t>
            </w:r>
            <w:r>
              <w:rPr>
                <w:rStyle w:val="4"/>
                <w:rFonts w:hint="eastAsia" w:ascii="仿宋_GB2312" w:hAnsi="仿宋_GB2312" w:eastAsia="仿宋_GB2312" w:cs="仿宋_GB2312"/>
                <w:color w:val="auto"/>
                <w:sz w:val="18"/>
                <w:szCs w:val="18"/>
                <w:highlight w:val="none"/>
                <w:lang w:val="en-US" w:eastAsia="zh-CN" w:bidi="ar"/>
              </w:rPr>
              <w:br w:type="textWrapping"/>
            </w:r>
            <w:r>
              <w:rPr>
                <w:rStyle w:val="5"/>
                <w:rFonts w:hint="eastAsia" w:ascii="仿宋_GB2312" w:hAnsi="仿宋_GB2312" w:eastAsia="仿宋_GB2312" w:cs="仿宋_GB2312"/>
                <w:color w:val="auto"/>
                <w:sz w:val="18"/>
                <w:szCs w:val="18"/>
                <w:highlight w:val="none"/>
                <w:lang w:val="en-US" w:eastAsia="zh-CN" w:bidi="ar"/>
              </w:rPr>
              <w:t>3</w:t>
            </w:r>
            <w:r>
              <w:rPr>
                <w:rStyle w:val="4"/>
                <w:rFonts w:hint="eastAsia" w:ascii="仿宋_GB2312" w:hAnsi="仿宋_GB2312" w:eastAsia="仿宋_GB2312" w:cs="仿宋_GB2312"/>
                <w:color w:val="auto"/>
                <w:sz w:val="18"/>
                <w:szCs w:val="18"/>
                <w:highlight w:val="none"/>
                <w:lang w:val="en-US" w:eastAsia="zh-CN" w:bidi="ar"/>
              </w:rPr>
              <w:t>.公示环节责任：对符合条件的推荐对象进行公示。</w:t>
            </w:r>
            <w:r>
              <w:rPr>
                <w:rStyle w:val="4"/>
                <w:rFonts w:hint="eastAsia" w:ascii="仿宋_GB2312" w:hAnsi="仿宋_GB2312" w:eastAsia="仿宋_GB2312" w:cs="仿宋_GB2312"/>
                <w:color w:val="auto"/>
                <w:sz w:val="18"/>
                <w:szCs w:val="18"/>
                <w:highlight w:val="none"/>
                <w:lang w:val="en-US" w:eastAsia="zh-CN" w:bidi="ar"/>
              </w:rPr>
              <w:br w:type="textWrapping"/>
            </w:r>
            <w:r>
              <w:rPr>
                <w:rStyle w:val="4"/>
                <w:rFonts w:hint="eastAsia" w:ascii="仿宋_GB2312" w:hAnsi="仿宋_GB2312" w:eastAsia="仿宋_GB2312" w:cs="仿宋_GB2312"/>
                <w:color w:val="auto"/>
                <w:sz w:val="18"/>
                <w:szCs w:val="18"/>
                <w:highlight w:val="none"/>
                <w:lang w:val="en-US" w:eastAsia="zh-CN" w:bidi="ar"/>
              </w:rPr>
              <w:t>4</w:t>
            </w:r>
            <w:r>
              <w:rPr>
                <w:rStyle w:val="5"/>
                <w:rFonts w:hint="eastAsia" w:ascii="仿宋_GB2312" w:hAnsi="仿宋_GB2312" w:eastAsia="仿宋_GB2312" w:cs="仿宋_GB2312"/>
                <w:color w:val="auto"/>
                <w:sz w:val="18"/>
                <w:szCs w:val="18"/>
                <w:highlight w:val="none"/>
                <w:lang w:val="en-US" w:eastAsia="zh-CN" w:bidi="ar"/>
              </w:rPr>
              <w:t>.</w:t>
            </w:r>
            <w:r>
              <w:rPr>
                <w:rStyle w:val="4"/>
                <w:rFonts w:hint="eastAsia" w:ascii="仿宋_GB2312" w:hAnsi="仿宋_GB2312" w:eastAsia="仿宋_GB2312" w:cs="仿宋_GB2312"/>
                <w:color w:val="auto"/>
                <w:sz w:val="18"/>
                <w:szCs w:val="18"/>
                <w:highlight w:val="none"/>
                <w:lang w:val="en-US" w:eastAsia="zh-CN" w:bidi="ar"/>
              </w:rPr>
              <w:t>决定环节责任：按照程序报请研究审定，依法进行奖励。</w:t>
            </w:r>
            <w:r>
              <w:rPr>
                <w:rStyle w:val="4"/>
                <w:rFonts w:hint="eastAsia" w:ascii="仿宋_GB2312" w:hAnsi="仿宋_GB2312" w:eastAsia="仿宋_GB2312" w:cs="仿宋_GB2312"/>
                <w:color w:val="auto"/>
                <w:sz w:val="18"/>
                <w:szCs w:val="18"/>
                <w:highlight w:val="none"/>
                <w:lang w:val="en-US" w:eastAsia="zh-CN" w:bidi="ar"/>
              </w:rPr>
              <w:br w:type="textWrapping"/>
            </w:r>
            <w:r>
              <w:rPr>
                <w:rStyle w:val="4"/>
                <w:rFonts w:hint="eastAsia" w:ascii="仿宋_GB2312" w:hAnsi="仿宋_GB2312" w:eastAsia="仿宋_GB2312" w:cs="仿宋_GB2312"/>
                <w:color w:val="auto"/>
                <w:sz w:val="18"/>
                <w:szCs w:val="18"/>
                <w:highlight w:val="none"/>
                <w:lang w:val="en-US" w:eastAsia="zh-CN" w:bidi="ar"/>
              </w:rPr>
              <w:t>5.</w:t>
            </w:r>
            <w:r>
              <w:rPr>
                <w:rStyle w:val="6"/>
                <w:rFonts w:hint="eastAsia" w:ascii="仿宋_GB2312" w:hAnsi="仿宋_GB2312" w:eastAsia="仿宋_GB2312" w:cs="仿宋_GB2312"/>
                <w:color w:val="auto"/>
                <w:sz w:val="18"/>
                <w:szCs w:val="18"/>
                <w:highlight w:val="none"/>
                <w:lang w:val="en-US" w:eastAsia="zh-CN" w:bidi="ar"/>
              </w:rPr>
              <w:t>法</w:t>
            </w:r>
            <w:r>
              <w:rPr>
                <w:rStyle w:val="4"/>
                <w:rFonts w:hint="eastAsia" w:ascii="仿宋_GB2312" w:hAnsi="仿宋_GB2312" w:eastAsia="仿宋_GB2312" w:cs="仿宋_GB2312"/>
                <w:color w:val="auto"/>
                <w:sz w:val="18"/>
                <w:szCs w:val="18"/>
                <w:highlight w:val="none"/>
                <w:lang w:val="en-US" w:eastAsia="zh-CN" w:bidi="ar"/>
              </w:rPr>
              <w:t>律法规规章文件规定应履行的其他责任。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1.不符合条件的申请，违规受理并通过初评，造成不良影响的；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2.未经批准擅自举办表彰奖励活动的；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3.向参评单位和个人收取费用的；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4.未按照规定进行公示的；       </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5.工作中滥用职权、徇私舞弊、玩忽职守造成不良后果的；             </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6.工作中发生贪污腐败行为的；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7.其他违反法律法规规章文件规定的行为。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424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highlight w:val="none"/>
                <w:u w:val="none"/>
                <w:lang w:val="en-US"/>
              </w:rPr>
            </w:pPr>
            <w:r>
              <w:rPr>
                <w:rFonts w:hint="eastAsia" w:ascii="仿宋_GB2312" w:hAnsi="仿宋_GB2312" w:eastAsia="仿宋_GB2312" w:cs="仿宋_GB2312"/>
                <w:i w:val="0"/>
                <w:color w:val="000000"/>
                <w:kern w:val="0"/>
                <w:sz w:val="18"/>
                <w:szCs w:val="18"/>
                <w:highlight w:val="none"/>
                <w:u w:val="none"/>
                <w:lang w:val="en-US" w:eastAsia="zh-CN" w:bidi="ar"/>
              </w:rPr>
              <w:t>13</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行政奖励 </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对社区矫正工作做出突出贡献组织和个人的表彰奖励</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《中华人民共和国社区矫正法》（已由中华人民共和国第十三届全国人民代表大会常务委员会第十五次会议于2019年12月28日通过，现予公布，自2020年7月1日起施行）第七条　对在社区矫正工作中做出突出贡献的组织、个人，按照国家有关规定给予表彰、奖励。</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1.受理环节责任：对申报的材料进行受理。</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2.审查环节责任：对奖励对象的材料进行审核。</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3.公示环节责任：对符合条件的推荐对象进行公示。</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4.决定环节责任：按照程序报请研究审定，依法进行奖励。</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5.法律法规规章文件规定应履行的其他责任。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1.不符合条件的申请，违规受理并通过初评，造成不良影响的；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2.未经批准擅自举办表彰奖励活动的；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3.向参评单位和个人收取费用的；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4.未按照规定进行公示的；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5.工作中滥用职权、徇私舞弊、玩忽职守造成不良后果的；           </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6.工作中发生贪污腐败行为的；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7.其他违反法律法规规章文件规定的行为。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481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14</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 xml:space="preserve">行政备案 </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 xml:space="preserve">公证机构负责人核准及备案 </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中华人民共和国公证法》（2005年8月28日主席令第39号公布，根据2017年9月1日第十二届全国人民代表大会常务委员会第二十九次会议《关于修改&lt;中华人民共和国法官法&gt;等八部法律的决定》修正，主席令第76号公布）第十条 公证机构的负责人应当在有三年以上执业经历的公证员中推选产生，由所在地的司法行政部门核准，报省、自治区、直辖市人民政府司法行政部门备案。</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1.公示环节责任：公示法定应当提交的材料。</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2.核准报送环节责任：对申请人提交的申请材料进行核</w:t>
            </w:r>
            <w:r>
              <w:rPr>
                <w:rFonts w:hint="eastAsia" w:ascii="仿宋_GB2312" w:hAnsi="仿宋_GB2312" w:eastAsia="仿宋_GB2312" w:cs="仿宋_GB2312"/>
                <w:i w:val="0"/>
                <w:color w:val="auto"/>
                <w:kern w:val="0"/>
                <w:sz w:val="18"/>
                <w:szCs w:val="18"/>
                <w:highlight w:val="none"/>
                <w:u w:val="none"/>
                <w:lang w:val="en-US" w:eastAsia="zh-CN" w:bidi="ar"/>
              </w:rPr>
              <w:t>准，逐级报</w:t>
            </w:r>
            <w:r>
              <w:rPr>
                <w:rFonts w:hint="eastAsia" w:ascii="仿宋_GB2312" w:hAnsi="仿宋_GB2312" w:eastAsia="仿宋_GB2312" w:cs="仿宋_GB2312"/>
                <w:i w:val="0"/>
                <w:color w:val="000000"/>
                <w:kern w:val="0"/>
                <w:sz w:val="18"/>
                <w:szCs w:val="18"/>
                <w:highlight w:val="none"/>
                <w:u w:val="none"/>
                <w:lang w:val="en-US" w:eastAsia="zh-CN" w:bidi="ar"/>
              </w:rPr>
              <w:t>省司法厅备案。</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3.法律法规规章文件规定应履行的其他责任。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1.工作中滥用职权、徇私舞弊、玩忽职守造成不良后果的；  </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387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highlight w:val="none"/>
                <w:u w:val="none"/>
                <w:lang w:val="en-US"/>
              </w:rPr>
            </w:pPr>
            <w:r>
              <w:rPr>
                <w:rFonts w:hint="eastAsia" w:ascii="仿宋_GB2312" w:hAnsi="仿宋_GB2312" w:eastAsia="仿宋_GB2312" w:cs="仿宋_GB2312"/>
                <w:i w:val="0"/>
                <w:color w:val="000000"/>
                <w:kern w:val="0"/>
                <w:sz w:val="18"/>
                <w:szCs w:val="18"/>
                <w:highlight w:val="none"/>
                <w:u w:val="none"/>
                <w:lang w:val="en-US" w:eastAsia="zh-CN" w:bidi="ar"/>
              </w:rPr>
              <w:t>15</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其他权力 </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公证机构设立审批（初审） </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《中华人民共和国公证法》（2017年9月1日修订）第九条 设立公证机构，由所在地的司法行政部门报省、自治区、直辖市人民政府司法行政部门按照规定程序批准后，颁发公证机构执业证书。</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 </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1.报送环节责任：按照法律法规组织相关材</w:t>
            </w:r>
            <w:r>
              <w:rPr>
                <w:rFonts w:hint="eastAsia" w:ascii="仿宋_GB2312" w:hAnsi="仿宋_GB2312" w:eastAsia="仿宋_GB2312" w:cs="仿宋_GB2312"/>
                <w:i w:val="0"/>
                <w:color w:val="auto"/>
                <w:kern w:val="0"/>
                <w:sz w:val="18"/>
                <w:szCs w:val="18"/>
                <w:highlight w:val="none"/>
                <w:u w:val="none"/>
                <w:lang w:val="en-US" w:eastAsia="zh-CN" w:bidi="ar"/>
              </w:rPr>
              <w:t>料逐级</w:t>
            </w:r>
            <w:r>
              <w:rPr>
                <w:rFonts w:hint="eastAsia" w:ascii="仿宋_GB2312" w:hAnsi="仿宋_GB2312" w:eastAsia="仿宋_GB2312" w:cs="仿宋_GB2312"/>
                <w:i w:val="0"/>
                <w:color w:val="000000"/>
                <w:kern w:val="0"/>
                <w:sz w:val="18"/>
                <w:szCs w:val="18"/>
                <w:highlight w:val="none"/>
                <w:u w:val="none"/>
                <w:lang w:val="en-US" w:eastAsia="zh-CN" w:bidi="ar"/>
              </w:rPr>
              <w:t>向省级司法行政部门报送。</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2.法律法规规章文件规定应履行的其他责任。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1.工作中滥用职权、徇私舞弊、玩忽职守造成不良后果的；  </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3072"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highlight w:val="none"/>
                <w:u w:val="none"/>
                <w:lang w:val="en-US"/>
              </w:rPr>
            </w:pPr>
            <w:r>
              <w:rPr>
                <w:rFonts w:hint="eastAsia" w:ascii="仿宋_GB2312" w:hAnsi="仿宋_GB2312" w:eastAsia="仿宋_GB2312" w:cs="仿宋_GB2312"/>
                <w:i w:val="0"/>
                <w:color w:val="000000"/>
                <w:kern w:val="0"/>
                <w:sz w:val="18"/>
                <w:szCs w:val="18"/>
                <w:highlight w:val="none"/>
                <w:u w:val="none"/>
                <w:lang w:val="en-US" w:eastAsia="zh-CN" w:bidi="ar"/>
              </w:rPr>
              <w:t>16</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其他权力 </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公证机构重大事项变更 </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《公证机构执业管理办法》（2006年2月21日司法部令第101号）第十六条第一款 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1.公示环节责任：公示法定应当提交的材料。</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w:t>
            </w:r>
            <w:r>
              <w:rPr>
                <w:rFonts w:hint="eastAsia" w:ascii="仿宋_GB2312" w:hAnsi="仿宋_GB2312" w:eastAsia="仿宋_GB2312" w:cs="仿宋_GB2312"/>
                <w:i w:val="0"/>
                <w:color w:val="auto"/>
                <w:kern w:val="0"/>
                <w:sz w:val="18"/>
                <w:szCs w:val="18"/>
                <w:highlight w:val="none"/>
                <w:u w:val="none"/>
                <w:lang w:val="en-US" w:eastAsia="zh-CN" w:bidi="ar"/>
              </w:rPr>
              <w:t>核准报送环节责任：对申请人提交的申请材料进行</w:t>
            </w:r>
            <w:r>
              <w:rPr>
                <w:rFonts w:hint="eastAsia" w:ascii="仿宋_GB2312" w:hAnsi="仿宋_GB2312" w:eastAsia="仿宋_GB2312" w:cs="仿宋_GB2312"/>
                <w:i w:val="0"/>
                <w:strike w:val="0"/>
                <w:dstrike w:val="0"/>
                <w:color w:val="auto"/>
                <w:kern w:val="0"/>
                <w:sz w:val="18"/>
                <w:szCs w:val="18"/>
                <w:highlight w:val="none"/>
                <w:u w:val="none"/>
                <w:lang w:val="en-US" w:eastAsia="zh-CN" w:bidi="ar"/>
              </w:rPr>
              <w:t>审核</w:t>
            </w:r>
            <w:r>
              <w:rPr>
                <w:rFonts w:hint="eastAsia" w:ascii="仿宋_GB2312" w:hAnsi="仿宋_GB2312" w:eastAsia="仿宋_GB2312" w:cs="仿宋_GB2312"/>
                <w:i w:val="0"/>
                <w:color w:val="auto"/>
                <w:kern w:val="0"/>
                <w:sz w:val="18"/>
                <w:szCs w:val="18"/>
                <w:highlight w:val="none"/>
                <w:u w:val="none"/>
                <w:lang w:val="en-US" w:eastAsia="zh-CN" w:bidi="ar"/>
              </w:rPr>
              <w:t>，逐级报省司法厅</w:t>
            </w:r>
            <w:r>
              <w:rPr>
                <w:rFonts w:hint="eastAsia" w:ascii="仿宋_GB2312" w:hAnsi="仿宋_GB2312" w:eastAsia="仿宋_GB2312" w:cs="仿宋_GB2312"/>
                <w:i w:val="0"/>
                <w:color w:val="000000"/>
                <w:kern w:val="0"/>
                <w:sz w:val="18"/>
                <w:szCs w:val="18"/>
                <w:highlight w:val="none"/>
                <w:u w:val="none"/>
                <w:lang w:val="en-US" w:eastAsia="zh-CN" w:bidi="ar"/>
              </w:rPr>
              <w:t>。</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3.法律法规规章文件规定应履行的其他责任。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1.工作中滥用职权、徇私舞弊、玩忽职守造成不良后果的；  </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2125"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highlight w:val="none"/>
                <w:u w:val="none"/>
                <w:lang w:val="en-US"/>
              </w:rPr>
            </w:pPr>
            <w:r>
              <w:rPr>
                <w:rFonts w:hint="eastAsia" w:ascii="仿宋_GB2312" w:hAnsi="仿宋_GB2312" w:eastAsia="仿宋_GB2312" w:cs="仿宋_GB2312"/>
                <w:i w:val="0"/>
                <w:color w:val="000000"/>
                <w:kern w:val="0"/>
                <w:sz w:val="18"/>
                <w:szCs w:val="18"/>
                <w:highlight w:val="none"/>
                <w:u w:val="none"/>
                <w:lang w:val="en-US" w:eastAsia="zh-CN" w:bidi="ar"/>
              </w:rPr>
              <w:t>17</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其他权力 </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公证员变更执业机构核准</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《公证员执业管理办法》（2006年3月14日司法部令第102号）第十五条第一款 公证员变更执业机构，应当经所在公证机构同意和拟任用该公证员的公证机构推荐，报所在地司法行政机关同意后，报省、自治区、直辖市司法行政机关办理变更核准手续。</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1.公示环节责任：公示法定应当提交的材料。</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2.审查报送环节责任：对申请人提交的申请材料进行审查，提出审查意见。</w:t>
            </w:r>
            <w:r>
              <w:rPr>
                <w:rFonts w:hint="eastAsia" w:ascii="仿宋_GB2312" w:hAnsi="仿宋_GB2312" w:eastAsia="仿宋_GB2312" w:cs="仿宋_GB2312"/>
                <w:i w:val="0"/>
                <w:color w:val="auto"/>
                <w:kern w:val="0"/>
                <w:sz w:val="18"/>
                <w:szCs w:val="18"/>
                <w:highlight w:val="none"/>
                <w:u w:val="none"/>
                <w:lang w:val="en-US" w:eastAsia="zh-CN" w:bidi="ar"/>
              </w:rPr>
              <w:t>逐级</w:t>
            </w:r>
            <w:r>
              <w:rPr>
                <w:rFonts w:hint="eastAsia" w:ascii="仿宋_GB2312" w:hAnsi="仿宋_GB2312" w:eastAsia="仿宋_GB2312" w:cs="仿宋_GB2312"/>
                <w:i w:val="0"/>
                <w:color w:val="000000"/>
                <w:kern w:val="0"/>
                <w:sz w:val="18"/>
                <w:szCs w:val="18"/>
                <w:highlight w:val="none"/>
                <w:u w:val="none"/>
                <w:lang w:val="en-US" w:eastAsia="zh-CN" w:bidi="ar"/>
              </w:rPr>
              <w:t>报省司法厅。</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3.法律法规规章文件规定应履行的其他责任。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1.工作中滥用职权、徇私舞弊、玩忽职守造成不良后果的；  </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452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highlight w:val="none"/>
                <w:u w:val="none"/>
                <w:lang w:val="en-US"/>
              </w:rPr>
            </w:pPr>
            <w:r>
              <w:rPr>
                <w:rFonts w:hint="eastAsia" w:ascii="仿宋_GB2312" w:hAnsi="仿宋_GB2312" w:eastAsia="仿宋_GB2312" w:cs="仿宋_GB2312"/>
                <w:i w:val="0"/>
                <w:color w:val="000000"/>
                <w:kern w:val="0"/>
                <w:sz w:val="18"/>
                <w:szCs w:val="18"/>
                <w:highlight w:val="none"/>
                <w:u w:val="none"/>
                <w:lang w:val="en-US" w:eastAsia="zh-CN" w:bidi="ar"/>
              </w:rPr>
              <w:t>18</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其他权力 </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换（补）发公证机构执业证书 </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《公证机构执业管理办法》（2006年2月21日司法部令第101号）第二十二条 公证机构执业证书损毁或者遗失的，由该公证机构报经所在地司法行政机关，逐级向省、自治区、直辖市司法行政机关申请换发或者补发。</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1.公示环节责任：公示法定应当提交的材料。</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2.报送环节责任：将申请人提交的申请材料</w:t>
            </w:r>
            <w:r>
              <w:rPr>
                <w:rFonts w:hint="eastAsia" w:ascii="仿宋_GB2312" w:hAnsi="仿宋_GB2312" w:eastAsia="仿宋_GB2312" w:cs="仿宋_GB2312"/>
                <w:i w:val="0"/>
                <w:color w:val="auto"/>
                <w:kern w:val="0"/>
                <w:sz w:val="18"/>
                <w:szCs w:val="18"/>
                <w:highlight w:val="none"/>
                <w:u w:val="none"/>
                <w:lang w:val="en-US" w:eastAsia="zh-CN" w:bidi="ar"/>
              </w:rPr>
              <w:t>逐级</w:t>
            </w:r>
            <w:r>
              <w:rPr>
                <w:rFonts w:hint="eastAsia" w:ascii="仿宋_GB2312" w:hAnsi="仿宋_GB2312" w:eastAsia="仿宋_GB2312" w:cs="仿宋_GB2312"/>
                <w:i w:val="0"/>
                <w:color w:val="000000"/>
                <w:kern w:val="0"/>
                <w:sz w:val="18"/>
                <w:szCs w:val="18"/>
                <w:highlight w:val="none"/>
                <w:u w:val="none"/>
                <w:lang w:val="en-US" w:eastAsia="zh-CN" w:bidi="ar"/>
              </w:rPr>
              <w:t>报省司法厅。</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3.法律法规规章文件规定应履行的其他责任。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 xml:space="preserve">1.工作中滥用职权、徇私舞弊、玩忽职守造成不良后果的；    </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440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highlight w:val="none"/>
                <w:u w:val="none"/>
                <w:lang w:val="en-US"/>
              </w:rPr>
            </w:pPr>
            <w:r>
              <w:rPr>
                <w:rFonts w:hint="eastAsia" w:ascii="仿宋_GB2312" w:hAnsi="仿宋_GB2312" w:eastAsia="仿宋_GB2312" w:cs="仿宋_GB2312"/>
                <w:i w:val="0"/>
                <w:color w:val="000000"/>
                <w:kern w:val="0"/>
                <w:sz w:val="18"/>
                <w:szCs w:val="18"/>
                <w:highlight w:val="none"/>
                <w:u w:val="none"/>
                <w:lang w:val="en-US" w:eastAsia="zh-CN" w:bidi="ar"/>
              </w:rPr>
              <w:t>19</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其他权力 </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 xml:space="preserve">换（补）发公证员执业证书 </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《公证员执业管理办法》（2006年3月23日司法部令第102号）第十九条第二款 公证员执业证书损毁或者遗失的，由本人提出申请，所在公证机构予以证明，提请所在地司法行政机关报省、自治区、直辖市司法行政机关申请换发或者补发。执业证书遗失的，由所在公证机构在省级报刊上声明作废。</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省司法厅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区司法局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1.公示环节责任：公示法定应当提交的材料。                               2.报送环节责任：将申请人提交的申请材料</w:t>
            </w:r>
            <w:r>
              <w:rPr>
                <w:rFonts w:hint="eastAsia" w:ascii="仿宋_GB2312" w:hAnsi="仿宋_GB2312" w:eastAsia="仿宋_GB2312" w:cs="仿宋_GB2312"/>
                <w:i w:val="0"/>
                <w:color w:val="auto"/>
                <w:kern w:val="0"/>
                <w:sz w:val="18"/>
                <w:szCs w:val="18"/>
                <w:highlight w:val="none"/>
                <w:u w:val="none"/>
                <w:lang w:val="en-US" w:eastAsia="zh-CN" w:bidi="ar"/>
              </w:rPr>
              <w:t>逐级</w:t>
            </w:r>
            <w:r>
              <w:rPr>
                <w:rFonts w:hint="eastAsia" w:ascii="仿宋_GB2312" w:hAnsi="仿宋_GB2312" w:eastAsia="仿宋_GB2312" w:cs="仿宋_GB2312"/>
                <w:i w:val="0"/>
                <w:color w:val="000000"/>
                <w:kern w:val="0"/>
                <w:sz w:val="18"/>
                <w:szCs w:val="18"/>
                <w:highlight w:val="none"/>
                <w:u w:val="none"/>
                <w:lang w:val="en-US" w:eastAsia="zh-CN" w:bidi="ar"/>
              </w:rPr>
              <w:t>报省司法厅。</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3.法律法规规章文件规定应履行的其他责任。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highlight w:val="none"/>
                <w:u w:val="none"/>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1.工作中滥用职权、徇私舞弊、玩忽职守造成不良后果的；</w:t>
            </w:r>
            <w:r>
              <w:rPr>
                <w:rFonts w:hint="eastAsia" w:ascii="仿宋_GB2312" w:hAnsi="仿宋_GB2312" w:eastAsia="仿宋_GB2312" w:cs="仿宋_GB2312"/>
                <w:i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color w:val="000000"/>
                <w:kern w:val="0"/>
                <w:sz w:val="18"/>
                <w:szCs w:val="18"/>
                <w:highlight w:val="none"/>
                <w:u w:val="none"/>
                <w:lang w:val="en-US" w:eastAsia="zh-CN" w:bidi="ar"/>
              </w:rPr>
              <w:t>2.其他违反法律法规规章文件规定的行为。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highlight w:val="none"/>
                <w:u w:val="none"/>
              </w:rPr>
            </w:pPr>
          </w:p>
        </w:tc>
      </w:tr>
    </w:tbl>
    <w:p/>
    <w:sectPr>
      <w:pgSz w:w="16838" w:h="11906" w:orient="landscape"/>
      <w:pgMar w:top="720" w:right="720" w:bottom="720" w:left="72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书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YmNiNDUwM2UwZGMyYzFjMzkzY2E3ODYwOTBjZDIifQ=="/>
  </w:docVars>
  <w:rsids>
    <w:rsidRoot w:val="4F101BE8"/>
    <w:rsid w:val="02B52E7F"/>
    <w:rsid w:val="05112A62"/>
    <w:rsid w:val="0A2500AA"/>
    <w:rsid w:val="0D26284A"/>
    <w:rsid w:val="0DEF7FDC"/>
    <w:rsid w:val="16781F4E"/>
    <w:rsid w:val="1A7C0895"/>
    <w:rsid w:val="1C1652F4"/>
    <w:rsid w:val="1D391AF2"/>
    <w:rsid w:val="2542523C"/>
    <w:rsid w:val="25990885"/>
    <w:rsid w:val="2C4434D8"/>
    <w:rsid w:val="3A145D5F"/>
    <w:rsid w:val="3B2314D1"/>
    <w:rsid w:val="3C320B2B"/>
    <w:rsid w:val="3C845625"/>
    <w:rsid w:val="3E392EA2"/>
    <w:rsid w:val="405A1738"/>
    <w:rsid w:val="41856387"/>
    <w:rsid w:val="465925F8"/>
    <w:rsid w:val="4F101BE8"/>
    <w:rsid w:val="4F177321"/>
    <w:rsid w:val="58AD70FF"/>
    <w:rsid w:val="5B5E5429"/>
    <w:rsid w:val="5B8F36B9"/>
    <w:rsid w:val="5BD85746"/>
    <w:rsid w:val="5C552EC5"/>
    <w:rsid w:val="5CFD4047"/>
    <w:rsid w:val="5E040056"/>
    <w:rsid w:val="5E9B5B97"/>
    <w:rsid w:val="618F25B1"/>
    <w:rsid w:val="63255E39"/>
    <w:rsid w:val="63E033A6"/>
    <w:rsid w:val="64807FA1"/>
    <w:rsid w:val="68C301CA"/>
    <w:rsid w:val="69313EF2"/>
    <w:rsid w:val="69E36AD2"/>
    <w:rsid w:val="6B044669"/>
    <w:rsid w:val="6F1F2D2B"/>
    <w:rsid w:val="74F16ADB"/>
    <w:rsid w:val="7C0B177A"/>
    <w:rsid w:val="7E9E1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仿宋_GB2312" w:eastAsia="仿宋_GB2312" w:cs="仿宋_GB2312"/>
      <w:color w:val="000000"/>
      <w:sz w:val="18"/>
      <w:szCs w:val="18"/>
      <w:u w:val="none"/>
    </w:rPr>
  </w:style>
  <w:style w:type="character" w:customStyle="1" w:styleId="5">
    <w:name w:val="font11"/>
    <w:basedOn w:val="3"/>
    <w:qFormat/>
    <w:uiPriority w:val="0"/>
    <w:rPr>
      <w:rFonts w:hint="default" w:ascii="Times New Roman" w:hAnsi="Times New Roman" w:cs="Times New Roman"/>
      <w:color w:val="000000"/>
      <w:sz w:val="18"/>
      <w:szCs w:val="18"/>
      <w:u w:val="none"/>
    </w:rPr>
  </w:style>
  <w:style w:type="character" w:customStyle="1" w:styleId="6">
    <w:name w:val="font01"/>
    <w:basedOn w:val="3"/>
    <w:qFormat/>
    <w:uiPriority w:val="0"/>
    <w:rPr>
      <w:rFonts w:ascii="方正书宋_GBK" w:hAnsi="方正书宋_GBK" w:eastAsia="方正书宋_GBK" w:cs="方正书宋_GBK"/>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9502</Words>
  <Characters>9799</Characters>
  <Lines>0</Lines>
  <Paragraphs>0</Paragraphs>
  <TotalTime>59</TotalTime>
  <ScaleCrop>false</ScaleCrop>
  <LinksUpToDate>false</LinksUpToDate>
  <CharactersWithSpaces>10094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2022-07-14T07:59:00Z</dcterms:created>
  <dc:creator>Administrator</dc:creator>
  <cp:lastModifiedBy>lenovo</cp:lastModifiedBy>
  <dcterms:modified xsi:type="dcterms:W3CDTF">2023-10-26T03:40:39Z</dcterms:modified>
  <dc:title>序_x000B_号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6F38A9AA63EC47E99990AED12214FA29</vt:lpwstr>
  </property>
</Properties>
</file>