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647" w:type="dxa"/>
        <w:tblInd w:w="9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44"/>
        <w:gridCol w:w="850"/>
        <w:gridCol w:w="1132"/>
        <w:gridCol w:w="3111"/>
        <w:gridCol w:w="1131"/>
        <w:gridCol w:w="963"/>
        <w:gridCol w:w="3957"/>
        <w:gridCol w:w="3392"/>
        <w:gridCol w:w="56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0" w:hRule="atLeast"/>
          <w:tblHeader/>
        </w:trPr>
        <w:tc>
          <w:tcPr>
            <w:tcW w:w="544" w:type="dxa"/>
            <w:tcBorders>
              <w:tl2br w:val="nil"/>
              <w:tr2bl w:val="nil"/>
            </w:tcBorders>
            <w:shd w:val="clear" w:color="auto" w:fill="auto"/>
            <w:vAlign w:val="center"/>
          </w:tcPr>
          <w:p>
            <w:pPr>
              <w:widowControl/>
              <w:jc w:val="center"/>
              <w:textAlignment w:val="center"/>
              <w:rPr>
                <w:rFonts w:ascii="黑体" w:hAnsi="宋体" w:eastAsia="黑体" w:cs="黑体"/>
                <w:sz w:val="24"/>
              </w:rPr>
            </w:pPr>
            <w:r>
              <w:rPr>
                <w:rFonts w:hint="eastAsia" w:ascii="黑体" w:hAnsi="宋体" w:eastAsia="黑体" w:cs="黑体"/>
                <w:kern w:val="0"/>
                <w:sz w:val="24"/>
              </w:rPr>
              <w:t>序号</w:t>
            </w:r>
          </w:p>
        </w:tc>
        <w:tc>
          <w:tcPr>
            <w:tcW w:w="850" w:type="dxa"/>
            <w:tcBorders>
              <w:tl2br w:val="nil"/>
              <w:tr2bl w:val="nil"/>
            </w:tcBorders>
            <w:shd w:val="clear" w:color="auto" w:fill="auto"/>
            <w:tcMar>
              <w:top w:w="0" w:type="dxa"/>
              <w:left w:w="0" w:type="dxa"/>
              <w:bottom w:w="0" w:type="dxa"/>
              <w:right w:w="0" w:type="dxa"/>
            </w:tcMar>
            <w:vAlign w:val="center"/>
          </w:tcPr>
          <w:p>
            <w:pPr>
              <w:widowControl/>
              <w:jc w:val="center"/>
              <w:textAlignment w:val="center"/>
              <w:rPr>
                <w:rFonts w:ascii="黑体" w:hAnsi="宋体" w:eastAsia="黑体" w:cs="黑体"/>
                <w:kern w:val="0"/>
                <w:sz w:val="24"/>
              </w:rPr>
            </w:pPr>
            <w:r>
              <w:rPr>
                <w:rFonts w:hint="eastAsia" w:ascii="黑体" w:hAnsi="宋体" w:eastAsia="黑体" w:cs="黑体"/>
                <w:kern w:val="0"/>
                <w:sz w:val="24"/>
              </w:rPr>
              <w:t>权力</w:t>
            </w:r>
          </w:p>
          <w:p>
            <w:pPr>
              <w:widowControl/>
              <w:jc w:val="center"/>
              <w:textAlignment w:val="center"/>
              <w:rPr>
                <w:rFonts w:ascii="黑体" w:hAnsi="宋体" w:eastAsia="黑体" w:cs="黑体"/>
                <w:sz w:val="24"/>
              </w:rPr>
            </w:pPr>
            <w:r>
              <w:rPr>
                <w:rFonts w:hint="eastAsia" w:ascii="黑体" w:hAnsi="宋体" w:eastAsia="黑体" w:cs="黑体"/>
                <w:kern w:val="0"/>
                <w:sz w:val="24"/>
              </w:rPr>
              <w:t>类型</w:t>
            </w:r>
          </w:p>
        </w:tc>
        <w:tc>
          <w:tcPr>
            <w:tcW w:w="1132" w:type="dxa"/>
            <w:tcBorders>
              <w:tl2br w:val="nil"/>
              <w:tr2bl w:val="nil"/>
            </w:tcBorders>
            <w:shd w:val="clear" w:color="auto" w:fill="auto"/>
            <w:tcMar>
              <w:top w:w="0" w:type="dxa"/>
              <w:left w:w="0" w:type="dxa"/>
              <w:bottom w:w="0" w:type="dxa"/>
              <w:right w:w="0" w:type="dxa"/>
            </w:tcMar>
            <w:vAlign w:val="center"/>
          </w:tcPr>
          <w:p>
            <w:pPr>
              <w:widowControl/>
              <w:jc w:val="center"/>
              <w:textAlignment w:val="center"/>
              <w:rPr>
                <w:rFonts w:ascii="黑体" w:hAnsi="宋体" w:eastAsia="黑体" w:cs="黑体"/>
                <w:kern w:val="0"/>
                <w:sz w:val="24"/>
              </w:rPr>
            </w:pPr>
            <w:r>
              <w:rPr>
                <w:rFonts w:hint="eastAsia" w:ascii="黑体" w:hAnsi="宋体" w:eastAsia="黑体" w:cs="黑体"/>
                <w:kern w:val="0"/>
                <w:sz w:val="24"/>
              </w:rPr>
              <w:t>权力</w:t>
            </w:r>
          </w:p>
          <w:p>
            <w:pPr>
              <w:widowControl/>
              <w:jc w:val="center"/>
              <w:textAlignment w:val="center"/>
              <w:rPr>
                <w:rFonts w:ascii="黑体" w:hAnsi="宋体" w:eastAsia="黑体" w:cs="黑体"/>
                <w:sz w:val="24"/>
              </w:rPr>
            </w:pPr>
            <w:r>
              <w:rPr>
                <w:rFonts w:hint="eastAsia" w:ascii="黑体" w:hAnsi="宋体" w:eastAsia="黑体" w:cs="黑体"/>
                <w:kern w:val="0"/>
                <w:sz w:val="24"/>
              </w:rPr>
              <w:t>事项</w:t>
            </w:r>
          </w:p>
        </w:tc>
        <w:tc>
          <w:tcPr>
            <w:tcW w:w="3111" w:type="dxa"/>
            <w:tcBorders>
              <w:tl2br w:val="nil"/>
              <w:tr2bl w:val="nil"/>
            </w:tcBorders>
            <w:shd w:val="clear" w:color="auto" w:fill="auto"/>
            <w:tcMar>
              <w:top w:w="0" w:type="dxa"/>
              <w:left w:w="0" w:type="dxa"/>
              <w:bottom w:w="0" w:type="dxa"/>
              <w:right w:w="0" w:type="dxa"/>
            </w:tcMar>
            <w:vAlign w:val="center"/>
          </w:tcPr>
          <w:p>
            <w:pPr>
              <w:widowControl/>
              <w:jc w:val="center"/>
              <w:textAlignment w:val="center"/>
              <w:rPr>
                <w:rFonts w:ascii="黑体" w:hAnsi="宋体" w:eastAsia="黑体" w:cs="黑体"/>
                <w:sz w:val="24"/>
              </w:rPr>
            </w:pPr>
            <w:r>
              <w:rPr>
                <w:rFonts w:hint="eastAsia" w:ascii="黑体" w:hAnsi="宋体" w:eastAsia="黑体" w:cs="黑体"/>
                <w:kern w:val="0"/>
                <w:sz w:val="24"/>
              </w:rPr>
              <w:t>实施依据</w:t>
            </w:r>
          </w:p>
        </w:tc>
        <w:tc>
          <w:tcPr>
            <w:tcW w:w="1131" w:type="dxa"/>
            <w:tcBorders>
              <w:tl2br w:val="nil"/>
              <w:tr2bl w:val="nil"/>
            </w:tcBorders>
            <w:shd w:val="clear" w:color="auto" w:fill="auto"/>
            <w:tcMar>
              <w:top w:w="0" w:type="dxa"/>
              <w:left w:w="0" w:type="dxa"/>
              <w:bottom w:w="0" w:type="dxa"/>
              <w:right w:w="0" w:type="dxa"/>
            </w:tcMar>
            <w:vAlign w:val="center"/>
          </w:tcPr>
          <w:p>
            <w:pPr>
              <w:widowControl/>
              <w:jc w:val="center"/>
              <w:textAlignment w:val="center"/>
              <w:rPr>
                <w:rFonts w:ascii="黑体" w:hAnsi="宋体" w:eastAsia="黑体" w:cs="黑体"/>
                <w:kern w:val="0"/>
                <w:sz w:val="24"/>
              </w:rPr>
            </w:pPr>
            <w:r>
              <w:rPr>
                <w:rFonts w:hint="eastAsia" w:ascii="黑体" w:hAnsi="宋体" w:eastAsia="黑体" w:cs="黑体"/>
                <w:kern w:val="0"/>
                <w:sz w:val="24"/>
              </w:rPr>
              <w:t>省级</w:t>
            </w:r>
          </w:p>
          <w:p>
            <w:pPr>
              <w:widowControl/>
              <w:jc w:val="center"/>
              <w:textAlignment w:val="center"/>
              <w:rPr>
                <w:rFonts w:ascii="黑体" w:hAnsi="宋体" w:eastAsia="黑体" w:cs="黑体"/>
                <w:sz w:val="24"/>
              </w:rPr>
            </w:pPr>
            <w:r>
              <w:rPr>
                <w:rFonts w:hint="eastAsia" w:ascii="黑体" w:hAnsi="宋体" w:eastAsia="黑体" w:cs="黑体"/>
                <w:kern w:val="0"/>
                <w:sz w:val="24"/>
              </w:rPr>
              <w:t>主管部门</w:t>
            </w:r>
          </w:p>
        </w:tc>
        <w:tc>
          <w:tcPr>
            <w:tcW w:w="963" w:type="dxa"/>
            <w:tcBorders>
              <w:tl2br w:val="nil"/>
              <w:tr2bl w:val="nil"/>
            </w:tcBorders>
            <w:shd w:val="clear" w:color="auto" w:fill="auto"/>
            <w:tcMar>
              <w:top w:w="0" w:type="dxa"/>
              <w:left w:w="0" w:type="dxa"/>
              <w:bottom w:w="0" w:type="dxa"/>
              <w:right w:w="0" w:type="dxa"/>
            </w:tcMar>
            <w:vAlign w:val="center"/>
          </w:tcPr>
          <w:p>
            <w:pPr>
              <w:widowControl/>
              <w:jc w:val="center"/>
              <w:textAlignment w:val="center"/>
              <w:rPr>
                <w:rFonts w:ascii="黑体" w:hAnsi="宋体" w:eastAsia="黑体" w:cs="黑体"/>
                <w:kern w:val="0"/>
                <w:sz w:val="24"/>
              </w:rPr>
            </w:pPr>
            <w:r>
              <w:rPr>
                <w:rFonts w:hint="eastAsia" w:ascii="黑体" w:hAnsi="宋体" w:eastAsia="黑体" w:cs="黑体"/>
                <w:kern w:val="0"/>
                <w:sz w:val="24"/>
              </w:rPr>
              <w:t>实施</w:t>
            </w:r>
          </w:p>
          <w:p>
            <w:pPr>
              <w:widowControl/>
              <w:jc w:val="center"/>
              <w:textAlignment w:val="center"/>
              <w:rPr>
                <w:rFonts w:ascii="黑体" w:hAnsi="宋体" w:eastAsia="黑体" w:cs="黑体"/>
                <w:sz w:val="24"/>
              </w:rPr>
            </w:pPr>
            <w:r>
              <w:rPr>
                <w:rFonts w:hint="eastAsia" w:ascii="黑体" w:hAnsi="宋体" w:eastAsia="黑体" w:cs="黑体"/>
                <w:kern w:val="0"/>
                <w:sz w:val="24"/>
              </w:rPr>
              <w:t>层级</w:t>
            </w:r>
          </w:p>
        </w:tc>
        <w:tc>
          <w:tcPr>
            <w:tcW w:w="3957" w:type="dxa"/>
            <w:tcBorders>
              <w:tl2br w:val="nil"/>
              <w:tr2bl w:val="nil"/>
            </w:tcBorders>
            <w:shd w:val="clear" w:color="auto" w:fill="auto"/>
            <w:vAlign w:val="center"/>
          </w:tcPr>
          <w:p>
            <w:pPr>
              <w:widowControl/>
              <w:jc w:val="center"/>
              <w:textAlignment w:val="center"/>
              <w:rPr>
                <w:rFonts w:ascii="黑体" w:hAnsi="宋体" w:eastAsia="黑体" w:cs="黑体"/>
                <w:sz w:val="24"/>
              </w:rPr>
            </w:pPr>
            <w:r>
              <w:rPr>
                <w:rFonts w:hint="eastAsia" w:ascii="黑体" w:hAnsi="宋体" w:eastAsia="黑体" w:cs="黑体"/>
                <w:kern w:val="0"/>
                <w:sz w:val="24"/>
              </w:rPr>
              <w:t>责任事项</w:t>
            </w:r>
          </w:p>
        </w:tc>
        <w:tc>
          <w:tcPr>
            <w:tcW w:w="3392" w:type="dxa"/>
            <w:tcBorders>
              <w:tl2br w:val="nil"/>
              <w:tr2bl w:val="nil"/>
            </w:tcBorders>
            <w:shd w:val="clear" w:color="auto" w:fill="auto"/>
            <w:vAlign w:val="center"/>
          </w:tcPr>
          <w:p>
            <w:pPr>
              <w:widowControl/>
              <w:jc w:val="center"/>
              <w:textAlignment w:val="center"/>
              <w:rPr>
                <w:rFonts w:ascii="黑体" w:hAnsi="宋体" w:eastAsia="黑体" w:cs="黑体"/>
                <w:sz w:val="24"/>
              </w:rPr>
            </w:pPr>
            <w:r>
              <w:rPr>
                <w:rFonts w:hint="eastAsia" w:ascii="黑体" w:hAnsi="宋体" w:eastAsia="黑体" w:cs="黑体"/>
                <w:kern w:val="0"/>
                <w:sz w:val="24"/>
              </w:rPr>
              <w:t>追责情形</w:t>
            </w:r>
          </w:p>
        </w:tc>
        <w:tc>
          <w:tcPr>
            <w:tcW w:w="567" w:type="dxa"/>
            <w:tcBorders>
              <w:tl2br w:val="nil"/>
              <w:tr2bl w:val="nil"/>
            </w:tcBorders>
            <w:shd w:val="clear" w:color="auto" w:fill="auto"/>
            <w:vAlign w:val="center"/>
          </w:tcPr>
          <w:p>
            <w:pPr>
              <w:widowControl/>
              <w:jc w:val="center"/>
              <w:textAlignment w:val="center"/>
              <w:rPr>
                <w:rFonts w:ascii="黑体" w:hAnsi="宋体" w:eastAsia="黑体" w:cs="黑体"/>
                <w:sz w:val="24"/>
              </w:rPr>
            </w:pPr>
            <w:r>
              <w:rPr>
                <w:rFonts w:hint="eastAsia" w:ascii="黑体" w:hAnsi="宋体" w:eastAsia="黑体" w:cs="黑体"/>
                <w:kern w:val="0"/>
                <w:sz w:val="24"/>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kern w:val="0"/>
                <w:sz w:val="18"/>
                <w:szCs w:val="18"/>
                <w:lang w:val="en-US" w:eastAsia="zh-CN"/>
              </w:rPr>
              <w:t>1</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行政许可</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政府投资的地质灾害治理工程竣工验收</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《地质灾害防治条例》（2003年11月24日国务院令第394号，2004年3月1日执行）第三十八条 政府投资的地质灾害治理工程竣工后，由县级以上人民政府国土资源主管部门竣工验收。其他地质灾害治理工程竣工后，由责任单位组织竣工验收；竣工验收时，应当有国土资源主管部门参加。</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1.受理责任：应当提交的材料，一次性告知补正材料，依法受理或不予受理（不予受理应当告知理由）。</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2.审查责任：按照法律、法规对项目进行审查。</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3.决定责任；作出行政许可或者不予行政许可决定，法定告知（不予许可的应当书面告知理由）。</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4.送达责任：准予许可的制发送达许可证。</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5.其他法律法规规章文件规定应履行的责任。</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1.超越职权或者违法对治理项目验收的；</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2.对不符合法定条件的申请人准予行政许可或者超越法定职权作出准予行政许可决定的；</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3.对符合法定条件的申请人不予行政许可或者不在法定期限内作出准予行政许可决定的；</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4.违反法定程序实施行政许可的；</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5.工作中玩忽职守、滥用职权的；</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6.其他违反法律法规规章文件规定的行为。</w:t>
            </w:r>
          </w:p>
        </w:tc>
        <w:tc>
          <w:tcPr>
            <w:tcW w:w="567" w:type="dxa"/>
            <w:tcBorders>
              <w:tl2br w:val="nil"/>
              <w:tr2bl w:val="nil"/>
            </w:tcBorders>
            <w:shd w:val="clear" w:color="auto" w:fill="auto"/>
            <w:vAlign w:val="center"/>
          </w:tcPr>
          <w:p>
            <w:pPr>
              <w:widowControl/>
              <w:spacing w:line="240" w:lineRule="exact"/>
              <w:jc w:val="center"/>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kern w:val="0"/>
                <w:sz w:val="18"/>
                <w:szCs w:val="18"/>
                <w:lang w:val="en-US" w:eastAsia="zh-CN"/>
              </w:rPr>
              <w:t>2</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行政许可</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乡村建设规划许可证核发</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中华人民共和国城乡规划法》（2007年10月28日主席令第七十四号，2015年4月24日第一次修正，2019年4月23日第二次修正）第四十一条:在乡、村庄规划区内进行乡镇企业、乡村公共设施和公益事业建设的，建设单位或者个人应当向乡、镇人民政府提出申请，由乡、镇人民政府报城市、县人民政府城乡规划主管部门核发乡村建设规划许可证。在乡、村庄规划区内使用原有宅基地进行农村村民住宅建设的规划管理办法，由省、自治区、直辖市制定。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建设单位或者个人在取得乡村建设规划许可证后，方可办理用地审批手续。</w:t>
            </w:r>
          </w:p>
          <w:p>
            <w:pPr>
              <w:widowControl/>
              <w:spacing w:line="240" w:lineRule="exact"/>
              <w:jc w:val="left"/>
              <w:textAlignment w:val="center"/>
              <w:rPr>
                <w:rFonts w:ascii="仿宋_GB2312" w:hAnsi="仿宋_GB2312" w:eastAsia="仿宋_GB2312" w:cs="仿宋_GB2312"/>
                <w:sz w:val="11"/>
                <w:szCs w:val="11"/>
              </w:rPr>
            </w:pPr>
            <w:r>
              <w:rPr>
                <w:rFonts w:hint="eastAsia" w:ascii="仿宋_GB2312" w:hAnsi="仿宋_GB2312" w:eastAsia="仿宋_GB2312" w:cs="仿宋_GB2312"/>
                <w:kern w:val="0"/>
                <w:sz w:val="18"/>
                <w:szCs w:val="18"/>
              </w:rPr>
              <w:t>2.河北省其它相关法律、法规。</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县级、乡级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1.受理责任：公示应当提交的材料，一次性告知补正材料，依法受理或不予受理（不予受理应当告知理由）。</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2.审查责任：按照法律、法规进行审核。</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3.决定责任；作出行政许可或者不予行政许可决定，法定告知（不予许可的应当书面告知理由）。</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4.准予许可的制发送达许可证。</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5.其他法律法规规章文件规定应履行的责任。</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1.超越职权或者违法核发乡村建设规划许可证的；</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2.对不符合法定条件的申请人准予行政许可或者超越法定职权作出准予行政许可决定的；</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3.对符合法定条件的申请人不予行政许可或者不在法定期限内作出准予行政许可决定的；</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4.违反法定程序实施行政许可的；</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5.工作中玩忽职守、滥用职权的；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6.其他违反法律法规规章文件规定的行为。</w:t>
            </w:r>
          </w:p>
        </w:tc>
        <w:tc>
          <w:tcPr>
            <w:tcW w:w="567" w:type="dxa"/>
            <w:tcBorders>
              <w:tl2br w:val="nil"/>
              <w:tr2bl w:val="nil"/>
            </w:tcBorders>
            <w:shd w:val="clear" w:color="auto" w:fill="auto"/>
            <w:vAlign w:val="center"/>
          </w:tcPr>
          <w:p>
            <w:pPr>
              <w:widowControl/>
              <w:spacing w:line="240" w:lineRule="exact"/>
              <w:jc w:val="center"/>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行政处罚</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color w:val="auto"/>
                <w:sz w:val="18"/>
                <w:szCs w:val="18"/>
              </w:rPr>
              <w:t>对市级以上重点项目、跨镇区域违法用地的处罚</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color w:val="auto"/>
                <w:kern w:val="0"/>
                <w:sz w:val="18"/>
                <w:szCs w:val="18"/>
              </w:rPr>
              <w:t>《中华人民共和国土地管理法》第七十四条　买卖或者以其他形式非法转让土地的，由县级以上人民政府自然资源主管部门没收违法所得；对违反土地利用总体规划擅自将农用地改为建设用地的，限期拆除在非法转让的土地上新建的建筑物和其他设施，恢复土地原状，对符合土地利用总体规划的，没收在非法转让的土地上新建的建筑物和其他设施；可以并处罚款；对直接负责的主管人员和其他直接责任人员，依法给予处分；构成犯罪的，依法追究刑事责任。《中华人民共和国土地管理法》第七十五条违反本法规定，占用耕地建窑、建坟或者擅自在耕地上建房、挖砂、采石、采矿、取土等，破坏种植条件的，或者因开发土地造成土地荒漠化、盐渍化的，由县级以上人民政府自然资源主管部门、农业农村主管部门等按照职责责令限期改正或者治理，可以并处罚款；构成犯罪的，依法追究刑事责任。《中华人民共和国土地管理法》第七十七条　未经批准或者采取欺骗手段骗取批准，非法占用土地的，由县级以上人民政府自然资源主管部门责令退还非法占用的土地，对违反土地利用总体规划擅自将农用地改为建设用地的，限期拆除在非法占用的土地上新建的建筑物和其他设施，恢复土地原状，对符合土地利用总体规划的，没收在非法占用的土地上新建的建筑物和其他设施，可以并处罚款；对非法占用土地单位的直接负责的主管人员和其他直接责任人员，依法给予处分；构成犯罪的，依法追究刑事责任。</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auto"/>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auto"/>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hint="eastAsia" w:ascii="仿宋" w:hAnsi="仿宋" w:eastAsia="仿宋" w:cs="仿宋"/>
                <w:sz w:val="18"/>
                <w:szCs w:val="18"/>
              </w:rPr>
            </w:pPr>
            <w:r>
              <w:rPr>
                <w:rFonts w:hint="eastAsia" w:ascii="仿宋" w:hAnsi="仿宋" w:eastAsia="仿宋" w:cs="仿宋"/>
                <w:sz w:val="18"/>
                <w:szCs w:val="18"/>
              </w:rPr>
              <w:t>1、立案责任：发现涉嫌采取破坏性的开采方法开采矿产资源的违法行为（或者下级国土资源部门上报或其他机关移送的违法案件等），予以审查，决定是否立案。</w:t>
            </w:r>
          </w:p>
          <w:p>
            <w:pPr>
              <w:widowControl/>
              <w:spacing w:line="240" w:lineRule="exact"/>
              <w:jc w:val="left"/>
              <w:textAlignment w:val="center"/>
              <w:rPr>
                <w:rFonts w:hint="eastAsia" w:ascii="仿宋" w:hAnsi="仿宋" w:eastAsia="仿宋" w:cs="仿宋"/>
                <w:sz w:val="18"/>
                <w:szCs w:val="18"/>
              </w:rPr>
            </w:pPr>
            <w:r>
              <w:rPr>
                <w:rFonts w:hint="eastAsia" w:ascii="仿宋" w:hAnsi="仿宋" w:eastAsia="仿宋" w:cs="仿宋"/>
                <w:sz w:val="18"/>
                <w:szCs w:val="18"/>
              </w:rPr>
              <w:t>2、调查责任：国土资源部门对立案的案件，指定专人负责，及时组织调查取证，与当事人有直接利害关系的应当回避。执法人员不得少于两人，调查时应出示执法证件，允许当事人辩解陈述。执法人员应保守有关秘密。</w:t>
            </w:r>
          </w:p>
          <w:p>
            <w:pPr>
              <w:widowControl/>
              <w:spacing w:line="240" w:lineRule="exact"/>
              <w:jc w:val="left"/>
              <w:textAlignment w:val="center"/>
              <w:rPr>
                <w:rFonts w:hint="eastAsia" w:ascii="仿宋" w:hAnsi="仿宋" w:eastAsia="仿宋" w:cs="仿宋"/>
                <w:sz w:val="18"/>
                <w:szCs w:val="18"/>
              </w:rPr>
            </w:pPr>
            <w:r>
              <w:rPr>
                <w:rFonts w:hint="eastAsia" w:ascii="仿宋" w:hAnsi="仿宋" w:eastAsia="仿宋" w:cs="仿宋"/>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widowControl/>
              <w:spacing w:line="240" w:lineRule="exact"/>
              <w:jc w:val="left"/>
              <w:textAlignment w:val="center"/>
              <w:rPr>
                <w:rFonts w:hint="eastAsia" w:ascii="仿宋" w:hAnsi="仿宋" w:eastAsia="仿宋" w:cs="仿宋"/>
                <w:sz w:val="18"/>
                <w:szCs w:val="18"/>
              </w:rPr>
            </w:pPr>
            <w:r>
              <w:rPr>
                <w:rFonts w:hint="eastAsia" w:ascii="仿宋" w:hAnsi="仿宋" w:eastAsia="仿宋" w:cs="仿宋"/>
                <w:sz w:val="18"/>
                <w:szCs w:val="18"/>
              </w:rPr>
              <w:t>4、告知责任：作出行政处罚决定前，应制作《行政处罚告知书》送达当事人，告知违法事实及其享有的陈述、申辩等权利。符合听证规定的，制作并送达《行政处罚听证告知书》。</w:t>
            </w:r>
          </w:p>
          <w:p>
            <w:pPr>
              <w:widowControl/>
              <w:spacing w:line="240" w:lineRule="exact"/>
              <w:jc w:val="left"/>
              <w:textAlignment w:val="center"/>
              <w:rPr>
                <w:rFonts w:hint="eastAsia" w:ascii="仿宋" w:hAnsi="仿宋" w:eastAsia="仿宋" w:cs="仿宋"/>
                <w:sz w:val="18"/>
                <w:szCs w:val="18"/>
              </w:rPr>
            </w:pPr>
            <w:r>
              <w:rPr>
                <w:rFonts w:hint="eastAsia" w:ascii="仿宋" w:hAnsi="仿宋" w:eastAsia="仿宋" w:cs="仿宋"/>
                <w:sz w:val="18"/>
                <w:szCs w:val="18"/>
              </w:rPr>
              <w:t>5、决定责任：制作行政处罚决定书，载明行政处罚告知、当事人陈述申辩或者听证情况等内容。</w:t>
            </w:r>
          </w:p>
          <w:p>
            <w:pPr>
              <w:widowControl/>
              <w:spacing w:line="240" w:lineRule="exact"/>
              <w:jc w:val="left"/>
              <w:textAlignment w:val="center"/>
              <w:rPr>
                <w:rFonts w:hint="eastAsia" w:ascii="仿宋" w:hAnsi="仿宋" w:eastAsia="仿宋" w:cs="仿宋"/>
                <w:sz w:val="18"/>
                <w:szCs w:val="18"/>
              </w:rPr>
            </w:pPr>
            <w:r>
              <w:rPr>
                <w:rFonts w:hint="eastAsia" w:ascii="仿宋" w:hAnsi="仿宋" w:eastAsia="仿宋" w:cs="仿宋"/>
                <w:sz w:val="18"/>
                <w:szCs w:val="18"/>
              </w:rPr>
              <w:t>6、送达责任：行政处罚决定书按法律规定的方式送达当事人。</w:t>
            </w:r>
          </w:p>
          <w:p>
            <w:pPr>
              <w:widowControl/>
              <w:spacing w:line="240" w:lineRule="exact"/>
              <w:jc w:val="left"/>
              <w:textAlignment w:val="center"/>
              <w:rPr>
                <w:rFonts w:hint="eastAsia" w:ascii="仿宋" w:hAnsi="仿宋" w:eastAsia="仿宋" w:cs="仿宋"/>
                <w:sz w:val="18"/>
                <w:szCs w:val="18"/>
              </w:rPr>
            </w:pPr>
            <w:r>
              <w:rPr>
                <w:rFonts w:hint="eastAsia" w:ascii="仿宋" w:hAnsi="仿宋" w:eastAsia="仿宋" w:cs="仿宋"/>
                <w:sz w:val="18"/>
                <w:szCs w:val="18"/>
              </w:rPr>
              <w:t>7、执行责任：依照生效的行政处罚决定，依法履行。</w:t>
            </w:r>
          </w:p>
          <w:p>
            <w:pPr>
              <w:widowControl/>
              <w:spacing w:line="240" w:lineRule="exact"/>
              <w:jc w:val="left"/>
              <w:textAlignment w:val="center"/>
              <w:rPr>
                <w:rFonts w:hint="eastAsia" w:ascii="仿宋" w:hAnsi="仿宋" w:eastAsia="仿宋" w:cs="仿宋"/>
                <w:sz w:val="18"/>
                <w:szCs w:val="18"/>
              </w:rPr>
            </w:pPr>
            <w:r>
              <w:rPr>
                <w:rFonts w:hint="eastAsia" w:ascii="仿宋" w:hAnsi="仿宋" w:eastAsia="仿宋" w:cs="仿宋"/>
                <w:sz w:val="18"/>
                <w:szCs w:val="18"/>
              </w:rPr>
              <w:t>8、其他法律法规规章文件规定应履行的责任。</w:t>
            </w:r>
          </w:p>
          <w:p>
            <w:pPr>
              <w:widowControl/>
              <w:spacing w:line="240" w:lineRule="exact"/>
              <w:jc w:val="left"/>
              <w:textAlignment w:val="center"/>
              <w:rPr>
                <w:rFonts w:ascii="仿宋_GB2312" w:hAnsi="仿宋_GB2312" w:eastAsia="仿宋_GB2312" w:cs="仿宋_GB2312"/>
                <w:sz w:val="18"/>
                <w:szCs w:val="18"/>
              </w:rPr>
            </w:pPr>
          </w:p>
        </w:tc>
        <w:tc>
          <w:tcPr>
            <w:tcW w:w="3392" w:type="dxa"/>
            <w:tcBorders>
              <w:tl2br w:val="nil"/>
              <w:tr2bl w:val="nil"/>
            </w:tcBorders>
            <w:shd w:val="clear" w:color="auto" w:fill="auto"/>
            <w:vAlign w:val="center"/>
          </w:tcPr>
          <w:p>
            <w:pPr>
              <w:widowControl/>
              <w:spacing w:line="240" w:lineRule="exact"/>
              <w:jc w:val="left"/>
              <w:textAlignment w:val="center"/>
              <w:rPr>
                <w:rFonts w:hint="eastAsia" w:ascii="仿宋" w:hAnsi="仿宋" w:eastAsia="仿宋" w:cs="仿宋"/>
                <w:sz w:val="15"/>
                <w:szCs w:val="15"/>
              </w:rPr>
            </w:pPr>
            <w:r>
              <w:rPr>
                <w:rFonts w:hint="eastAsia" w:ascii="仿宋" w:hAnsi="仿宋" w:eastAsia="仿宋" w:cs="仿宋"/>
                <w:sz w:val="15"/>
                <w:szCs w:val="15"/>
              </w:rPr>
              <w:t>1.第七十六条　“行政机关实施行政处罚，有下列情形之一，由上级行政机关或者有关机关责令改正，对直接负责的主管人员和其他直接责任人员依法给予处分：</w:t>
            </w:r>
          </w:p>
          <w:p>
            <w:pPr>
              <w:widowControl/>
              <w:spacing w:line="240" w:lineRule="exact"/>
              <w:jc w:val="left"/>
              <w:textAlignment w:val="center"/>
              <w:rPr>
                <w:rFonts w:hint="eastAsia" w:ascii="仿宋" w:hAnsi="仿宋" w:eastAsia="仿宋" w:cs="仿宋"/>
                <w:sz w:val="15"/>
                <w:szCs w:val="15"/>
              </w:rPr>
            </w:pPr>
            <w:r>
              <w:rPr>
                <w:rFonts w:hint="eastAsia" w:ascii="仿宋" w:hAnsi="仿宋" w:eastAsia="仿宋" w:cs="仿宋"/>
                <w:sz w:val="15"/>
                <w:szCs w:val="15"/>
              </w:rPr>
              <w:t>（一）没有法定的行政处罚依据的；（二）擅自改变行政处罚种类、幅度的；（三）违反法定的行政处罚程序的；（四）违反本法第二十条关于委托处罚的规定的；（五）执法人员未取得执法证件的。”</w:t>
            </w:r>
          </w:p>
          <w:p>
            <w:pPr>
              <w:widowControl/>
              <w:spacing w:line="240" w:lineRule="exact"/>
              <w:jc w:val="left"/>
              <w:textAlignment w:val="center"/>
              <w:rPr>
                <w:rFonts w:hint="eastAsia" w:ascii="仿宋" w:hAnsi="仿宋" w:eastAsia="仿宋" w:cs="仿宋"/>
                <w:sz w:val="15"/>
                <w:szCs w:val="15"/>
              </w:rPr>
            </w:pPr>
            <w:r>
              <w:rPr>
                <w:rFonts w:hint="eastAsia" w:ascii="仿宋" w:hAnsi="仿宋" w:eastAsia="仿宋" w:cs="仿宋"/>
                <w:sz w:val="15"/>
                <w:szCs w:val="15"/>
              </w:rPr>
              <w:t>2.河北省相关法律法规规章等。</w:t>
            </w:r>
          </w:p>
          <w:p>
            <w:pPr>
              <w:widowControl/>
              <w:spacing w:line="240" w:lineRule="exact"/>
              <w:jc w:val="left"/>
              <w:textAlignment w:val="center"/>
              <w:rPr>
                <w:rFonts w:hint="eastAsia" w:ascii="仿宋" w:hAnsi="仿宋" w:eastAsia="仿宋" w:cs="仿宋"/>
                <w:sz w:val="15"/>
                <w:szCs w:val="15"/>
              </w:rPr>
            </w:pPr>
            <w:r>
              <w:rPr>
                <w:rFonts w:hint="eastAsia" w:ascii="仿宋" w:hAnsi="仿宋" w:eastAsia="仿宋" w:cs="仿宋"/>
                <w:sz w:val="15"/>
                <w:szCs w:val="15"/>
              </w:rPr>
              <w:t>3.《行政处罚法》第八十三条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widowControl/>
              <w:spacing w:line="240" w:lineRule="exact"/>
              <w:jc w:val="left"/>
              <w:textAlignment w:val="center"/>
              <w:rPr>
                <w:rFonts w:hint="eastAsia" w:ascii="仿宋" w:hAnsi="仿宋" w:eastAsia="仿宋" w:cs="仿宋"/>
                <w:sz w:val="15"/>
                <w:szCs w:val="15"/>
              </w:rPr>
            </w:pPr>
            <w:r>
              <w:rPr>
                <w:rFonts w:hint="eastAsia" w:ascii="仿宋" w:hAnsi="仿宋" w:eastAsia="仿宋" w:cs="仿宋"/>
                <w:sz w:val="15"/>
                <w:szCs w:val="15"/>
              </w:rPr>
              <w:t>4.河北省相关法律法规规章等。</w:t>
            </w:r>
          </w:p>
          <w:p>
            <w:pPr>
              <w:widowControl/>
              <w:spacing w:line="240" w:lineRule="exact"/>
              <w:jc w:val="left"/>
              <w:textAlignment w:val="center"/>
              <w:rPr>
                <w:rFonts w:hint="eastAsia" w:ascii="仿宋" w:hAnsi="仿宋" w:eastAsia="仿宋" w:cs="仿宋"/>
                <w:sz w:val="15"/>
                <w:szCs w:val="15"/>
              </w:rPr>
            </w:pPr>
            <w:r>
              <w:rPr>
                <w:rFonts w:hint="eastAsia" w:ascii="仿宋" w:hAnsi="仿宋" w:eastAsia="仿宋" w:cs="仿宋"/>
                <w:sz w:val="15"/>
                <w:szCs w:val="15"/>
              </w:rPr>
              <w:t>5.《国土资源行政处罚办法》第四十五条“县级以上国土资源主管部门直接负责的主管人员和其他直接责任人员，违反本办法规定，有下列情形之一，致使公民、法人或者其他组织的合法权益、公共利益和社会秩序遭受损害的，应当依法给予处分：……（三）在制止以及查处违法案件中受阻，依照有关规定应当向本级人民政府或者上级国土资源主管部门报告而未报告的；（四）应当依法进行行政处罚而未依法处罚的；（五）应当依法申请强制执行、提出行政处分建议或者移送有权机关追究党纪、政纪或者刑事责任，而未依法申请强制执行、提出行政处分建议、移送有权机关的；（六）其他徇私枉法、滥用职权、玩忽职守的情形。”</w:t>
            </w:r>
          </w:p>
          <w:p>
            <w:pPr>
              <w:widowControl/>
              <w:spacing w:line="240" w:lineRule="exact"/>
              <w:jc w:val="left"/>
              <w:textAlignment w:val="center"/>
              <w:rPr>
                <w:rFonts w:hint="eastAsia" w:ascii="仿宋" w:hAnsi="仿宋" w:eastAsia="仿宋" w:cs="仿宋"/>
                <w:sz w:val="15"/>
                <w:szCs w:val="15"/>
              </w:rPr>
            </w:pPr>
            <w:r>
              <w:rPr>
                <w:rFonts w:hint="eastAsia" w:ascii="仿宋" w:hAnsi="仿宋" w:eastAsia="仿宋" w:cs="仿宋"/>
                <w:sz w:val="15"/>
                <w:szCs w:val="15"/>
              </w:rPr>
              <w:t>6.同5。</w:t>
            </w:r>
          </w:p>
          <w:p>
            <w:pPr>
              <w:widowControl/>
              <w:spacing w:line="240" w:lineRule="exact"/>
              <w:jc w:val="left"/>
              <w:textAlignment w:val="center"/>
              <w:rPr>
                <w:rFonts w:hint="eastAsia" w:ascii="仿宋" w:hAnsi="仿宋" w:eastAsia="仿宋" w:cs="仿宋"/>
                <w:sz w:val="15"/>
                <w:szCs w:val="15"/>
              </w:rPr>
            </w:pPr>
            <w:r>
              <w:rPr>
                <w:rFonts w:hint="eastAsia" w:ascii="仿宋" w:hAnsi="仿宋" w:eastAsia="仿宋" w:cs="仿宋"/>
                <w:sz w:val="15"/>
                <w:szCs w:val="15"/>
              </w:rPr>
              <w:t>7.同1。</w:t>
            </w:r>
          </w:p>
          <w:p>
            <w:pPr>
              <w:widowControl/>
              <w:spacing w:line="240" w:lineRule="exact"/>
              <w:jc w:val="left"/>
              <w:textAlignment w:val="center"/>
              <w:rPr>
                <w:rFonts w:hint="eastAsia" w:ascii="仿宋" w:hAnsi="仿宋" w:eastAsia="仿宋" w:cs="仿宋"/>
                <w:sz w:val="15"/>
                <w:szCs w:val="15"/>
              </w:rPr>
            </w:pPr>
            <w:r>
              <w:rPr>
                <w:rFonts w:hint="eastAsia" w:ascii="仿宋" w:hAnsi="仿宋" w:eastAsia="仿宋" w:cs="仿宋"/>
                <w:sz w:val="15"/>
                <w:szCs w:val="15"/>
              </w:rPr>
              <w:t>8.同1。</w:t>
            </w:r>
          </w:p>
          <w:p>
            <w:pPr>
              <w:widowControl/>
              <w:spacing w:line="240" w:lineRule="exact"/>
              <w:jc w:val="left"/>
              <w:textAlignment w:val="center"/>
              <w:rPr>
                <w:rFonts w:ascii="仿宋_GB2312" w:hAnsi="仿宋_GB2312" w:eastAsia="仿宋_GB2312" w:cs="仿宋_GB2312"/>
                <w:sz w:val="18"/>
                <w:szCs w:val="18"/>
              </w:rPr>
            </w:pPr>
            <w:r>
              <w:rPr>
                <w:rFonts w:hint="eastAsia" w:ascii="仿宋" w:hAnsi="仿宋" w:eastAsia="仿宋" w:cs="仿宋"/>
                <w:sz w:val="15"/>
                <w:szCs w:val="15"/>
              </w:rPr>
              <w:t>9.《行政处罚法》第七十九条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tc>
        <w:tc>
          <w:tcPr>
            <w:tcW w:w="567" w:type="dxa"/>
            <w:tcBorders>
              <w:tl2br w:val="nil"/>
              <w:tr2bl w:val="nil"/>
            </w:tcBorders>
            <w:shd w:val="clear" w:color="auto" w:fill="auto"/>
            <w:vAlign w:val="center"/>
          </w:tcPr>
          <w:p>
            <w:pPr>
              <w:widowControl/>
              <w:spacing w:line="240" w:lineRule="exact"/>
              <w:jc w:val="center"/>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kern w:val="0"/>
                <w:sz w:val="18"/>
                <w:szCs w:val="18"/>
                <w:lang w:val="en-US" w:eastAsia="zh-CN"/>
              </w:rPr>
              <w:t>1</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行政征收</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不动产登记费征收</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1.《民法典》第二百二十三条 不动产登记收费按件收取，不得按照不动产的面积、体积或者价款的比例收取。</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2.国家发展改革委财政部《关于不动产登记收费标准等有关问题的通知》（发改价格规【2016】2559号文件发文时间2016.12.6）</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3.财政部国家发展和改革委员会《关于不动产登记收费有关政策问题的通知》（财税【2016】79号，发文时间2016.7.12）</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1.受理责任:公示告知不动产登记收费并按申请人的要求进行相关解释说明。</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2.审核责任:依照登记事项及登记材料，根据收费标准审查不动产登记费收缴，减缴、免缴的依据及金额等。</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3.其他法律法规规章文件规定应履行的责任。</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1.对依法应当收取不动产登记费未征收的；</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2.违反相关规定对登记费进行减免、缓征的；</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3.对国家规定予以减免的登记费未予减免的；</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3.其他违反法律法规规章文件规定的行为。</w:t>
            </w:r>
          </w:p>
        </w:tc>
        <w:tc>
          <w:tcPr>
            <w:tcW w:w="567" w:type="dxa"/>
            <w:tcBorders>
              <w:tl2br w:val="nil"/>
              <w:tr2bl w:val="nil"/>
            </w:tcBorders>
            <w:shd w:val="clear" w:color="auto" w:fill="auto"/>
            <w:vAlign w:val="center"/>
          </w:tcPr>
          <w:p>
            <w:pPr>
              <w:widowControl/>
              <w:spacing w:line="240" w:lineRule="exact"/>
              <w:jc w:val="center"/>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行政裁决</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土地权属争议调处</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1.《中华人民共和国土地管理法》（主席令第28号）第14条 土地所有权和使用权争议，由当事人协商解决;协商不成的，由人民政府处理。单位之间的争议，由县级以上人民政府处理;个人之间、个人与单位之间的争议，由乡级人民政府或者县级以上人民政府处理。当事人对有关人民政府的处理决定不服的，可以自接到处理决定通知之日起三十日内，向人民法院起诉。在土地所有权和使用权争议解决前，任何一方不得改变土地利用现状。</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2.《土地权属争议调处处理办法》（国土资源部2003第17号令）第4条 县级以上国土资源行政主管部门负责土地权属争议案件的调查和调解工作;对需要依法作出处理决定的，拟定处理意见，报同级人民政府作出处理决定。县级以上国土资源行政主管部门可以指定专门机构或者人员负责办理争议案件有关事宜。</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受理责任:对申请人提出的土地权属争议调查处理的申请，自然资源行政主管部门应当依照《土地权属争议调处处理办法》第十条的规定进行审查，并在收到申请书之日起7个工作日内提出是否受理的意见。认为应当受理的，在决定受理之日起5个工作日内将申请书副本发送被申请人。被申请人应当在接到申请书副本之日起30日内提交答辩书和有关证据材料。逾期不提交答辩书的，不影响案件的处理。认为不应当受理的，应当及时拟定不予受理建议书，报同级人民政府作出不予受理决定。</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审理责任:申请调查处理土地权属争议的，应当符合下列条件：一、申请人与争议的土地有直接利害关系;二、有明确的请求处理对象、具体的处理请求和事实根据。国土资源行政主管部门决定受理后，应当及时指定承办人，对当事人争议的事实情况进行调查。国土资源部门对受理的争议案件，应当在查清事实、分清权属关系的基础上先行调解，促使当事人以协商方式达成协议。调解应当坚持自愿、合法的原则。</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3.裁决责任:调解未达成协议的，国土资源行政主管理部门应当及时提出调查处理意见，报同级人民政府作出处理决定。</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4.执行责任:当事人对人民政府作出的处理决定不服的，可以依法申请行政复议或者提起行政诉讼。在规定的时间内，当事人既不申请行政复议，也不提起行政诉讼，处理决定即发生法律效力。生效的处理决定是土地登记的依据。</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5.其他法律法规规章文件规定应履行的责任。</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1.对符合条件的权属争议裁决申请不予受理、裁决的；</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2.对不符合法定条件的权属争议裁决申请受理、裁决的；</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3.因裁决不当给行政相对人造成损失的；</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4.没有法律和事实依据进行行政裁决的；</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5.在权属争议裁决工作中玩忽职守、滥用职权的；</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6.在行政裁决过程中发生腐败行为的；</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7.其他违反法律法规规章文件规定的行为。</w:t>
            </w:r>
          </w:p>
        </w:tc>
        <w:tc>
          <w:tcPr>
            <w:tcW w:w="567" w:type="dxa"/>
            <w:tcBorders>
              <w:tl2br w:val="nil"/>
              <w:tr2bl w:val="nil"/>
            </w:tcBorders>
            <w:shd w:val="clear" w:color="auto" w:fill="auto"/>
            <w:vAlign w:val="center"/>
          </w:tcPr>
          <w:p>
            <w:pPr>
              <w:widowControl/>
              <w:spacing w:line="240" w:lineRule="exact"/>
              <w:jc w:val="center"/>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lang w:val="en-US" w:eastAsia="zh-CN"/>
              </w:rPr>
              <w:t>1</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行政确认</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闲置土地认定</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xml:space="preserve">1.《中华人民共和国土地管理法》（1986年6月25日主席令第四十一号，2019 年8 月 26 日第十三届全国人民代表大会常务委员会第十二次会议《关于修改 &lt;中华人民共和国土地管理法&gt;&lt;中华人民共和国城市房地产管理法&gt;的决定》第三次修正,条款号第三十八条：“禁止任何单位和个人闲置、荒芜耕地。已经办理审批手续的非农业建设占用耕地，一年内不用而又可以耕种并收获的，应当由原耕种该幅耕地的集体或者个人恢复耕种，也可以由用地单位组织耕种；一年以上未动工建设的，应当按照省、自治区、直辖市的规定缴纳闲置费；连续二年未使用的，经原批准机关批准，由县级以上人民政府无偿收回用地单位的土地使用权；该幅土地原为农民集体所有的，应当交由原农村集体经济组织恢复耕种。 </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 xml:space="preserve">在城市规划区范围内，以出让方式取得土地使用权进行房地产开发的闲置土地，依照《中华人民共和国城市房地产管理法》的有关规定办理。 </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承包经营耕地的单位或者个人连续二年弃耕抛荒的，原发包单位应当终止承包合同，收回发包的耕地”。</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2.《闲置土地处置办法》（国土资源部令第53号）　　第五条：市、县国土资源主管部门发现有涉嫌构成本办法第二条规定的闲置土地的，应当在三十日内开展调查核实，向国有建设用地使用</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xml:space="preserve"> 1.调查环节责任：自然资源主管部门发现有涉嫌构成闲置土地的，开展调查核实，向国有建设用地使用权人发出《闲置土地调查通知书》。市、县自然资源主管部门通过询问、现场勘测、拍照、摄像、查阅资料等方式调查闲置土地；要求被调查人就有关土地权利及使用问题作出说明。</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2.认定环节责任：.经调查核实，构成闲置土地的，自然资源主管部门应当向国有建设用地使用权人下达《闲置土地认定书》。</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 xml:space="preserve"> 3送达环节责任：《闲置土地认定书》应当载明下列事项：（一）国有建设用地使用权人的姓名或者名称、地址；（二）闲置土地的基本情况；（三）认定土地闲置的事实、依据；（四）闲置原因及认定结论；（五）其他需要说明的事项。</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 xml:space="preserve"> 4.监管环节责任：自然资源主管部门应当将闲置土地信息按宗录入土地市场动态监测与监管系统备案。闲置土地按规定处置完毕后，应当及时更新该宗地相关信息。</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5.其他法律法规规章规定应履行的责任。</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1未及时发现、处置闲置土地，造成严重后果；2.在履行职责过程中滥用职权、玩忽职守、徇私舞弊的；3.其他违反法律法规规章文件规定的行为。</w:t>
            </w:r>
          </w:p>
        </w:tc>
        <w:tc>
          <w:tcPr>
            <w:tcW w:w="567" w:type="dxa"/>
            <w:tcBorders>
              <w:tl2br w:val="nil"/>
              <w:tr2bl w:val="nil"/>
            </w:tcBorders>
            <w:shd w:val="clear" w:color="auto" w:fill="auto"/>
            <w:vAlign w:val="center"/>
          </w:tcPr>
          <w:p>
            <w:pPr>
              <w:widowControl/>
              <w:spacing w:line="240" w:lineRule="exact"/>
              <w:jc w:val="left"/>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kern w:val="0"/>
                <w:sz w:val="18"/>
                <w:szCs w:val="18"/>
                <w:lang w:val="en-US" w:eastAsia="zh-CN"/>
              </w:rPr>
              <w:t>2</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行政确认</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建设用地使用权登记</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1.《民法典》第二百零九条 不动产物权的设立、变更、转让和消灭，经依法登记，发生效力；未经登记，不发生效力，但是另有规定的除外。依法属于国家所有的自然资源，所有权可以不登记。第二百一十条不动产登记，由不动产所在地的登记机构办理。国家对不动产实行统一登记制度。统一登记的范围、登记机构和登记办法，由法律、行政法规规定。</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2.《不动产登记暂行条例》第四条 国家实行不动产统一登记制度。第五条下列不动产权利，依照本条例的规定办理登记：（一）集体土地所有权；（二）房屋建筑物、构筑物所有权；（三）森林、林木所有权；（四）耕地、林地、草地等土地承包经营权；（五）建设用地使用权；（六）宅基地使用权；（七）海域使用权；（八）地役权；（九）抵押权；（十）法律规定需要登记的其他不动产权利。</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1.受理责任：不动产登记机构依法查验申请主体、申请材料，询问登记事项、录入相关信息、依法受理或不予受理(不予受理应当告知理由,一次性告知补正材料。</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2.审核责任：不动产登记机构受理申请人的申请后，根据申请登记事项，按照有关法律、行政法规对申请事项及申请材料做进一步审查，并决定是否予以登记。需要时可调查并实地查看。</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3.登记责任：经审核符合登记条件的，将申请登记事项及时记载于不动产登记簿。</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1.不动产登记机构登记错误给他人造成损害，或者当事人提供虚假材料申请登记给他人造成损害的，依照《中华人民共和国民法典》的规定承担赔偿责任；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不动产登记机构工作人员进行虚假登记，损毁、伪造不动产登记簿，擅自修改登记事项，或者有其他滥用职权、玩忽职守行为的，依法给予处分，给他人造成损害的，依法承担赔偿责任；构成犯罪的，依法追究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567" w:type="dxa"/>
            <w:tcBorders>
              <w:tl2br w:val="nil"/>
              <w:tr2bl w:val="nil"/>
            </w:tcBorders>
            <w:shd w:val="clear" w:color="auto" w:fill="auto"/>
            <w:vAlign w:val="center"/>
          </w:tcPr>
          <w:p>
            <w:pPr>
              <w:widowControl/>
              <w:spacing w:line="240" w:lineRule="exact"/>
              <w:jc w:val="left"/>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kern w:val="0"/>
                <w:sz w:val="18"/>
                <w:szCs w:val="18"/>
                <w:lang w:val="en-US" w:eastAsia="zh-CN"/>
              </w:rPr>
              <w:t>3</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行政确认</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海域使用权登记以及其他法定需要的不动产权利登记</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1.《民法典》第二百零九条 不动产物权的设立、变更、转让和消灭，经依法登记，发生效力；未经登记，不发生效力，但是另有规定的除外。依法属于国家所有的自然资源，所有权可以不登记。第二百一十条 不动产登记，由不动产所在地的登记机构办理。国家对不动产实行统一登记制度。统一登记的范围、登记机构和登记办法，由法律、行政法规规定。</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2.《不动产登记暂行条例》第四条 国家实行不动产统一登记制度。第五条下列不动产权利，依照本条例的规定办理登记：（一）集体土地所有权；（二）房屋建筑物、构筑物所有权；（三）森林、林木所有权；（四）耕地、林地、草地等土地承包经营权；（五）建设用地使用权；（六）宅基地使用权；（七）海域使用权；（八）地役权；（九）抵押权；（十）法律规定需要登记的其他不动产权利。</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1.受理责任：不动产登记机构依法查验申请主体、申请材料，询问登记事项、录入相关信息、依法受理或不予受理(不予受理应当告知理由,一次性告知补正材料。</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2.审核责任：不动产登记机构受理申请人的申请后，根据申请登记事项，按照有关法律、行政法规对申请事项及申请材料做进一步审查，并决定是否予以登记。需要时可调查并实地查看。</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3.登记责任：经审核符合登记条件的，将申请登记事项及时记载于不动产登记簿。</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1.不动产登记机构登记错误给他人造成损害，或者当事人提供虚假材料申请登记给他人造成损害的，依照《中华人民共和国民法典》的规定承担赔偿责任；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不动产登记机构工作人员进行虚假登记，损毁、伪造不动产登记簿，擅自修改登记事项，或者有其他滥用职权、玩忽职守行为的，依法给予处分，给他人造成损害的，依法承担赔偿责任；构成犯罪的，依法追究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567" w:type="dxa"/>
            <w:tcBorders>
              <w:tl2br w:val="nil"/>
              <w:tr2bl w:val="nil"/>
            </w:tcBorders>
            <w:shd w:val="clear" w:color="auto" w:fill="auto"/>
            <w:vAlign w:val="center"/>
          </w:tcPr>
          <w:p>
            <w:pPr>
              <w:widowControl/>
              <w:spacing w:line="240" w:lineRule="exact"/>
              <w:jc w:val="left"/>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kern w:val="0"/>
                <w:sz w:val="18"/>
                <w:szCs w:val="18"/>
                <w:lang w:val="en-US" w:eastAsia="zh-CN"/>
              </w:rPr>
              <w:t>4</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行政确认</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国有林地使用权登记</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1.《民法典》第二百零九条 不动产物权的设立、变更、转让和消灭，经依法登记，发生效力；未经登记，不发生效力，但是另有规定的除外。依法属于国家所有的自然资源，所有权可以不登记。第二百一十条 不动产登记，由不动产所在地的登记机构办理。国家对不动产实行统一登记制度。统一登记的范围、登记机构和登记办法，由法律、行政法规规定。</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2.《不动产登记暂行条例》第四条 国家实行不动产统一登记制度。第五条下列不动产权利，依照本条例的规定办理登记：（一）集体土地所有权；（二）房屋建筑物、构筑物所有权；（三）森林、林木所有权；（四）耕地、林地、草地等土地承包经营权；（五）建设用地使用权；（六）宅基地使用权；（七）海域使用权；（八）地役权；（九）抵押权；（十）法律规定需要登记的其他不动产权利。</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1.受理责任：不动产登记机构依法查验申请主体、申请材料，询问登记事项、录入相关信息、依法受理或不予受理(不予受理应当告知理由,一次性告知补正材料。</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2.审核责任：不动产登记机构受理申请人的申请后，根据申请登记事项，按照有关法律、行政法规对申请事项及申请材料做进一步审查，并决定是否予以登记。需要时可调查并实地查看。</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3.登记责任：经审核符合登记条件的，将申请登记事项及时记载于不动产登记簿。</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1.不动产登记机构登记错误给他人造成损害，或者当事人提供虚假材料申请登记给他人造成损害的，依照《中华人民共和国民法典》的规定承担赔偿责任；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不动产登记机构工作人员进行虚假登记，损毁、伪造不动产登记簿，擅自修改登记事项，或者有其他滥用职权、玩忽职守行为的，依法给予处分，给他人造成损害的，依法承担赔偿责任；构成犯罪的，依法追究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567" w:type="dxa"/>
            <w:tcBorders>
              <w:tl2br w:val="nil"/>
              <w:tr2bl w:val="nil"/>
            </w:tcBorders>
            <w:shd w:val="clear" w:color="auto" w:fill="auto"/>
            <w:vAlign w:val="center"/>
          </w:tcPr>
          <w:p>
            <w:pPr>
              <w:widowControl/>
              <w:spacing w:line="240" w:lineRule="exact"/>
              <w:jc w:val="left"/>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kern w:val="0"/>
                <w:sz w:val="18"/>
                <w:szCs w:val="18"/>
                <w:lang w:val="en-US" w:eastAsia="zh-CN"/>
              </w:rPr>
              <w:t>5</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行政确认</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国有农用地使用权登记</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1.《民法典》第二百零九条 不动产物权的设立、变更、转让和消灭，经依法登记，发生效力；未经登记，不发生效力，但是另有规定的除外。依法属于国家所有的自然资源，所有权可以不登记。第二百一十条 不动产登记，由不动产所在地的登记机构办理。国家对不动产实行统一登记制度。统一登记的范围、登记机构和登记办法，由法律、行政法规规定。</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2.《不动产登记暂行条例》第四条 国家实行不动产统一登记制度。第五条下列不动产权利，依照本条例的规定办理登记：（一）集体土地所有权；（二）房屋建筑物、构筑物所有权；（三）森林、林木所有权；（四）耕地、林地、草地等土地承包经营权；（五）建设用地使用权；（六）宅基地使用权；（七）海域使用权；（八）地役权；（九）抵押权；（十）法律规定需要登记的其他不动产权利。</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1.受理责任：不动产登记机构依法查验申请主体、申请材料，询问登记事项、录入相关信息、依法受理或不予受理(不予受理应当告知理由,一次性告知补正材料。</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2.审核责任：不动产登记机构受理申请人的申请后，根据申请登记事项，按照有关法律、行政法规对申请事项及申请材料做进一步审查，并决定是否予以登记。需要时可调查并实地查看。</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3.登记责任：经审核符合登记条件的，将申请登记事项及时记载于不动产登记簿。</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1.不动产登记机构登记错误给他人造成损害，或者当事人提供虚假材料申请登记给他人造成损害的，依照《中华人民共和国民法典》的规定承担赔偿责任；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不动产登记机构工作人员进行虚假登记，损毁、伪造不动产登记簿，擅自修改登记事项，或者有其他滥用职权、玩忽职守行为的，依法给予处分，给他人造成损害的，依法承担赔偿责任；构成犯罪的，依法追究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567" w:type="dxa"/>
            <w:tcBorders>
              <w:tl2br w:val="nil"/>
              <w:tr2bl w:val="nil"/>
            </w:tcBorders>
            <w:shd w:val="clear" w:color="auto" w:fill="auto"/>
            <w:vAlign w:val="center"/>
          </w:tcPr>
          <w:p>
            <w:pPr>
              <w:widowControl/>
              <w:spacing w:line="240" w:lineRule="exact"/>
              <w:jc w:val="left"/>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kern w:val="0"/>
                <w:sz w:val="18"/>
                <w:szCs w:val="18"/>
                <w:lang w:val="en-US" w:eastAsia="zh-CN"/>
              </w:rPr>
              <w:t>6</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行政确认</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集体土地所有权登记</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1.《民法典》第二百零九条 不动产物权的设立、变更、转让和消灭，经依法登记，发生效力；未经登记，不发生效力，但是另有规定的除外。依法属于国家所有的自然资源，所有权可以不登记。第二百一十条 不动产登记，由不动产所在地的登记机构办理。国家对不动产实行统一登记制度。统一登记的范围、登记机构和登记办法，由法律、行政法规规定。</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2.《不动产登记暂行条例》第四条 国家实行不动产统一登记制度。第五条 下列不动产权利，依照本条例的规定办理登记：（一）集体土地所有权；（二）房屋建筑物、构筑物所有权；（三）森林、林木所有权；（四）耕地、林地、草地等土地承包经营权；（五）建设用地使用权；（六）宅基地使用权；（七）海域使用权；（八）地役权；（九）抵押权；（十）法律规定需要登记的其他不动产权利。</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1.受理责任：不动产登记机构依法查验申请主体、申请材料，询问登记事项、录入相关信息、依法受理或不予受理(不予受理应当告知理由,一次性告知补正材料。</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2.审核责任：不动产登记机构受理申请人的申请后，根据申请登记事项，按照有关法律、行政法规对申请事项及申请材料做进一步审查，并决定是否予以登记。需要时可调查并实地查看。</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3.登记责任：经审核符合登记条件的，将申请登记事项及时记载于不动产登记簿。</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1.不动产登记机构登记错误给他人造成损害，或者当事人提供虚假材料申请登记给他人造成损害的，依照《中华人民共和国民法典》的规定承担赔偿责任；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不动产登记机构工作人员进行虚假登记，损毁、伪造不动产登记簿，擅自修改登记事项，或者有其他滥用职权、玩忽职守行为的，依法给予处分，给他人造成损害的，依法承担赔偿责任；构成犯罪的，依法追究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567" w:type="dxa"/>
            <w:tcBorders>
              <w:tl2br w:val="nil"/>
              <w:tr2bl w:val="nil"/>
            </w:tcBorders>
            <w:shd w:val="clear" w:color="auto" w:fill="auto"/>
            <w:vAlign w:val="center"/>
          </w:tcPr>
          <w:p>
            <w:pPr>
              <w:widowControl/>
              <w:spacing w:line="240" w:lineRule="exact"/>
              <w:jc w:val="left"/>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kern w:val="0"/>
                <w:sz w:val="18"/>
                <w:szCs w:val="18"/>
                <w:lang w:val="en-US" w:eastAsia="zh-CN"/>
              </w:rPr>
              <w:t>7</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行政确认</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宅基地使用权登记</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1.《民法典》第二百零九条 不动产物权的设立、变更、转让和消灭，经依法登记，发生效力；未经登记，不发生效力，但是另有规定的除外。依法属于国家所有的自然资源，所有权可以不登记。第二百一十条 不动产登记，由不动产所在地的登记机构办理。国家对不动产实行统一登记制度。统一登记的范围、登记机构和登记办法，由法律、行政法规规定。</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2.《不动产登记暂行条例》第四条 国家实行不动产统一登记制度。第五条下列不动产权利，依照本条例的规定办理登记：（一）集体土地所有权；（二）房屋建筑物、构筑物所有权；（三）森林、林木所有权；（四）耕地、林地、草地等土地承包经营权；（五）建设用地使用权；（六）宅基地使用权；（七）海域使用权；（八）地役权；（九）抵押权；（十）法律规定需要登记的其他不动产权利。</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1.受理责任：不动产登记机构依法查验申请主体、申请材料，询问登记事项、录入相关信息、依法受理或不予受理(不予受理应当告知理由,一次性告知补正材料。</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2.审核责任：不动产登记机构受理申请人的申请后，根据申请登记事项，按照有关法律、行政法规对申请事项及申请材料做进一步审查，并决定是否予以登记。需要时可调查并实地查看。</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3.登记责任：经审核符合登记条件的，将申请登记事项及时记载于不动产登记簿。</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1.不动产登记机构登记错误给他人造成损害，或者当事人提供虚假材料申请登记给他人造成损害的，依照《中华人民共和国民法典》的规定承担赔偿责任；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不动产登记机构工作人员进行虚假登记，损毁、伪造不动产登记簿，擅自修改登记事项，或者有其他滥用职权、玩忽职守行为的，依法给予处分，给他人造成损害的，依法承担赔偿责任；构成犯罪的，依法追究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567" w:type="dxa"/>
            <w:tcBorders>
              <w:tl2br w:val="nil"/>
              <w:tr2bl w:val="nil"/>
            </w:tcBorders>
            <w:shd w:val="clear" w:color="auto" w:fill="auto"/>
            <w:vAlign w:val="center"/>
          </w:tcPr>
          <w:p>
            <w:pPr>
              <w:widowControl/>
              <w:spacing w:line="240" w:lineRule="exact"/>
              <w:jc w:val="left"/>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kern w:val="0"/>
                <w:sz w:val="18"/>
                <w:szCs w:val="18"/>
                <w:lang w:val="en-US" w:eastAsia="zh-CN"/>
              </w:rPr>
              <w:t>8</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行政确认</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房屋等建筑物、构筑物所有权登记</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1.《民法典》第二百零九条 不动产物权的设立、变更、转让和消灭，经依法登记，发生效力；未经登记，不发生效力，但是另有规定的除外。依法属于国家所有的自然资源，所有权可以不登记。第二百一十条 不动产登记，由不动产所在地的登记机构办理。国家对不动产实行统一登记制度。统一登记的范围、登记机构和登记办法，由法律、行政法规规定。</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2.《不动产登记暂行条例》第四条 国家实行不动产统一登记制度。第五条 下列不动产权利，依照本条例的规定办理登记：（一）集体土地所有权；（二）房屋建筑物、构筑物所有权；（三）森林、林木所有权；（四）耕地、林地、草地等土地承包经营权；（五）建设用地使用权；（六）宅基地使用权；（七）海域使用权；（八）地役权；（九）抵押权；（十）法律规定需要登记的其他不动产权利。</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1.受理责任：不动产登记机构依法查验申请主体、申请材料，询问登记事项、录入相关信息、依法受理或不予受理(不予受理应当告知理由,一次性告知补正材料。</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2.审核责任：不动产登记机构受理申请人的申请后，根据申请登记事项，按照有关法律、行政法规对申请事项及申请材料做进一步审查，并决定是否予以登记。需要时可调查并实地查看。</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3.登记责任：经审核符合登记条件的，将申请登记事项及时记载于不动产登记簿。</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1.不动产登记机构登记错误给他人造成损害，或者当事人提供虚假材料申请登记给他人造成损害的，依照《中华人民共和国民法典》的规定承担赔偿责任；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不动产登记机构工作人员进行虚假登记，损毁、伪造不动产登记簿，擅自修改登记事项，或者有其他滥用职权、玩忽职守行为的，依法给予处分，给他人造成损害的，依法承担赔偿责任；构成犯罪的，依法追究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567" w:type="dxa"/>
            <w:tcBorders>
              <w:tl2br w:val="nil"/>
              <w:tr2bl w:val="nil"/>
            </w:tcBorders>
            <w:shd w:val="clear" w:color="auto" w:fill="auto"/>
            <w:vAlign w:val="center"/>
          </w:tcPr>
          <w:p>
            <w:pPr>
              <w:widowControl/>
              <w:spacing w:line="240" w:lineRule="exact"/>
              <w:jc w:val="left"/>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kern w:val="0"/>
                <w:sz w:val="18"/>
                <w:szCs w:val="18"/>
                <w:lang w:val="en-US" w:eastAsia="zh-CN"/>
              </w:rPr>
              <w:t>9</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行政确认</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耕地、林地、草原等土地承包经营权登记</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1.《民法典》第二百零九条 不动产物权的设立、变更、转让和消灭，经依法登记，发生效力；未经登记，不发生效力，但是另有规定的除外。依法属于国家所有的自然资源，所有权可以不登记。第二百一十条 不动产登记，由不动产所在地的登记机构办理。国家对不动产实行统一登记制度。统一登记的范围、登记机构和登记办法，由法律、行政法规规定。</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2.《不动产登记暂行条例》第四条 国家实行不动产统一登记制度。第五条 下列不动产权利，依照本条例的规定办理登记：（一）集体土地所有权；（二）房屋建筑物、构筑物所有权；（三）森林、林木所有权；（四）耕地、林地、草地等土地承包经营权；（五）建设用地使用权；（六）宅基地使用权；（七）海域使用权；（八）地役权；（九）抵押权；（十）法律规定需要登记的其他不动产权利。</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1.受理责任：不动产登记机构依法查验申请主体、申请材料，询问登记事项、录入相关信息、依法受理或不予受理(不予受理应当告知理由,一次性告知补正材料。</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2.审核责任：不动产登记机构受理申请人的申请后，根据申请登记事项，按照有关法律、行政法规对申请事项及申请材料做进一步审查，并决定是否予以登记。需要时可调查并实地查看。</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3.登记责任：经审核符合登记条件的，将申请登记事项及时记载于不动产登记簿。</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1.不动产登记机构登记错误给他人造成损害，或者当事人提供虚假材料申请登记给他人造成损害的，依照《中华人民共和国民法典》的规定承担赔偿责任；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不动产登记机构工作人员进行虚假登记，损毁、伪造不动产登记簿，擅自修改登记事项，或者有其他滥用职权、玩忽职守行为的，依法给予处分，给他人造成损害的，依法承担赔偿责任；构成犯罪的，依法追究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567" w:type="dxa"/>
            <w:tcBorders>
              <w:tl2br w:val="nil"/>
              <w:tr2bl w:val="nil"/>
            </w:tcBorders>
            <w:shd w:val="clear" w:color="auto" w:fill="auto"/>
            <w:vAlign w:val="center"/>
          </w:tcPr>
          <w:p>
            <w:pPr>
              <w:widowControl/>
              <w:spacing w:line="240" w:lineRule="exact"/>
              <w:jc w:val="left"/>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kern w:val="0"/>
                <w:sz w:val="18"/>
                <w:szCs w:val="18"/>
                <w:lang w:val="en-US" w:eastAsia="zh-CN"/>
              </w:rPr>
              <w:t>10</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行政确认</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森林、林木所有权登记</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1.《民法典》第二百零九条 不动产物权的设立、变更、转让和消灭，经依法登记，发生效力；未经登记，不发生效力，但是另有规定的除外。依法属于国家所有的自然资源，所有权可以不登记。第二百一十条 不动产登记，由不动产所在地的登记机构办理。国家对不动产实行统一登记制度。统一登记的范围、登记机构和登记办法，由法律、行政法规规定。</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2.《不动产登记暂行条例》第四条 国家实行不动产统一登记制度。第五条 下列不动产权利，依照本条例的规定办理登记：（一）集体土地所有权；（二）房屋建筑物、构筑物所有权；（三）森林、林木所有权；（四）耕地、林地、草地等土地承包经营权；（五）建设用地使用权；（六）宅基地使用权；（七）海域使用权；（八）地役权；（九）抵押权；（十）法律规定需要登记的其他不动产权利。</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1.受理责任：不动产登记机构依法查验申请主体、申请材料，询问登记事项、录入相关信息、依法受理或不予受理(不予受理应当告知理由,一次性告知补正材料。</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2.审核责任：不动产登记机构受理申请人的申请后，根据申请登记事项，按照有关法律、行政法规对申请事项及申请材料做进一步审查，并决定是否予以登记。需要时可调查并实地查看。</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3.登记责任：经审核符合登记条件的，将申请登记事项及时记载于不动产登记簿。</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1.不动产登记机构登记错误给他人造成损害，或者当事人提供虚假材料申请登记给他人造成损害的，依照《中华人民共和国民法典》的规定承担赔偿责任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不动产登记机构工作人员进行虚假登记，损毁、伪造不动产登记簿，擅自修改登记事项，或者有其他滥用职权、玩忽职守行为的，依法给予处分，给他人造成损害的，依法承担赔偿责任；构成犯罪的，依法追究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567" w:type="dxa"/>
            <w:tcBorders>
              <w:tl2br w:val="nil"/>
              <w:tr2bl w:val="nil"/>
            </w:tcBorders>
            <w:shd w:val="clear" w:color="auto" w:fill="auto"/>
            <w:vAlign w:val="center"/>
          </w:tcPr>
          <w:p>
            <w:pPr>
              <w:widowControl/>
              <w:spacing w:line="240" w:lineRule="exact"/>
              <w:jc w:val="left"/>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kern w:val="0"/>
                <w:sz w:val="18"/>
                <w:szCs w:val="18"/>
                <w:lang w:val="en-US" w:eastAsia="zh-CN"/>
              </w:rPr>
              <w:t>11</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行政确认</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地役权登记</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1.《民法典》第二百零九条 不动产物权的设立、变更、转让和消灭，经依法登记，发生效力；未经登记，不发生效力，但是另有规定的除外。依法属于国家所有的自然资源，所有权可以不登记。第二百一十条 不动产登记，由不动产所在地的登记机构办理。国家对不动产实行统一登记制度。统一登记的范围、登记机构和登记办法，由法律、行政法规规定。</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2.《不动产登记暂行条例》第四条 国家实行不动产统一登记制度。第五条 下列不动产权利，依照本条例的规定办理登记：（一）集体土地所有权；（二）房屋建筑物、构筑物所有权；（三）森林、林木所有权；（四）耕地、林地、草地等土地承包经营权；（五）建设用地使用权；（六）宅基地使用权；（七）海域使用权；（八）地役权；（九）抵押权；（十）法律规定需要登记的其他不动产权利。</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1.受理责任：不动产登记机构依法查验申请主体、申请材料，询问登记事项、录入相关信息、依法受理或不予受理(不予受理应当告知理由,一次性告知补正材料。</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2.审核责任：不动产登记机构受理申请人的申请后，根据申请登记事项，按照有关法律、行政法规对申请事项及申请材料做进一步审查，并决定是否予以登记。需要时可调查并实地查看。</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3.登记责任：经审核符合登记条件的，将申请登记事项及时记载于不动产登记簿。</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1.不动产登记机构登记错误给他人造成损害，或者当事人提供虚假材料申请登记给他人造成损害的，依照《中华人民共和国民法典》的规定承担赔偿责任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不动产登记机构工作人员进行虚假登记，损毁、伪造不动产登记簿，擅自修改登记事项，或者有其他滥用职权、玩忽职守行为的，依法给予处分，给他人造成损害的，依法承担赔偿责任；构成犯罪的，依法追究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567" w:type="dxa"/>
            <w:tcBorders>
              <w:tl2br w:val="nil"/>
              <w:tr2bl w:val="nil"/>
            </w:tcBorders>
            <w:shd w:val="clear" w:color="auto" w:fill="auto"/>
            <w:vAlign w:val="center"/>
          </w:tcPr>
          <w:p>
            <w:pPr>
              <w:widowControl/>
              <w:spacing w:line="240" w:lineRule="exact"/>
              <w:jc w:val="left"/>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kern w:val="0"/>
                <w:sz w:val="18"/>
                <w:szCs w:val="18"/>
                <w:lang w:val="en-US" w:eastAsia="zh-CN"/>
              </w:rPr>
              <w:t>12</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行政确认</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抵押权登记</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1.《民法典》第二百零九条 不动产物权的设立、变更、转让和消灭，经依法登记，发生效力；未经登记，不发生效力，但是另有规定的除外。依法属于国家所有的自然资源，所有权可以不登记。第二百一十条 不动产登记，由不动产所在地的登记机构办理。国家对不动产实行统一登记制度。统一登记的范围、登记机构和登记办法，由法律、行政法规规定。</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2.《不动产登记暂行条例》第四条 国家实行不动产统一登记制度。第五条 下列不动产权利，依照本条例的规定办理登记：（一）集体土地所有权；（二）房屋建筑物、构筑物所有权；（三）森林、林木所有权；（四）耕地、林地、草地等土地承包经营权；（五）建设用地使用权；（六）宅基地使用权；（七）海域使用权；（八）地役权；（九）抵押权；（十）法律规定需要登记的其他不动产权利。</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1.受理责任：不动产登记机构依法查验申请主体、申请材料，询问登记事项、录入相关信息、依法受理或不予受理(不予受理应当告知理由,一次性告知补正材料。</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2.审核责任：不动产登记机构受理申请人的申请后，根据申请登记事项，按照有关法律、行政法规对申请事项及申请材料做进一步审查，并决定是否予以登记。需要时可调查并实地查看。</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3.登记责任：经审核符合登记条件的，将申请登记事项及时记载于不动产登记簿。</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1.不动产登记机构登记错误给他人造成损害，或者当事人提供虚假材料申请登记给他人造成损害的，依照《中华人民共和国民法典》的规定承担赔偿责任；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不动产登记机构工作人员进行虚假登记，损毁、伪造不动产登记簿，擅自修改登记事项，或者有其他滥用职权、玩忽职守行为的，依法给予处分，给他人造成损害的，依法承担赔偿责任；构成犯罪的，依法追究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567" w:type="dxa"/>
            <w:tcBorders>
              <w:tl2br w:val="nil"/>
              <w:tr2bl w:val="nil"/>
            </w:tcBorders>
            <w:shd w:val="clear" w:color="auto" w:fill="auto"/>
            <w:vAlign w:val="center"/>
          </w:tcPr>
          <w:p>
            <w:pPr>
              <w:widowControl/>
              <w:spacing w:line="240" w:lineRule="exact"/>
              <w:jc w:val="left"/>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kern w:val="0"/>
                <w:sz w:val="18"/>
                <w:szCs w:val="18"/>
                <w:lang w:val="en-US" w:eastAsia="zh-CN"/>
              </w:rPr>
              <w:t>13</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行政确认</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预告登记</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1.《民法典》第二百零九条 不动产物权的设立、变更、转让和消灭，经依法登记，发生效力；未经登记，不发生效力，但是另有规定的除外。依法属于国家所有的自然资源，所有权可以不登记。第二百一十条 不动产登记，由不动产所在地的登记机构办理。国家对不动产实行统一登记制度。统一登记的范围、登记机构和登记办法，由法律、行政法规规定。</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2.《不动产登记暂行条例》第四条 国家实行不动产统一登记制度。第五条 下列不动产权利，依照本条例的规定办理登记：（一）集体土地所有权；（二）房屋建筑物、构筑物所有权；（三）森林、林木所有权；（四）耕地、林地、草地等土地承包经营权；（五）建设用地使用权；（六）宅基地使用权；（七）海域使用权；（八）地役权；（九）抵押权；（十）法律规定需要登记的其他不动产权利。</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1.受理责任：不动产登记机构依法查验申请主体、申请材料，询问登记事项、录入相关信息、依法受理或不予受理(不予受理应当告知理由,一次性告知补正材料。</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2.审核责任：不动产登记机构受理申请人的申请后，根据申请登记事项，按照有关法律、行政法规对申请事项及申请材料做进一步审查，并决定是否予以登记。需要时可调查并实地查看。</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3.登记责任：经审核符合登记条件的，将申请登记事项及时记载于不动产登记簿。</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1.不动产登记机构登记错误给他人造成损害，或者当事人提供虚假材料申请登记给他人造成损害的，依照《中华人民共和国民法典》的规定承担赔偿责任；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不动产登记机构工作人员进行虚假登记，损毁、伪造不动产登记簿，擅自修改登记事项，或者有其他滥用职权、玩忽职守行为的，依法给予处分，给他人造成损害的，依法承担赔偿责任；构成犯罪的，依法追究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567" w:type="dxa"/>
            <w:tcBorders>
              <w:tl2br w:val="nil"/>
              <w:tr2bl w:val="nil"/>
            </w:tcBorders>
            <w:shd w:val="clear" w:color="auto" w:fill="auto"/>
            <w:vAlign w:val="center"/>
          </w:tcPr>
          <w:p>
            <w:pPr>
              <w:widowControl/>
              <w:spacing w:line="240" w:lineRule="exact"/>
              <w:jc w:val="left"/>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kern w:val="0"/>
                <w:sz w:val="18"/>
                <w:szCs w:val="18"/>
                <w:lang w:val="en-US" w:eastAsia="zh-CN"/>
              </w:rPr>
              <w:t>14</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行政确认</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查封登记</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1.《民法典》第二百零九条 不动产物权的设立、变更、转让和消灭，经依法登记，发生效力；未经登记，不发生效力，但是另有规定的除外。依法属于国家所有的自然资源，所有权可以不登记。第二百一十条 不动产登记，由不动产所在地的登记机构办理。国家对不动产实行统一登记制度。统一登记的范围、登记机构和登记办法，由法律、行政法规规定。</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2.《不动产登记暂行条例》第四条 国家实行不动产统一登记制度。第五条下列不动产权利，依照本条例的规定办理登记：（一）集体土地所有权；（二）房屋建筑物、构筑物所有权；（三）森林、林木所有权；（四）耕地、林地、草地等土地承包经营权；（五）建设用地使用权；（六）宅基地使用权；（七）海域使用权；（八）地役权；（九）抵押权；（十）法律规定需要登记的其他不动产权利。</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1.受理责任：不动产登记机构依法查验申请主体、申请材料，询问登记事项、录入相关信息、依法受理或不予受理(不予受理应当告知理由,一次性告知补正材料。</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2.审核责任：不动产登记机构受理申请人的申请后，根据申请登记事项，按照有关法律、行政法规对申请事项及申请材料做进一步审查，并决定是否予以登记。需要时可调查并实地查看。</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3.登记责任：经审核符合登记条件的，将申请登记事项及时记载于不动产登记簿。</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1.不动产登记机构登记错误给他人造成损害，或者当事人提供虚假材料申请登记给他人造成损害的，依照《中华人民共和国民法典》的规定承担赔偿责任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不动产登记机构工作人员进行虚假登记，损毁、伪造不动产登记簿，擅自修改登记事项，或者有其他滥用职权、玩忽职守行为的，依法给予处分，给他人造成损害的，依法承担赔偿责任；构成犯罪的，依法追究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567" w:type="dxa"/>
            <w:tcBorders>
              <w:tl2br w:val="nil"/>
              <w:tr2bl w:val="nil"/>
            </w:tcBorders>
            <w:shd w:val="clear" w:color="auto" w:fill="auto"/>
            <w:vAlign w:val="center"/>
          </w:tcPr>
          <w:p>
            <w:pPr>
              <w:widowControl/>
              <w:spacing w:line="240" w:lineRule="exact"/>
              <w:jc w:val="left"/>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kern w:val="0"/>
                <w:sz w:val="18"/>
                <w:szCs w:val="18"/>
                <w:lang w:val="en-US" w:eastAsia="zh-CN"/>
              </w:rPr>
              <w:t>15</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行政确认</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更正登记</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1.《民法典》第二百零九条 不动产物权的设立、变更、转让和消灭，经依法登记，发生效力；未经登记，不发生效力，但是另有规定的除外。依法属于国家所有的自然资源，所有权可以不登记。第二百一十条 不动产登记，由不动产所在地的登记机构办理。国家对不动产实行统一登记制度。统一登记的范围、登记机构和登记办法，由法律、行政法规规定。</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2.《不动产登记暂行条例》第四条 国家实行不动产统一登记制度。第五条 下列不动产权利，依照本条例的规定办理登记：（一）集体土地所有权；（二）房屋建筑物、构筑物所有权；（三）森林、林木所有权；（四）耕地、林地、草地等土地承包经营权；（五）建设用地使用权；（六）宅基地使用权；（七）海域使用权；（八）地役权；（九）抵押权；（十）法律规定需要登记的其他不动产权利。</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1.受理责任：不动产登记机构依法查验申请主体、申请材料，询问登记事项、录入相关信息、依法受理或不予受理(不予受理应当告知理由,一次性告知补正材料。</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2.审核责任：不动产登记机构受理申请人的申请后，根据申请登记事项，按照有关法律、行政法规对申请事项及申请材料做进一步审查，并决定是否予以登记。需要时可调查并实地查看。</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3.登记责任：经审核符合登记条件的，将申请登记事项及时记载于不动产登记簿。</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1.不动产登记机构登记错误给他人造成损害，或者当事人提供虚假材料申请登记给他人造成损害的，依照《中华人民共和国民法典》的规定承担赔偿责任；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不动产登记机构工作人员进行虚假登记，损毁、伪造不动产登记簿，擅自修改登记事项，或者有其他滥用职权、玩忽职守行为的，依法给予处分，给他人造成损害的，依法承担赔偿责任；构成犯罪的，依法追究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567" w:type="dxa"/>
            <w:tcBorders>
              <w:tl2br w:val="nil"/>
              <w:tr2bl w:val="nil"/>
            </w:tcBorders>
            <w:shd w:val="clear" w:color="auto" w:fill="auto"/>
            <w:vAlign w:val="center"/>
          </w:tcPr>
          <w:p>
            <w:pPr>
              <w:widowControl/>
              <w:spacing w:line="240" w:lineRule="exact"/>
              <w:jc w:val="left"/>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kern w:val="0"/>
                <w:sz w:val="18"/>
                <w:szCs w:val="18"/>
                <w:lang w:val="en-US" w:eastAsia="zh-CN"/>
              </w:rPr>
              <w:t>16</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行政确认</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异议登记</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1.《民法典》第二百零九条 不动产物权的设立、变更、转让和消灭，经依法登记，发生效力；未经登记，不发生效力，但是另有规定的除外。依法属于国家所有的自然资源，所有权可以不登记。第二百一十条 不动产登记，由不动产所在地的登记机构办理。国家对不动产实行统一登记制度。统一登记的范围、登记机构和登记办法，由法律、行政法规规定。</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2.《不动产登记暂行条例》第四条 国家实行不动产统一登记制度。第五条 下列不动产权利，依照本条例的规定办理登记：（一）集体土地所有权；（二）房屋建筑物、构筑物所有权；（三）森林、林木所有权；（四）耕地、林地、草地等土地承包经营权；（五）建设用地使用权；（六）宅基地使用权；（七）海域使用权；（八）地役权；（九）抵押权；（十）法律规定需要登记的其他不动产权利。</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1.受理责任：不动产登记机构依法查验申请主体、申请材料，询问登记事项、录入相关信息、依法受理或不予受理(不予受理应当告知理由,一次性告知补正材料。</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2.审核责任：不动产登记机构受理申请人的申请后，根据申请登记事项，按照有关法律、行政法规对申请事项及申请材料做进一步审查，并决定是否予以登记。需要时可调查并实地查看。</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3.登记责任：经审核符合登记条件的，将申请登记事项及时记载于不动产登记簿。</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1.不动产登记机构登记错误给他人造成损害，或者当事人提供虚假材料申请登记给他人造成损害的，依照《中华人民共和国民法典》的规定承担赔偿责任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不动产登记机构工作人员进行虚假登记，损毁、伪造不动产登记簿，擅自修改登记事项，或者有其他滥用职权、玩忽职守行为的，依法给予处分，给他人造成损害的，依法承担赔偿责任；构成犯罪的，依法追究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567" w:type="dxa"/>
            <w:tcBorders>
              <w:tl2br w:val="nil"/>
              <w:tr2bl w:val="nil"/>
            </w:tcBorders>
            <w:shd w:val="clear" w:color="auto" w:fill="auto"/>
            <w:vAlign w:val="center"/>
          </w:tcPr>
          <w:p>
            <w:pPr>
              <w:widowControl/>
              <w:spacing w:line="240" w:lineRule="exact"/>
              <w:jc w:val="left"/>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kern w:val="0"/>
                <w:sz w:val="18"/>
                <w:szCs w:val="18"/>
                <w:lang w:val="en-US" w:eastAsia="zh-CN"/>
              </w:rPr>
              <w:t>17</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行政确认</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土地经营权登记</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1.《民法典》第二百零九条 不动产物权的设立、变更、转让和消灭，经依法登记，发生效力；未经登记，不发生效力，但是另有规定的除外。依法属于国家所有的自然资源，所有权可以不登记。第二百一十条 不动产登记，由不动产所在地的登记机构办理。国家对不动产实行统一登记制度。统一登记的范围、登记机构和登记办法，由法律、行政法规规定。</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2.《不动产登记暂行条例》第四条 国家实行不动产统一登记制度。第五条 下列不动产权利，依照本条例的规定办理登记：（一）集体土地所有权；（二）房屋建筑物、构筑物所有权；（三）森林、林木所有权；（四）耕地、林地、草地等土地承包经营权；（五）建设用地使用权；（六）宅基地使用权；（七）海域使用权；（八）地役权；（九）抵押权；（十）法律规定需要登记的其他不动产权利。</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1.受理责任：不动产登记机构依法查验申请主体、申请材料，询问登记事项、录入相关信息、依法受理或不予受理(不予受理应当告知理由,一次性告知补正材料。</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2.审核责任：不动产登记机构受理申请人的申请后，根据申请登记事项，按照有关法律、行政法规对申请事项及申请材料做进一步审查，并决定是否予以登记。需要时可调查并实地查看。</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3.登记责任：经审核符合登记条件的，将申请登记事项及时记载于不动产登记簿。</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1.不动产登记机构登记错误给他人造成损害，或者当事人提供虚假材料申请登记给他人造成损害的，依照《中华人民共和国民法典》的规定承担赔偿责任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不动产登记机构工作人员进行虚假登记，损毁、伪造不动产登记簿，擅自修改登记事项，或者有其他滥用职权、玩忽职守行为的，依法给予处分，给他人造成损害的，依法承担赔偿责任；构成犯罪的，依法追究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567" w:type="dxa"/>
            <w:tcBorders>
              <w:tl2br w:val="nil"/>
              <w:tr2bl w:val="nil"/>
            </w:tcBorders>
            <w:shd w:val="clear" w:color="auto" w:fill="auto"/>
            <w:vAlign w:val="center"/>
          </w:tcPr>
          <w:p>
            <w:pPr>
              <w:widowControl/>
              <w:spacing w:line="240" w:lineRule="exact"/>
              <w:jc w:val="left"/>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kern w:val="0"/>
                <w:sz w:val="18"/>
                <w:szCs w:val="18"/>
                <w:lang w:val="en-US" w:eastAsia="zh-CN"/>
              </w:rPr>
              <w:t>18</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行政确认</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居住权登记</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1.《民法典》第二百零九条 不动产物权的设立、变更、转让和消灭，经依法登记，发生效力；未经登记，不发生效力，但是另有规定的除外。依法属于国家所有的自然资源，所有权可以不登记。第二百一十条 不动产登记，由不动产所在地的登记机构办理。国家对不动产实行统一登记制度。统一登记的范围、登记机构和登记办法，由法律、行政法规规定。</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2.《不动产登记暂行条例》第四条 国家实行不动产统一登记制度。第五条下列不动产权利，依照本条例的规定办理登记：（一）集体土地所有权；（二）房屋建筑物、构筑物所有权；（三）森林、林木所有权；（四）耕地、林地、草地等土地承包经营权；（五）建设用地使用权；（六）宅基地使用权；（七）海域使用权；（八）地役权；（九）抵押权；（十）法律规定需要登记的其他不动产权利。</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1.受理责任：不动产登记机构依法查验申请主体、申请材料，询问登记事项、录入相关信息、依法受理或不予受理(不予受理应当告知理由,一次性告知补正材料。</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2.审核责任：不动产登记机构受理申请人的申请后，根据申请登记事项，按照有关法律、行政法规对申请事项及申请材料做进一步审查，并决定是否予以登记。需要时可调查并实地查看。</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3.登记责任：经审核符合登记条件的，将申请登记事项及时记载于不动产登记簿。</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1.不动产登记机构登记错误给他人造成损害，或者当事人提供虚假材料申请登记给他人造成损害的，依照《中华人民共和国民法典》的规定承担赔偿责任；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不动产登记机构工作人员进行虚假登记，损毁、伪造不动产登记簿，擅自修改登记事项，或者有其他滥用职权、玩忽职守行为的，依法给予处分，给他人造成损害的，依法承担赔偿责任；构成犯罪的，依法追究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567" w:type="dxa"/>
            <w:tcBorders>
              <w:tl2br w:val="nil"/>
              <w:tr2bl w:val="nil"/>
            </w:tcBorders>
            <w:shd w:val="clear" w:color="auto" w:fill="auto"/>
            <w:vAlign w:val="center"/>
          </w:tcPr>
          <w:p>
            <w:pPr>
              <w:widowControl/>
              <w:spacing w:line="240" w:lineRule="exact"/>
              <w:jc w:val="left"/>
              <w:rPr>
                <w:rFonts w:ascii="仿宋_GB2312" w:hAnsi="仿宋_GB2312" w:eastAsia="仿宋_GB2312" w:cs="仿宋_GB231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kern w:val="0"/>
                <w:sz w:val="18"/>
                <w:szCs w:val="18"/>
                <w:lang w:val="en-US" w:eastAsia="zh-CN"/>
              </w:rPr>
              <w:t>19</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行政确认</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自然资源类登记</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1.《民法典》第二百零九条 不动产物权的设立、变更、转让和消灭，经依法登记，发生效力；未经登记，不发生效力，但是另有规定的除外。依法属于国家所有的自然资源，所有权可以不登记。第二百一十条 不动产登记，由不动产所在地的登记机构办理。国家对不动产实行统一登记制度。统一登记的范围、登记机构和登记办法，由法律、行政法规规定。</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2.《不动产登记暂行条例》第四条 国家实行不动产统一登记制度。第五条 下列不动产权利，依照本条例的规定办理登记：（一）集体土地所有权；（二）房屋建筑物、构筑物所有权；（三）森林、林木所有权；（四）耕地、林地、草地等土地承包经营权；（五）建设用地使用权；（六）宅基地使用权；（七）海域使用权；（八）地役权；（九）抵押权；（十）法律规定需要登记的其他不动产权利。</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1.受理责任：不动产登记机构依法查验申请主体、申请材料，询问登记事项、录入相关信息、依法受理或不予受理(不予受理应当告知理由,一次性告知补正材料。</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2.审核责任：不动产登记机构受理申请人的申请后，根据申请登记事项，按照有关法律、行政法规对申请事项及申请材料做进一步审查，并决定是否予以登记。需要时可调查并实地查看。</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3.登记责任：经审核符合登记条件的，将申请登记事项及时记载于不动产登记簿。</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1.不动产登记机构登记错误给他人造成损害，或者当事人提供虚假材料申请登记给他人造成损害的，依照《中华人民共和国民法典》的规定承担赔偿责任；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不动产登记机构工作人员进行虚假登记，损毁、伪造不动产登记簿，擅自修改登记事项，或者有其他滥用职权、玩忽职守行为的，依法给予处分，给他人造成损害的，依法承担赔偿责任；构成犯罪的，依法追究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567" w:type="dxa"/>
            <w:tcBorders>
              <w:tl2br w:val="nil"/>
              <w:tr2bl w:val="nil"/>
            </w:tcBorders>
            <w:shd w:val="clear" w:color="auto" w:fill="auto"/>
            <w:vAlign w:val="center"/>
          </w:tcPr>
          <w:p>
            <w:pPr>
              <w:widowControl/>
              <w:spacing w:line="240" w:lineRule="exact"/>
              <w:jc w:val="left"/>
              <w:rPr>
                <w:rFonts w:ascii="仿宋_GB2312" w:hAnsi="仿宋_GB2312" w:eastAsia="仿宋_GB2312" w:cs="仿宋_GB2312"/>
                <w:sz w:val="18"/>
                <w:szCs w:val="18"/>
              </w:rPr>
            </w:pPr>
          </w:p>
        </w:tc>
      </w:tr>
    </w:tbl>
    <w:p/>
    <w:p/>
    <w:tbl>
      <w:tblPr>
        <w:tblStyle w:val="4"/>
        <w:tblW w:w="15647" w:type="dxa"/>
        <w:tblInd w:w="9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44"/>
        <w:gridCol w:w="850"/>
        <w:gridCol w:w="1132"/>
        <w:gridCol w:w="3111"/>
        <w:gridCol w:w="1131"/>
        <w:gridCol w:w="963"/>
        <w:gridCol w:w="3957"/>
        <w:gridCol w:w="3392"/>
        <w:gridCol w:w="56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0" w:hRule="atLeast"/>
          <w:tblHeader/>
        </w:trPr>
        <w:tc>
          <w:tcPr>
            <w:tcW w:w="544" w:type="dxa"/>
            <w:tcBorders>
              <w:tl2br w:val="nil"/>
              <w:tr2bl w:val="nil"/>
            </w:tcBorders>
            <w:shd w:val="clear" w:color="auto" w:fill="auto"/>
            <w:vAlign w:val="center"/>
          </w:tcPr>
          <w:p>
            <w:pPr>
              <w:widowControl/>
              <w:jc w:val="center"/>
              <w:textAlignment w:val="center"/>
              <w:rPr>
                <w:rFonts w:ascii="黑体" w:hAnsi="宋体" w:eastAsia="黑体" w:cs="黑体"/>
                <w:sz w:val="24"/>
              </w:rPr>
            </w:pPr>
            <w:r>
              <w:rPr>
                <w:rFonts w:hint="eastAsia" w:ascii="黑体" w:hAnsi="宋体" w:eastAsia="黑体" w:cs="黑体"/>
                <w:kern w:val="0"/>
                <w:sz w:val="24"/>
              </w:rPr>
              <w:t>序号</w:t>
            </w:r>
          </w:p>
        </w:tc>
        <w:tc>
          <w:tcPr>
            <w:tcW w:w="850" w:type="dxa"/>
            <w:tcBorders>
              <w:tl2br w:val="nil"/>
              <w:tr2bl w:val="nil"/>
            </w:tcBorders>
            <w:shd w:val="clear" w:color="auto" w:fill="auto"/>
            <w:tcMar>
              <w:top w:w="0" w:type="dxa"/>
              <w:left w:w="0" w:type="dxa"/>
              <w:bottom w:w="0" w:type="dxa"/>
              <w:right w:w="0" w:type="dxa"/>
            </w:tcMar>
            <w:vAlign w:val="center"/>
          </w:tcPr>
          <w:p>
            <w:pPr>
              <w:widowControl/>
              <w:jc w:val="center"/>
              <w:textAlignment w:val="center"/>
              <w:rPr>
                <w:rFonts w:ascii="黑体" w:hAnsi="宋体" w:eastAsia="黑体" w:cs="黑体"/>
                <w:kern w:val="0"/>
                <w:sz w:val="24"/>
              </w:rPr>
            </w:pPr>
            <w:r>
              <w:rPr>
                <w:rFonts w:hint="eastAsia" w:ascii="黑体" w:hAnsi="宋体" w:eastAsia="黑体" w:cs="黑体"/>
                <w:kern w:val="0"/>
                <w:sz w:val="24"/>
              </w:rPr>
              <w:t>权力</w:t>
            </w:r>
          </w:p>
          <w:p>
            <w:pPr>
              <w:widowControl/>
              <w:jc w:val="center"/>
              <w:textAlignment w:val="center"/>
              <w:rPr>
                <w:rFonts w:ascii="黑体" w:hAnsi="宋体" w:eastAsia="黑体" w:cs="黑体"/>
                <w:sz w:val="24"/>
              </w:rPr>
            </w:pPr>
            <w:r>
              <w:rPr>
                <w:rFonts w:hint="eastAsia" w:ascii="黑体" w:hAnsi="宋体" w:eastAsia="黑体" w:cs="黑体"/>
                <w:kern w:val="0"/>
                <w:sz w:val="24"/>
              </w:rPr>
              <w:t>类型</w:t>
            </w:r>
          </w:p>
        </w:tc>
        <w:tc>
          <w:tcPr>
            <w:tcW w:w="1132" w:type="dxa"/>
            <w:tcBorders>
              <w:tl2br w:val="nil"/>
              <w:tr2bl w:val="nil"/>
            </w:tcBorders>
            <w:shd w:val="clear" w:color="auto" w:fill="auto"/>
            <w:tcMar>
              <w:top w:w="0" w:type="dxa"/>
              <w:left w:w="0" w:type="dxa"/>
              <w:bottom w:w="0" w:type="dxa"/>
              <w:right w:w="0" w:type="dxa"/>
            </w:tcMar>
            <w:vAlign w:val="center"/>
          </w:tcPr>
          <w:p>
            <w:pPr>
              <w:widowControl/>
              <w:jc w:val="center"/>
              <w:textAlignment w:val="center"/>
              <w:rPr>
                <w:rFonts w:ascii="黑体" w:hAnsi="宋体" w:eastAsia="黑体" w:cs="黑体"/>
                <w:kern w:val="0"/>
                <w:sz w:val="24"/>
              </w:rPr>
            </w:pPr>
            <w:r>
              <w:rPr>
                <w:rFonts w:hint="eastAsia" w:ascii="黑体" w:hAnsi="宋体" w:eastAsia="黑体" w:cs="黑体"/>
                <w:kern w:val="0"/>
                <w:sz w:val="24"/>
              </w:rPr>
              <w:t>权力</w:t>
            </w:r>
          </w:p>
          <w:p>
            <w:pPr>
              <w:widowControl/>
              <w:jc w:val="center"/>
              <w:textAlignment w:val="center"/>
              <w:rPr>
                <w:rFonts w:ascii="黑体" w:hAnsi="宋体" w:eastAsia="黑体" w:cs="黑体"/>
                <w:sz w:val="24"/>
              </w:rPr>
            </w:pPr>
            <w:r>
              <w:rPr>
                <w:rFonts w:hint="eastAsia" w:ascii="黑体" w:hAnsi="宋体" w:eastAsia="黑体" w:cs="黑体"/>
                <w:kern w:val="0"/>
                <w:sz w:val="24"/>
              </w:rPr>
              <w:t>事项</w:t>
            </w:r>
          </w:p>
        </w:tc>
        <w:tc>
          <w:tcPr>
            <w:tcW w:w="3111" w:type="dxa"/>
            <w:tcBorders>
              <w:tl2br w:val="nil"/>
              <w:tr2bl w:val="nil"/>
            </w:tcBorders>
            <w:shd w:val="clear" w:color="auto" w:fill="auto"/>
            <w:tcMar>
              <w:top w:w="0" w:type="dxa"/>
              <w:left w:w="0" w:type="dxa"/>
              <w:bottom w:w="0" w:type="dxa"/>
              <w:right w:w="0" w:type="dxa"/>
            </w:tcMar>
            <w:vAlign w:val="center"/>
          </w:tcPr>
          <w:p>
            <w:pPr>
              <w:widowControl/>
              <w:jc w:val="center"/>
              <w:textAlignment w:val="center"/>
              <w:rPr>
                <w:rFonts w:ascii="黑体" w:hAnsi="宋体" w:eastAsia="黑体" w:cs="黑体"/>
                <w:sz w:val="24"/>
              </w:rPr>
            </w:pPr>
            <w:r>
              <w:rPr>
                <w:rFonts w:hint="eastAsia" w:ascii="黑体" w:hAnsi="宋体" w:eastAsia="黑体" w:cs="黑体"/>
                <w:kern w:val="0"/>
                <w:sz w:val="24"/>
              </w:rPr>
              <w:t>实施依据</w:t>
            </w:r>
          </w:p>
        </w:tc>
        <w:tc>
          <w:tcPr>
            <w:tcW w:w="1131" w:type="dxa"/>
            <w:tcBorders>
              <w:tl2br w:val="nil"/>
              <w:tr2bl w:val="nil"/>
            </w:tcBorders>
            <w:shd w:val="clear" w:color="auto" w:fill="auto"/>
            <w:tcMar>
              <w:top w:w="0" w:type="dxa"/>
              <w:left w:w="0" w:type="dxa"/>
              <w:bottom w:w="0" w:type="dxa"/>
              <w:right w:w="0" w:type="dxa"/>
            </w:tcMar>
            <w:vAlign w:val="center"/>
          </w:tcPr>
          <w:p>
            <w:pPr>
              <w:widowControl/>
              <w:jc w:val="center"/>
              <w:textAlignment w:val="center"/>
              <w:rPr>
                <w:rFonts w:ascii="黑体" w:hAnsi="宋体" w:eastAsia="黑体" w:cs="黑体"/>
                <w:kern w:val="0"/>
                <w:sz w:val="24"/>
              </w:rPr>
            </w:pPr>
            <w:r>
              <w:rPr>
                <w:rFonts w:hint="eastAsia" w:ascii="黑体" w:hAnsi="宋体" w:eastAsia="黑体" w:cs="黑体"/>
                <w:kern w:val="0"/>
                <w:sz w:val="24"/>
              </w:rPr>
              <w:t>省级</w:t>
            </w:r>
          </w:p>
          <w:p>
            <w:pPr>
              <w:widowControl/>
              <w:jc w:val="center"/>
              <w:textAlignment w:val="center"/>
              <w:rPr>
                <w:rFonts w:ascii="黑体" w:hAnsi="宋体" w:eastAsia="黑体" w:cs="黑体"/>
                <w:sz w:val="24"/>
              </w:rPr>
            </w:pPr>
            <w:r>
              <w:rPr>
                <w:rFonts w:hint="eastAsia" w:ascii="黑体" w:hAnsi="宋体" w:eastAsia="黑体" w:cs="黑体"/>
                <w:kern w:val="0"/>
                <w:sz w:val="24"/>
              </w:rPr>
              <w:t>主管部门</w:t>
            </w:r>
          </w:p>
        </w:tc>
        <w:tc>
          <w:tcPr>
            <w:tcW w:w="963" w:type="dxa"/>
            <w:tcBorders>
              <w:tl2br w:val="nil"/>
              <w:tr2bl w:val="nil"/>
            </w:tcBorders>
            <w:shd w:val="clear" w:color="auto" w:fill="auto"/>
            <w:tcMar>
              <w:top w:w="0" w:type="dxa"/>
              <w:left w:w="0" w:type="dxa"/>
              <w:bottom w:w="0" w:type="dxa"/>
              <w:right w:w="0" w:type="dxa"/>
            </w:tcMar>
            <w:vAlign w:val="center"/>
          </w:tcPr>
          <w:p>
            <w:pPr>
              <w:widowControl/>
              <w:jc w:val="center"/>
              <w:textAlignment w:val="center"/>
              <w:rPr>
                <w:rFonts w:ascii="黑体" w:hAnsi="宋体" w:eastAsia="黑体" w:cs="黑体"/>
                <w:kern w:val="0"/>
                <w:sz w:val="24"/>
              </w:rPr>
            </w:pPr>
            <w:r>
              <w:rPr>
                <w:rFonts w:hint="eastAsia" w:ascii="黑体" w:hAnsi="宋体" w:eastAsia="黑体" w:cs="黑体"/>
                <w:kern w:val="0"/>
                <w:sz w:val="24"/>
              </w:rPr>
              <w:t>实施</w:t>
            </w:r>
          </w:p>
          <w:p>
            <w:pPr>
              <w:widowControl/>
              <w:jc w:val="center"/>
              <w:textAlignment w:val="center"/>
              <w:rPr>
                <w:rFonts w:ascii="黑体" w:hAnsi="宋体" w:eastAsia="黑体" w:cs="黑体"/>
                <w:sz w:val="24"/>
              </w:rPr>
            </w:pPr>
            <w:r>
              <w:rPr>
                <w:rFonts w:hint="eastAsia" w:ascii="黑体" w:hAnsi="宋体" w:eastAsia="黑体" w:cs="黑体"/>
                <w:kern w:val="0"/>
                <w:sz w:val="24"/>
              </w:rPr>
              <w:t>层级</w:t>
            </w:r>
          </w:p>
        </w:tc>
        <w:tc>
          <w:tcPr>
            <w:tcW w:w="3957" w:type="dxa"/>
            <w:tcBorders>
              <w:tl2br w:val="nil"/>
              <w:tr2bl w:val="nil"/>
            </w:tcBorders>
            <w:shd w:val="clear" w:color="auto" w:fill="auto"/>
            <w:vAlign w:val="center"/>
          </w:tcPr>
          <w:p>
            <w:pPr>
              <w:widowControl/>
              <w:jc w:val="center"/>
              <w:textAlignment w:val="center"/>
              <w:rPr>
                <w:rFonts w:ascii="黑体" w:hAnsi="宋体" w:eastAsia="黑体" w:cs="黑体"/>
                <w:sz w:val="24"/>
              </w:rPr>
            </w:pPr>
            <w:r>
              <w:rPr>
                <w:rFonts w:hint="eastAsia" w:ascii="黑体" w:hAnsi="宋体" w:eastAsia="黑体" w:cs="黑体"/>
                <w:kern w:val="0"/>
                <w:sz w:val="24"/>
              </w:rPr>
              <w:t>责任事项</w:t>
            </w:r>
          </w:p>
        </w:tc>
        <w:tc>
          <w:tcPr>
            <w:tcW w:w="3392" w:type="dxa"/>
            <w:tcBorders>
              <w:tl2br w:val="nil"/>
              <w:tr2bl w:val="nil"/>
            </w:tcBorders>
            <w:shd w:val="clear" w:color="auto" w:fill="auto"/>
            <w:vAlign w:val="center"/>
          </w:tcPr>
          <w:p>
            <w:pPr>
              <w:widowControl/>
              <w:jc w:val="center"/>
              <w:textAlignment w:val="center"/>
              <w:rPr>
                <w:rFonts w:ascii="黑体" w:hAnsi="宋体" w:eastAsia="黑体" w:cs="黑体"/>
                <w:sz w:val="24"/>
              </w:rPr>
            </w:pPr>
            <w:r>
              <w:rPr>
                <w:rFonts w:hint="eastAsia" w:ascii="黑体" w:hAnsi="宋体" w:eastAsia="黑体" w:cs="黑体"/>
                <w:kern w:val="0"/>
                <w:sz w:val="24"/>
              </w:rPr>
              <w:t>追责情形</w:t>
            </w:r>
          </w:p>
        </w:tc>
        <w:tc>
          <w:tcPr>
            <w:tcW w:w="567" w:type="dxa"/>
            <w:tcBorders>
              <w:tl2br w:val="nil"/>
              <w:tr2bl w:val="nil"/>
            </w:tcBorders>
            <w:shd w:val="clear" w:color="auto" w:fill="auto"/>
            <w:vAlign w:val="center"/>
          </w:tcPr>
          <w:p>
            <w:pPr>
              <w:widowControl/>
              <w:jc w:val="center"/>
              <w:textAlignment w:val="center"/>
              <w:rPr>
                <w:rFonts w:ascii="黑体" w:hAnsi="宋体" w:eastAsia="黑体" w:cs="黑体"/>
                <w:sz w:val="24"/>
              </w:rPr>
            </w:pPr>
            <w:r>
              <w:rPr>
                <w:rFonts w:hint="eastAsia" w:ascii="黑体" w:hAnsi="宋体" w:eastAsia="黑体" w:cs="黑体"/>
                <w:kern w:val="0"/>
                <w:sz w:val="24"/>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kern w:val="0"/>
                <w:sz w:val="18"/>
                <w:szCs w:val="18"/>
                <w:lang w:val="en-US" w:eastAsia="zh-CN"/>
              </w:rPr>
              <w:t>1</w:t>
            </w:r>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行政检查</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矿产资源勘查开采监督管理</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《河北省矿产资源管理条例》第七条  设区的市地质矿产管理部门负责本行政区域内矿产资源的综合管理，对国有矿山企业和跨行政区域、异地开办的集体矿山企业开发利用矿产资源进行监督管理，对地质环境进行监测、评价和监督管理，协助省地质矿产主管部门对矿产资源勘查进行行业管理。</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1.检查责任：对本辖区内矿产资源勘查开采情况组织监督检查。</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2.处置责任：对监督检查发现的问题，责令限期整改、依法实施移交执法监察机构，对构成违法犯罪的移交司法机关。</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4.事后管理责任：对监督检查发现的问题，整改完成后，对整改情况组织进行核查。</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5.其他责任：法律法规规章等规定应履行的责任。</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1.不对本辖区内矿产资源勘查开采情况组织监督检查；</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2.对在检查中发现的问题，不责令限期整改、不依法实施移交；</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3.对监督检查发现的问题整改完成后，不对整改情况组织进行核查；</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5.其他违反法律法规规章文件规定的行为。</w:t>
            </w:r>
          </w:p>
        </w:tc>
        <w:tc>
          <w:tcPr>
            <w:tcW w:w="567" w:type="dxa"/>
            <w:tcBorders>
              <w:tl2br w:val="nil"/>
              <w:tr2bl w:val="nil"/>
            </w:tcBorders>
            <w:shd w:val="clear" w:color="auto" w:fill="auto"/>
            <w:vAlign w:val="center"/>
          </w:tcPr>
          <w:p>
            <w:pPr>
              <w:widowControl/>
              <w:spacing w:line="240" w:lineRule="exact"/>
              <w:jc w:val="center"/>
              <w:rPr>
                <w:rFonts w:ascii="仿宋_GB2312" w:hAnsi="仿宋_GB2312" w:eastAsia="仿宋_GB2312" w:cs="仿宋_GB2312"/>
                <w:sz w:val="18"/>
                <w:szCs w:val="18"/>
              </w:rPr>
            </w:pPr>
          </w:p>
        </w:tc>
      </w:tr>
    </w:tbl>
    <w:p/>
    <w:p/>
    <w:tbl>
      <w:tblPr>
        <w:tblStyle w:val="4"/>
        <w:tblW w:w="15647" w:type="dxa"/>
        <w:tblInd w:w="9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44"/>
        <w:gridCol w:w="850"/>
        <w:gridCol w:w="1132"/>
        <w:gridCol w:w="3111"/>
        <w:gridCol w:w="1131"/>
        <w:gridCol w:w="963"/>
        <w:gridCol w:w="3957"/>
        <w:gridCol w:w="3392"/>
        <w:gridCol w:w="56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0" w:hRule="atLeast"/>
          <w:tblHeader/>
        </w:trPr>
        <w:tc>
          <w:tcPr>
            <w:tcW w:w="544" w:type="dxa"/>
            <w:tcBorders>
              <w:tl2br w:val="nil"/>
              <w:tr2bl w:val="nil"/>
            </w:tcBorders>
            <w:shd w:val="clear" w:color="auto" w:fill="auto"/>
            <w:vAlign w:val="center"/>
          </w:tcPr>
          <w:p>
            <w:pPr>
              <w:widowControl/>
              <w:jc w:val="center"/>
              <w:textAlignment w:val="center"/>
              <w:rPr>
                <w:rFonts w:ascii="黑体" w:hAnsi="宋体" w:eastAsia="黑体" w:cs="黑体"/>
                <w:sz w:val="24"/>
              </w:rPr>
            </w:pPr>
            <w:r>
              <w:rPr>
                <w:rFonts w:hint="eastAsia" w:ascii="黑体" w:hAnsi="宋体" w:eastAsia="黑体" w:cs="黑体"/>
                <w:kern w:val="0"/>
                <w:sz w:val="24"/>
              </w:rPr>
              <w:t>序号</w:t>
            </w:r>
          </w:p>
        </w:tc>
        <w:tc>
          <w:tcPr>
            <w:tcW w:w="850" w:type="dxa"/>
            <w:tcBorders>
              <w:tl2br w:val="nil"/>
              <w:tr2bl w:val="nil"/>
            </w:tcBorders>
            <w:shd w:val="clear" w:color="auto" w:fill="auto"/>
            <w:tcMar>
              <w:top w:w="0" w:type="dxa"/>
              <w:left w:w="0" w:type="dxa"/>
              <w:bottom w:w="0" w:type="dxa"/>
              <w:right w:w="0" w:type="dxa"/>
            </w:tcMar>
            <w:vAlign w:val="center"/>
          </w:tcPr>
          <w:p>
            <w:pPr>
              <w:widowControl/>
              <w:jc w:val="center"/>
              <w:textAlignment w:val="center"/>
              <w:rPr>
                <w:rFonts w:ascii="黑体" w:hAnsi="宋体" w:eastAsia="黑体" w:cs="黑体"/>
                <w:kern w:val="0"/>
                <w:sz w:val="24"/>
              </w:rPr>
            </w:pPr>
            <w:r>
              <w:rPr>
                <w:rFonts w:hint="eastAsia" w:ascii="黑体" w:hAnsi="宋体" w:eastAsia="黑体" w:cs="黑体"/>
                <w:kern w:val="0"/>
                <w:sz w:val="24"/>
              </w:rPr>
              <w:t>权力</w:t>
            </w:r>
          </w:p>
          <w:p>
            <w:pPr>
              <w:widowControl/>
              <w:jc w:val="center"/>
              <w:textAlignment w:val="center"/>
              <w:rPr>
                <w:rFonts w:ascii="黑体" w:hAnsi="宋体" w:eastAsia="黑体" w:cs="黑体"/>
                <w:sz w:val="24"/>
              </w:rPr>
            </w:pPr>
            <w:r>
              <w:rPr>
                <w:rFonts w:hint="eastAsia" w:ascii="黑体" w:hAnsi="宋体" w:eastAsia="黑体" w:cs="黑体"/>
                <w:kern w:val="0"/>
                <w:sz w:val="24"/>
              </w:rPr>
              <w:t>类型</w:t>
            </w:r>
          </w:p>
        </w:tc>
        <w:tc>
          <w:tcPr>
            <w:tcW w:w="1132" w:type="dxa"/>
            <w:tcBorders>
              <w:tl2br w:val="nil"/>
              <w:tr2bl w:val="nil"/>
            </w:tcBorders>
            <w:shd w:val="clear" w:color="auto" w:fill="auto"/>
            <w:tcMar>
              <w:top w:w="0" w:type="dxa"/>
              <w:left w:w="0" w:type="dxa"/>
              <w:bottom w:w="0" w:type="dxa"/>
              <w:right w:w="0" w:type="dxa"/>
            </w:tcMar>
            <w:vAlign w:val="center"/>
          </w:tcPr>
          <w:p>
            <w:pPr>
              <w:widowControl/>
              <w:jc w:val="center"/>
              <w:textAlignment w:val="center"/>
              <w:rPr>
                <w:rFonts w:ascii="黑体" w:hAnsi="宋体" w:eastAsia="黑体" w:cs="黑体"/>
                <w:kern w:val="0"/>
                <w:sz w:val="24"/>
              </w:rPr>
            </w:pPr>
            <w:r>
              <w:rPr>
                <w:rFonts w:hint="eastAsia" w:ascii="黑体" w:hAnsi="宋体" w:eastAsia="黑体" w:cs="黑体"/>
                <w:kern w:val="0"/>
                <w:sz w:val="24"/>
              </w:rPr>
              <w:t>权力</w:t>
            </w:r>
          </w:p>
          <w:p>
            <w:pPr>
              <w:widowControl/>
              <w:jc w:val="center"/>
              <w:textAlignment w:val="center"/>
              <w:rPr>
                <w:rFonts w:ascii="黑体" w:hAnsi="宋体" w:eastAsia="黑体" w:cs="黑体"/>
                <w:sz w:val="24"/>
              </w:rPr>
            </w:pPr>
            <w:r>
              <w:rPr>
                <w:rFonts w:hint="eastAsia" w:ascii="黑体" w:hAnsi="宋体" w:eastAsia="黑体" w:cs="黑体"/>
                <w:kern w:val="0"/>
                <w:sz w:val="24"/>
              </w:rPr>
              <w:t>事项</w:t>
            </w:r>
          </w:p>
        </w:tc>
        <w:tc>
          <w:tcPr>
            <w:tcW w:w="3111" w:type="dxa"/>
            <w:tcBorders>
              <w:tl2br w:val="nil"/>
              <w:tr2bl w:val="nil"/>
            </w:tcBorders>
            <w:shd w:val="clear" w:color="auto" w:fill="auto"/>
            <w:tcMar>
              <w:top w:w="0" w:type="dxa"/>
              <w:left w:w="0" w:type="dxa"/>
              <w:bottom w:w="0" w:type="dxa"/>
              <w:right w:w="0" w:type="dxa"/>
            </w:tcMar>
            <w:vAlign w:val="center"/>
          </w:tcPr>
          <w:p>
            <w:pPr>
              <w:widowControl/>
              <w:jc w:val="center"/>
              <w:textAlignment w:val="center"/>
              <w:rPr>
                <w:rFonts w:ascii="黑体" w:hAnsi="宋体" w:eastAsia="黑体" w:cs="黑体"/>
                <w:sz w:val="24"/>
              </w:rPr>
            </w:pPr>
            <w:r>
              <w:rPr>
                <w:rFonts w:hint="eastAsia" w:ascii="黑体" w:hAnsi="宋体" w:eastAsia="黑体" w:cs="黑体"/>
                <w:kern w:val="0"/>
                <w:sz w:val="24"/>
              </w:rPr>
              <w:t>实施依据</w:t>
            </w:r>
          </w:p>
        </w:tc>
        <w:tc>
          <w:tcPr>
            <w:tcW w:w="1131" w:type="dxa"/>
            <w:tcBorders>
              <w:tl2br w:val="nil"/>
              <w:tr2bl w:val="nil"/>
            </w:tcBorders>
            <w:shd w:val="clear" w:color="auto" w:fill="auto"/>
            <w:tcMar>
              <w:top w:w="0" w:type="dxa"/>
              <w:left w:w="0" w:type="dxa"/>
              <w:bottom w:w="0" w:type="dxa"/>
              <w:right w:w="0" w:type="dxa"/>
            </w:tcMar>
            <w:vAlign w:val="center"/>
          </w:tcPr>
          <w:p>
            <w:pPr>
              <w:widowControl/>
              <w:jc w:val="center"/>
              <w:textAlignment w:val="center"/>
              <w:rPr>
                <w:rFonts w:ascii="黑体" w:hAnsi="宋体" w:eastAsia="黑体" w:cs="黑体"/>
                <w:kern w:val="0"/>
                <w:sz w:val="24"/>
              </w:rPr>
            </w:pPr>
            <w:r>
              <w:rPr>
                <w:rFonts w:hint="eastAsia" w:ascii="黑体" w:hAnsi="宋体" w:eastAsia="黑体" w:cs="黑体"/>
                <w:kern w:val="0"/>
                <w:sz w:val="24"/>
              </w:rPr>
              <w:t>省级</w:t>
            </w:r>
          </w:p>
          <w:p>
            <w:pPr>
              <w:widowControl/>
              <w:jc w:val="center"/>
              <w:textAlignment w:val="center"/>
              <w:rPr>
                <w:rFonts w:ascii="黑体" w:hAnsi="宋体" w:eastAsia="黑体" w:cs="黑体"/>
                <w:sz w:val="24"/>
              </w:rPr>
            </w:pPr>
            <w:r>
              <w:rPr>
                <w:rFonts w:hint="eastAsia" w:ascii="黑体" w:hAnsi="宋体" w:eastAsia="黑体" w:cs="黑体"/>
                <w:kern w:val="0"/>
                <w:sz w:val="24"/>
              </w:rPr>
              <w:t>主管部门</w:t>
            </w:r>
          </w:p>
        </w:tc>
        <w:tc>
          <w:tcPr>
            <w:tcW w:w="963" w:type="dxa"/>
            <w:tcBorders>
              <w:tl2br w:val="nil"/>
              <w:tr2bl w:val="nil"/>
            </w:tcBorders>
            <w:shd w:val="clear" w:color="auto" w:fill="auto"/>
            <w:tcMar>
              <w:top w:w="0" w:type="dxa"/>
              <w:left w:w="0" w:type="dxa"/>
              <w:bottom w:w="0" w:type="dxa"/>
              <w:right w:w="0" w:type="dxa"/>
            </w:tcMar>
            <w:vAlign w:val="center"/>
          </w:tcPr>
          <w:p>
            <w:pPr>
              <w:widowControl/>
              <w:jc w:val="center"/>
              <w:textAlignment w:val="center"/>
              <w:rPr>
                <w:rFonts w:ascii="黑体" w:hAnsi="宋体" w:eastAsia="黑体" w:cs="黑体"/>
                <w:kern w:val="0"/>
                <w:sz w:val="24"/>
              </w:rPr>
            </w:pPr>
            <w:r>
              <w:rPr>
                <w:rFonts w:hint="eastAsia" w:ascii="黑体" w:hAnsi="宋体" w:eastAsia="黑体" w:cs="黑体"/>
                <w:kern w:val="0"/>
                <w:sz w:val="24"/>
              </w:rPr>
              <w:t>实施</w:t>
            </w:r>
          </w:p>
          <w:p>
            <w:pPr>
              <w:widowControl/>
              <w:jc w:val="center"/>
              <w:textAlignment w:val="center"/>
              <w:rPr>
                <w:rFonts w:ascii="黑体" w:hAnsi="宋体" w:eastAsia="黑体" w:cs="黑体"/>
                <w:sz w:val="24"/>
              </w:rPr>
            </w:pPr>
            <w:r>
              <w:rPr>
                <w:rFonts w:hint="eastAsia" w:ascii="黑体" w:hAnsi="宋体" w:eastAsia="黑体" w:cs="黑体"/>
                <w:kern w:val="0"/>
                <w:sz w:val="24"/>
              </w:rPr>
              <w:t>层级</w:t>
            </w:r>
          </w:p>
        </w:tc>
        <w:tc>
          <w:tcPr>
            <w:tcW w:w="3957" w:type="dxa"/>
            <w:tcBorders>
              <w:tl2br w:val="nil"/>
              <w:tr2bl w:val="nil"/>
            </w:tcBorders>
            <w:shd w:val="clear" w:color="auto" w:fill="auto"/>
            <w:vAlign w:val="center"/>
          </w:tcPr>
          <w:p>
            <w:pPr>
              <w:widowControl/>
              <w:jc w:val="center"/>
              <w:textAlignment w:val="center"/>
              <w:rPr>
                <w:rFonts w:ascii="黑体" w:hAnsi="宋体" w:eastAsia="黑体" w:cs="黑体"/>
                <w:sz w:val="24"/>
              </w:rPr>
            </w:pPr>
            <w:r>
              <w:rPr>
                <w:rFonts w:hint="eastAsia" w:ascii="黑体" w:hAnsi="宋体" w:eastAsia="黑体" w:cs="黑体"/>
                <w:kern w:val="0"/>
                <w:sz w:val="24"/>
              </w:rPr>
              <w:t>责任事项</w:t>
            </w:r>
          </w:p>
        </w:tc>
        <w:tc>
          <w:tcPr>
            <w:tcW w:w="3392" w:type="dxa"/>
            <w:tcBorders>
              <w:tl2br w:val="nil"/>
              <w:tr2bl w:val="nil"/>
            </w:tcBorders>
            <w:shd w:val="clear" w:color="auto" w:fill="auto"/>
            <w:vAlign w:val="center"/>
          </w:tcPr>
          <w:p>
            <w:pPr>
              <w:widowControl/>
              <w:jc w:val="center"/>
              <w:textAlignment w:val="center"/>
              <w:rPr>
                <w:rFonts w:ascii="黑体" w:hAnsi="宋体" w:eastAsia="黑体" w:cs="黑体"/>
                <w:sz w:val="24"/>
              </w:rPr>
            </w:pPr>
            <w:r>
              <w:rPr>
                <w:rFonts w:hint="eastAsia" w:ascii="黑体" w:hAnsi="宋体" w:eastAsia="黑体" w:cs="黑体"/>
                <w:kern w:val="0"/>
                <w:sz w:val="24"/>
              </w:rPr>
              <w:t>追责情形</w:t>
            </w:r>
          </w:p>
        </w:tc>
        <w:tc>
          <w:tcPr>
            <w:tcW w:w="567" w:type="dxa"/>
            <w:tcBorders>
              <w:tl2br w:val="nil"/>
              <w:tr2bl w:val="nil"/>
            </w:tcBorders>
            <w:shd w:val="clear" w:color="auto" w:fill="auto"/>
            <w:vAlign w:val="center"/>
          </w:tcPr>
          <w:p>
            <w:pPr>
              <w:widowControl/>
              <w:jc w:val="center"/>
              <w:textAlignment w:val="center"/>
              <w:rPr>
                <w:rFonts w:ascii="黑体" w:hAnsi="宋体" w:eastAsia="黑体" w:cs="黑体"/>
                <w:sz w:val="24"/>
              </w:rPr>
            </w:pPr>
            <w:r>
              <w:rPr>
                <w:rFonts w:hint="eastAsia" w:ascii="黑体" w:hAnsi="宋体" w:eastAsia="黑体" w:cs="黑体"/>
                <w:kern w:val="0"/>
                <w:sz w:val="24"/>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57" w:hRule="atLeast"/>
        </w:trPr>
        <w:tc>
          <w:tcPr>
            <w:tcW w:w="54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kern w:val="0"/>
                <w:sz w:val="18"/>
                <w:szCs w:val="18"/>
                <w:lang w:val="en-US" w:eastAsia="zh-CN"/>
              </w:rPr>
              <w:t>2</w:t>
            </w:r>
            <w:bookmarkStart w:id="0" w:name="_GoBack"/>
            <w:bookmarkEnd w:id="0"/>
          </w:p>
        </w:tc>
        <w:tc>
          <w:tcPr>
            <w:tcW w:w="850"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行政检查</w:t>
            </w:r>
          </w:p>
        </w:tc>
        <w:tc>
          <w:tcPr>
            <w:tcW w:w="1132"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地质勘查活动的监督检查</w:t>
            </w:r>
          </w:p>
        </w:tc>
        <w:tc>
          <w:tcPr>
            <w:tcW w:w="3111" w:type="dxa"/>
            <w:tcBorders>
              <w:tl2br w:val="nil"/>
              <w:tr2bl w:val="nil"/>
            </w:tcBorders>
            <w:shd w:val="clear" w:color="auto" w:fill="auto"/>
            <w:tcMar>
              <w:top w:w="0" w:type="dxa"/>
              <w:left w:w="0" w:type="dxa"/>
              <w:bottom w:w="0" w:type="dxa"/>
              <w:right w:w="0" w:type="dxa"/>
            </w:tcMar>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《地质勘查活动监督管理办法》第一项 包括地质灾害治理勘查设计工程监理等。第四项 省资源资源主管部门指导市县主管部门开展日常监督管理工作。第十五项 县级以上自然资源主管部门通过监督检查和投诉举报发现。</w:t>
            </w:r>
          </w:p>
        </w:tc>
        <w:tc>
          <w:tcPr>
            <w:tcW w:w="1131"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省自然资源厅</w:t>
            </w:r>
          </w:p>
        </w:tc>
        <w:tc>
          <w:tcPr>
            <w:tcW w:w="963" w:type="dxa"/>
            <w:tcBorders>
              <w:tl2br w:val="nil"/>
              <w:tr2bl w:val="nil"/>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市级、县级</w:t>
            </w:r>
          </w:p>
        </w:tc>
        <w:tc>
          <w:tcPr>
            <w:tcW w:w="3957"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1.检查责任：对本辖区内地质勘查活动的监督检查情况组织监督检查。</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2.处置责任：对监督检查发现的问题，责令限期整改、依法实施移交执法监察机构，对构成违法犯罪的移交司法机关。</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4.事后管理责任：对监督检查发现的问题，整改完成后，对整改情况组织进行核查。</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5.其他责任：法律法规规章等规定应履行的责任。</w:t>
            </w:r>
          </w:p>
        </w:tc>
        <w:tc>
          <w:tcPr>
            <w:tcW w:w="3392" w:type="dxa"/>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1.不对本辖区内地质勘查活动的监督检查组织监督检查；</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2.对在检查中发现的问题，不责令限期整改、不依法实施移交；</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3.对监督检查发现的问题整改完成后，不对整改情况组织进行核查；</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5.其他违反法律法规规章文件规定的行为。</w:t>
            </w:r>
          </w:p>
        </w:tc>
        <w:tc>
          <w:tcPr>
            <w:tcW w:w="567" w:type="dxa"/>
            <w:tcBorders>
              <w:tl2br w:val="nil"/>
              <w:tr2bl w:val="nil"/>
            </w:tcBorders>
            <w:shd w:val="clear" w:color="auto" w:fill="auto"/>
            <w:vAlign w:val="center"/>
          </w:tcPr>
          <w:p>
            <w:pPr>
              <w:widowControl/>
              <w:spacing w:line="240" w:lineRule="exact"/>
              <w:jc w:val="center"/>
              <w:rPr>
                <w:rFonts w:ascii="仿宋_GB2312" w:hAnsi="仿宋_GB2312" w:eastAsia="仿宋_GB2312" w:cs="仿宋_GB2312"/>
                <w:sz w:val="18"/>
                <w:szCs w:val="18"/>
              </w:rPr>
            </w:pPr>
          </w:p>
        </w:tc>
      </w:tr>
    </w:tbl>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U2ZGFiMzA1OTRkNDFlODU0YmY5Y2NjNmU1YWJmM2MifQ=="/>
  </w:docVars>
  <w:rsids>
    <w:rsidRoot w:val="5B701065"/>
    <w:rsid w:val="00034D34"/>
    <w:rsid w:val="00091E21"/>
    <w:rsid w:val="000B6885"/>
    <w:rsid w:val="000C213B"/>
    <w:rsid w:val="000D27BD"/>
    <w:rsid w:val="00105336"/>
    <w:rsid w:val="0012498F"/>
    <w:rsid w:val="001669EE"/>
    <w:rsid w:val="0019424A"/>
    <w:rsid w:val="001D5C38"/>
    <w:rsid w:val="001E706D"/>
    <w:rsid w:val="0020177E"/>
    <w:rsid w:val="002824F9"/>
    <w:rsid w:val="003014F3"/>
    <w:rsid w:val="00314C09"/>
    <w:rsid w:val="00330233"/>
    <w:rsid w:val="00335705"/>
    <w:rsid w:val="00353B6E"/>
    <w:rsid w:val="00384B1E"/>
    <w:rsid w:val="003B297F"/>
    <w:rsid w:val="00423010"/>
    <w:rsid w:val="00446EFD"/>
    <w:rsid w:val="00465DE0"/>
    <w:rsid w:val="00501599"/>
    <w:rsid w:val="00534240"/>
    <w:rsid w:val="0058461F"/>
    <w:rsid w:val="00594B89"/>
    <w:rsid w:val="005E5B2C"/>
    <w:rsid w:val="00602772"/>
    <w:rsid w:val="00643D84"/>
    <w:rsid w:val="00650A71"/>
    <w:rsid w:val="006C7AD5"/>
    <w:rsid w:val="006D4F06"/>
    <w:rsid w:val="007047F1"/>
    <w:rsid w:val="00761F03"/>
    <w:rsid w:val="007A59C6"/>
    <w:rsid w:val="007D217E"/>
    <w:rsid w:val="007D504A"/>
    <w:rsid w:val="00823884"/>
    <w:rsid w:val="0083224A"/>
    <w:rsid w:val="00845C69"/>
    <w:rsid w:val="00862C4B"/>
    <w:rsid w:val="008676BA"/>
    <w:rsid w:val="008A26A8"/>
    <w:rsid w:val="008B25CA"/>
    <w:rsid w:val="008D4383"/>
    <w:rsid w:val="008D61B4"/>
    <w:rsid w:val="008E77C1"/>
    <w:rsid w:val="009A4635"/>
    <w:rsid w:val="009B7118"/>
    <w:rsid w:val="009C2D60"/>
    <w:rsid w:val="00A02734"/>
    <w:rsid w:val="00A57B86"/>
    <w:rsid w:val="00A91561"/>
    <w:rsid w:val="00AB2A49"/>
    <w:rsid w:val="00B4196B"/>
    <w:rsid w:val="00BB19B5"/>
    <w:rsid w:val="00BB4994"/>
    <w:rsid w:val="00BB72AD"/>
    <w:rsid w:val="00C66639"/>
    <w:rsid w:val="00CC74EE"/>
    <w:rsid w:val="00CF2A55"/>
    <w:rsid w:val="00D244D6"/>
    <w:rsid w:val="00D440F0"/>
    <w:rsid w:val="00D46401"/>
    <w:rsid w:val="00DD23A1"/>
    <w:rsid w:val="00DE3B74"/>
    <w:rsid w:val="00E039FD"/>
    <w:rsid w:val="00E3372F"/>
    <w:rsid w:val="00ED000A"/>
    <w:rsid w:val="00F578C6"/>
    <w:rsid w:val="00F9565A"/>
    <w:rsid w:val="00FC7AB3"/>
    <w:rsid w:val="00FF1638"/>
    <w:rsid w:val="04F33672"/>
    <w:rsid w:val="15BC24EB"/>
    <w:rsid w:val="168B4761"/>
    <w:rsid w:val="24B122B5"/>
    <w:rsid w:val="2CC37CC2"/>
    <w:rsid w:val="41CB1383"/>
    <w:rsid w:val="4E657A68"/>
    <w:rsid w:val="5B701065"/>
    <w:rsid w:val="6E3C15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Theme="minorHAnsi" w:hAnsiTheme="minorHAnsi" w:eastAsiaTheme="minorEastAsia" w:cstheme="minorBidi"/>
      <w:kern w:val="2"/>
      <w:sz w:val="18"/>
      <w:szCs w:val="18"/>
    </w:rPr>
  </w:style>
  <w:style w:type="character" w:customStyle="1" w:styleId="7">
    <w:name w:val="页脚 Char"/>
    <w:basedOn w:val="5"/>
    <w:link w:val="2"/>
    <w:uiPriority w:val="0"/>
    <w:rPr>
      <w:rFonts w:asciiTheme="minorHAnsi" w:hAnsiTheme="minorHAnsi" w:eastAsiaTheme="minorEastAsia" w:cstheme="minorBidi"/>
      <w:kern w:val="2"/>
      <w:sz w:val="18"/>
      <w:szCs w:val="18"/>
    </w:rPr>
  </w:style>
  <w:style w:type="paragraph" w:styleId="8">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115</Pages>
  <Words>15780</Words>
  <Characters>89949</Characters>
  <Lines>749</Lines>
  <Paragraphs>211</Paragraphs>
  <TotalTime>0</TotalTime>
  <ScaleCrop>false</ScaleCrop>
  <LinksUpToDate>false</LinksUpToDate>
  <CharactersWithSpaces>105518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2022-07-14T22:52:00Z</dcterms:created>
  <dc:creator>frank</dc:creator>
  <cp:lastModifiedBy>Administrator</cp:lastModifiedBy>
  <cp:lastPrinted>2022-09-21T17:19:00Z</cp:lastPrinted>
  <dcterms:modified xsi:type="dcterms:W3CDTF">2023-09-22T03:16:57Z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80AF34B1261E42CD8CAE432ED24D315F</vt:lpwstr>
  </property>
</Properties>
</file>