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4AB36">
      <w:pPr>
        <w:widowControl/>
        <w:jc w:val="left"/>
      </w:pPr>
    </w:p>
    <w:p w14:paraId="27CC90E8">
      <w:pPr>
        <w:widowControl/>
        <w:jc w:val="left"/>
      </w:pPr>
      <w:r>
        <w:drawing>
          <wp:anchor distT="0" distB="0" distL="114300" distR="114300" simplePos="0" relativeHeight="251662336"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06095" cy="506095"/>
                    </a:xfrm>
                    <a:prstGeom prst="rect">
                      <a:avLst/>
                    </a:prstGeom>
                  </pic:spPr>
                </pic:pic>
              </a:graphicData>
            </a:graphic>
          </wp:anchor>
        </w:drawing>
      </w:r>
    </w:p>
    <w:p w14:paraId="7CE4B205">
      <w:pPr>
        <w:widowControl/>
        <w:jc w:val="left"/>
      </w:pPr>
      <w:r>
        <w:drawing>
          <wp:anchor distT="0" distB="0" distL="114300" distR="114300" simplePos="0" relativeHeight="251664384"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1312;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0288;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54AE111">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4384;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54AE111">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6C8E776E">
      <w:pPr>
        <w:widowControl/>
        <w:jc w:val="left"/>
      </w:pPr>
      <w:r>
        <w:drawing>
          <wp:anchor distT="0" distB="0" distL="114300" distR="114300" simplePos="0" relativeHeight="251663360"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30889C7D">
      <w:pPr>
        <w:widowControl/>
        <w:jc w:val="left"/>
      </w:pPr>
    </w:p>
    <w:p w14:paraId="03E8460C">
      <w:pPr>
        <w:widowControl/>
        <w:jc w:val="left"/>
      </w:pPr>
    </w:p>
    <w:p w14:paraId="00D3FDA6">
      <w:pPr>
        <w:widowControl/>
        <w:jc w:val="left"/>
      </w:pPr>
    </w:p>
    <w:p w14:paraId="5FB68120">
      <w:pPr>
        <w:widowControl/>
        <w:jc w:val="left"/>
      </w:pPr>
    </w:p>
    <w:p w14:paraId="77848ED3">
      <w:pPr>
        <w:widowControl/>
        <w:jc w:val="left"/>
      </w:pPr>
    </w:p>
    <w:p w14:paraId="33683707">
      <w:pPr>
        <w:widowControl/>
        <w:jc w:val="left"/>
      </w:pPr>
    </w:p>
    <w:p w14:paraId="4013E37B">
      <w:pPr>
        <w:widowControl/>
        <w:jc w:val="left"/>
      </w:pPr>
    </w:p>
    <w:p w14:paraId="560ABAA7">
      <w:pPr>
        <w:widowControl/>
        <w:jc w:val="left"/>
      </w:pPr>
    </w:p>
    <w:p w14:paraId="74A771C1">
      <w:pPr>
        <w:widowControl/>
        <w:jc w:val="left"/>
      </w:pPr>
    </w:p>
    <w:p w14:paraId="0A312E19">
      <w:pPr>
        <w:widowControl/>
        <w:jc w:val="left"/>
      </w:pPr>
    </w:p>
    <w:p w14:paraId="1BC238F8">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6432"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河北省秦皇岛市北戴河区卫生健康局（本级）</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6432;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河北省秦皇岛市北戴河区卫生健康局（本级）</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361001</w:t>
      </w:r>
    </w:p>
    <w:p w14:paraId="3DA8C78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p>
    <w:p w14:paraId="5BFD7EBE">
      <w:pPr>
        <w:spacing w:line="600" w:lineRule="auto"/>
        <w:jc w:val="left"/>
        <w:rPr>
          <w:rFonts w:hint="eastAsia" w:ascii="楷体_GB2312" w:hAnsi="楷体_GB2312" w:eastAsia="楷体_GB2312" w:cs="楷体_GB2312"/>
          <w:color w:val="000000"/>
          <w:sz w:val="40"/>
          <w:szCs w:val="40"/>
        </w:rPr>
      </w:pPr>
    </w:p>
    <w:p w14:paraId="04CD5ACE">
      <w:pPr>
        <w:spacing w:line="600" w:lineRule="auto"/>
        <w:jc w:val="center"/>
        <w:rPr>
          <w:rFonts w:hint="eastAsia" w:ascii="楷体_GB2312" w:hAnsi="楷体_GB2312" w:eastAsia="楷体_GB2312" w:cs="楷体_GB2312"/>
          <w:color w:val="000000"/>
          <w:sz w:val="40"/>
          <w:szCs w:val="40"/>
        </w:rPr>
      </w:pPr>
    </w:p>
    <w:p w14:paraId="7591C1E6">
      <w:pPr>
        <w:spacing w:line="600" w:lineRule="auto"/>
        <w:rPr>
          <w:rFonts w:hint="eastAsia" w:ascii="楷体_GB2312" w:hAnsi="楷体_GB2312" w:eastAsia="楷体_GB2312" w:cs="楷体_GB2312"/>
          <w:color w:val="000000"/>
          <w:sz w:val="40"/>
          <w:szCs w:val="40"/>
        </w:rPr>
      </w:pPr>
    </w:p>
    <w:p w14:paraId="73C89009">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二〇二四年九月</w:t>
      </w:r>
    </w:p>
    <w:p w14:paraId="704A904B">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778E8427">
      <w:pPr>
        <w:tabs>
          <w:tab w:val="left" w:pos="2728"/>
        </w:tabs>
        <w:jc w:val="center"/>
        <w:rPr>
          <w:rFonts w:ascii="黑体" w:hAnsi="Times New Roman" w:eastAsia="黑体" w:cs="Times New Roman"/>
          <w:sz w:val="48"/>
          <w:szCs w:val="48"/>
        </w:rPr>
      </w:pPr>
    </w:p>
    <w:p w14:paraId="3170D690">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0E418AB">
      <w:pPr>
        <w:widowControl/>
        <w:spacing w:after="0" w:line="360" w:lineRule="auto"/>
        <w:ind w:firstLine="640" w:firstLineChars="200"/>
        <w:rPr>
          <w:rFonts w:ascii="Times New Roman" w:hAnsi="Times New Roman" w:eastAsia="黑体" w:cs="Times New Roman"/>
          <w:sz w:val="32"/>
          <w:szCs w:val="32"/>
        </w:rPr>
      </w:pPr>
    </w:p>
    <w:p w14:paraId="59934777">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单位</w:t>
      </w:r>
      <w:r>
        <w:rPr>
          <w:rFonts w:ascii="Times New Roman" w:hAnsi="Times New Roman" w:eastAsia="黑体" w:cs="Times New Roman"/>
          <w:sz w:val="32"/>
          <w:szCs w:val="32"/>
        </w:rPr>
        <w:t>概况</w:t>
      </w:r>
    </w:p>
    <w:p w14:paraId="022976ED">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单位职责</w:t>
      </w:r>
    </w:p>
    <w:p w14:paraId="0BC41BA5">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7D654F99">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32AB9C6E">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7C9CFC40">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D8630B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1007B3ED">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128E3D9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5DE00C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60CFD4B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202039D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0F5799EA">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2EB8715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74DFD297">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499EE47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6FAF7B93">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3A24A825">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2B53631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390D466B">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4D53414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0DFC026F">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7F6144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6757562">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05BEA7F7">
      <w:pPr>
        <w:widowControl/>
        <w:spacing w:after="0" w:line="360" w:lineRule="auto"/>
        <w:ind w:firstLine="640" w:firstLineChars="200"/>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22D7EC4">
      <w:pPr>
        <w:spacing w:line="360" w:lineRule="auto"/>
        <w:rPr>
          <w:rFonts w:ascii="Arial" w:hAnsi="Arial" w:eastAsia="Arial" w:cs="Arial"/>
          <w:color w:val="000000"/>
          <w:sz w:val="18"/>
          <w:szCs w:val="18"/>
          <w:shd w:val="clear" w:color="auto" w:fill="FFFFFF"/>
        </w:rPr>
      </w:pPr>
    </w:p>
    <w:p w14:paraId="56652A33">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210D041">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5A120C67">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172AD81">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776EF6D">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18CBFFF8">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65278420">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3804BC92">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28C2EF4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62402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43C4F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7E8762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C08722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103BC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D2139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E45661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6A2D9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64AEC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4922B2F">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8FA5E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DD7EF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5CABF6">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2D101843">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单位</w:t>
      </w:r>
      <w:r>
        <w:rPr>
          <w:rFonts w:hint="eastAsia" w:ascii="黑体" w:hAnsi="黑体" w:eastAsia="黑体"/>
          <w:sz w:val="32"/>
          <w:szCs w:val="32"/>
          <w:shd w:val="clear" w:color="auto" w:fill="FFFFFF"/>
        </w:rPr>
        <w:t>职责</w:t>
      </w:r>
    </w:p>
    <w:p w14:paraId="32804A81">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一）组织拟订全区国民健康政策，拟订全区卫生健康事业发展政府规章草案，拟订全区卫生健康规划和政策措施，组织实施卫生健康行业有关标准和技术规范。统筹规划卫生健康资源配置，指导区域卫生健康规划编制和实施。制定并组织实施推进卫生健康基本公共服务均等化、普惠化、便捷化和公共资源向基层延伸等政策措施。</w:t>
      </w:r>
    </w:p>
    <w:p w14:paraId="285425D5">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二）协调推进全区深化医药卫生体制改革，研究提出全区深化医药卫生体制改革政策、措施的建议。组织深化公立医院综合改革，推进管办分离，健全现代医院管理制度，制定并组织实施推动卫生健康公共服务提供主体多元化、提供方式多样化的政策措施，提出医疗服务和药品价格政策的建议。</w:t>
      </w:r>
    </w:p>
    <w:p w14:paraId="5783ACEB">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三）制定并组织落实疾病预防控制规划、国家免疫规划以及危害人民健康公共卫生问题的干预措施。负责卫生应急工作，组织指导突发公共卫生事件的预防控制和各类突发公共事件的医疗卫生救援。负责法定传染病疫情信息上报、发布突发公共卫生事件应急处置信息。</w:t>
      </w:r>
    </w:p>
    <w:p w14:paraId="41E0CAB9">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（四）组织拟订并协调落实应对人口老龄化政策措施，负责推进老年健康服务体系建设和医养结合工作。</w:t>
      </w:r>
    </w:p>
    <w:p w14:paraId="73F06077">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（五）组织实施国家基本药物政策和国家基本药物制度</w:t>
      </w:r>
    </w:p>
    <w:p w14:paraId="33F3A2B0">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（六）负责计划生育管理和服务工作，开展人口监测预警，研究提出人口与家庭发展相关政策建议，落实计划生育政策。</w:t>
      </w:r>
    </w:p>
    <w:p w14:paraId="77B01CF1">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（七）拟订中医药事业中长期发展规划。负责中医、中西医结合医疗机构和其他医疗机构中医业务的指导与服务管理。负责中医药科研、人才培养和继续教育工作。</w:t>
      </w:r>
    </w:p>
    <w:p w14:paraId="59CCFA71">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（八）导全区卫生健康工作，指导基层医疗卫生、妇幼健康服务体系和全科医生队伍建设。推进卫生健康科技创新发展。</w:t>
      </w:r>
    </w:p>
    <w:p w14:paraId="6B751CE5">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（九）指导区计划生育协会的业务工作。</w:t>
      </w:r>
    </w:p>
    <w:p w14:paraId="03B2D77F">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（十）落实行业主管部门的安全生产监管职责，各科室落实各自分管领域的安全生产监管职责。</w:t>
      </w:r>
    </w:p>
    <w:p w14:paraId="494F66CA">
      <w:pPr>
        <w:pStyle w:val="25"/>
        <w:rPr>
          <w:rFonts w:hint="eastAsia" w:ascii="仿宋" w:hAnsi="仿宋" w:eastAsia="仿宋" w:cs="仿宋"/>
          <w:b w:val="0"/>
          <w:bCs w:val="0"/>
          <w:sz w:val="32"/>
          <w:szCs w:val="32"/>
        </w:rPr>
      </w:pPr>
      <w:r>
        <w:rPr>
          <w:rFonts w:hint="eastAsia" w:ascii="仿宋" w:hAnsi="仿宋" w:eastAsia="仿宋" w:cs="仿宋"/>
          <w:b w:val="0"/>
          <w:bCs w:val="0"/>
          <w:sz w:val="32"/>
          <w:szCs w:val="32"/>
        </w:rPr>
        <w:t>（十一）完成区委、区政府交办的其他任务。</w:t>
      </w:r>
    </w:p>
    <w:p w14:paraId="0263D03A">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14:paraId="741A652F">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w:t>
      </w:r>
      <w:r>
        <w:rPr>
          <w:rFonts w:ascii="仿宋" w:hAnsi="仿宋" w:eastAsia="仿宋" w:cs="仿宋_GB2312"/>
          <w:sz w:val="32"/>
          <w:szCs w:val="32"/>
          <w:highlight w:val="none"/>
          <w:shd w:val="clear" w:color="auto" w:fill="FFFFFF"/>
        </w:rPr>
        <w:t xml:space="preserve">共 </w:t>
      </w:r>
      <w:r>
        <w:rPr>
          <w:rFonts w:hint="eastAsia" w:ascii="仿宋" w:hAnsi="仿宋" w:eastAsia="仿宋" w:cs="仿宋_GB2312"/>
          <w:sz w:val="32"/>
          <w:szCs w:val="32"/>
          <w:highlight w:val="none"/>
          <w:shd w:val="clear" w:color="auto" w:fill="FFFFFF"/>
          <w:lang w:val="en-US" w:eastAsia="zh-CN"/>
        </w:rPr>
        <w:t>1</w:t>
      </w:r>
      <w:r>
        <w:rPr>
          <w:rFonts w:ascii="仿宋" w:hAnsi="仿宋" w:eastAsia="仿宋" w:cs="仿宋_GB2312"/>
          <w:sz w:val="32"/>
          <w:szCs w:val="32"/>
          <w:highlight w:val="none"/>
          <w:shd w:val="clear" w:color="auto" w:fill="FFFFFF"/>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096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B3B2CE">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4DF64C5">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3929D4E6">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14D954CC">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4E8D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65ABDB0C">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3485" w:type="dxa"/>
            <w:vAlign w:val="center"/>
          </w:tcPr>
          <w:p w14:paraId="0CFF4D07">
            <w:pPr>
              <w:spacing w:line="560" w:lineRule="exact"/>
              <w:rPr>
                <w:rFonts w:hint="eastAsia" w:ascii="仿宋" w:hAnsi="仿宋" w:eastAsia="仿宋" w:cs="ArialUnicodeMS"/>
                <w:sz w:val="28"/>
                <w:szCs w:val="28"/>
              </w:rPr>
            </w:pPr>
            <w:r>
              <w:rPr>
                <w:rFonts w:hint="eastAsia" w:ascii="仿宋" w:hAnsi="仿宋" w:eastAsia="仿宋" w:cs="ArialUnicodeMS"/>
                <w:sz w:val="28"/>
                <w:szCs w:val="28"/>
                <w:highlight w:val="none"/>
                <w:lang w:eastAsia="zh-CN"/>
              </w:rPr>
              <w:t>秦皇岛市北戴河区卫生健康局</w:t>
            </w:r>
            <w:r>
              <w:rPr>
                <w:rFonts w:hint="eastAsia" w:ascii="仿宋" w:hAnsi="仿宋" w:eastAsia="仿宋" w:cs="ArialUnicodeMS"/>
                <w:sz w:val="28"/>
                <w:szCs w:val="28"/>
                <w:highlight w:val="none"/>
              </w:rPr>
              <w:t>(本级)</w:t>
            </w:r>
          </w:p>
        </w:tc>
        <w:tc>
          <w:tcPr>
            <w:tcW w:w="2445" w:type="dxa"/>
            <w:vAlign w:val="center"/>
          </w:tcPr>
          <w:p w14:paraId="393ACE13">
            <w:pPr>
              <w:spacing w:line="560" w:lineRule="exact"/>
              <w:jc w:val="center"/>
              <w:rPr>
                <w:rFonts w:hint="eastAsia" w:ascii="仿宋" w:hAnsi="仿宋" w:eastAsia="仿宋" w:cs="ArialUnicodeMS"/>
                <w:sz w:val="28"/>
                <w:szCs w:val="28"/>
                <w:lang w:eastAsia="zh-CN"/>
              </w:rPr>
            </w:pPr>
            <w:r>
              <w:rPr>
                <w:rFonts w:hint="eastAsia" w:ascii="仿宋_GB2312" w:eastAsia="仿宋_GB2312" w:cs="Arial Black"/>
                <w:kern w:val="0"/>
                <w:sz w:val="28"/>
                <w:szCs w:val="28"/>
              </w:rPr>
              <w:t>行政单位</w:t>
            </w:r>
          </w:p>
        </w:tc>
        <w:tc>
          <w:tcPr>
            <w:tcW w:w="2665" w:type="dxa"/>
            <w:vAlign w:val="center"/>
          </w:tcPr>
          <w:p w14:paraId="20008226">
            <w:pPr>
              <w:spacing w:line="560" w:lineRule="exact"/>
              <w:jc w:val="center"/>
              <w:rPr>
                <w:rFonts w:hint="eastAsia" w:ascii="仿宋" w:hAnsi="仿宋" w:eastAsia="仿宋" w:cs="ArialUnicodeMS"/>
                <w:sz w:val="28"/>
                <w:szCs w:val="28"/>
              </w:rPr>
            </w:pPr>
            <w:r>
              <w:rPr>
                <w:rFonts w:hint="eastAsia" w:ascii="仿宋_GB2312" w:eastAsia="仿宋_GB2312" w:cs="Arial Black"/>
                <w:kern w:val="0"/>
                <w:sz w:val="28"/>
                <w:szCs w:val="28"/>
              </w:rPr>
              <w:t>财政拨款</w:t>
            </w:r>
          </w:p>
        </w:tc>
      </w:tr>
    </w:tbl>
    <w:p w14:paraId="5BB42E0E">
      <w:pPr>
        <w:widowControl/>
        <w:spacing w:after="0" w:line="360" w:lineRule="auto"/>
        <w:ind w:left="-850" w:leftChars="-354" w:right="-821" w:rightChars="-342"/>
        <w:rPr>
          <w:rFonts w:hint="eastAsia" w:ascii="仿宋" w:hAnsi="仿宋" w:eastAsia="仿宋" w:cs="Times New Roman"/>
          <w:sz w:val="28"/>
          <w:szCs w:val="28"/>
        </w:rPr>
        <w:sectPr>
          <w:headerReference r:id="rId9"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w:t>
      </w:r>
      <w:r>
        <w:rPr>
          <w:rFonts w:ascii="仿宋" w:hAnsi="仿宋" w:eastAsia="仿宋" w:cs="Times New Roman"/>
          <w:sz w:val="28"/>
          <w:szCs w:val="28"/>
        </w:rPr>
        <w:cr/>
      </w:r>
    </w:p>
    <w:p w14:paraId="1B9630AE">
      <w:pPr>
        <w:widowControl/>
        <w:spacing w:line="580" w:lineRule="exact"/>
        <w:ind w:firstLine="640" w:firstLineChars="200"/>
        <w:rPr>
          <w:rFonts w:ascii="Times New Roman" w:hAnsi="Times New Roman" w:eastAsia="黑体" w:cs="Times New Roman"/>
          <w:sz w:val="32"/>
          <w:szCs w:val="32"/>
          <w:highlight w:val="yellow"/>
        </w:rPr>
      </w:pPr>
    </w:p>
    <w:p w14:paraId="6BD64B71">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17190BCA">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36E600DA">
      <w:pPr>
        <w:widowControl/>
        <w:shd w:val="clear" w:color="auto" w:fill="FFFFFF"/>
        <w:spacing w:after="0"/>
        <w:jc w:val="left"/>
        <w:rPr>
          <w:rFonts w:ascii="Arial" w:hAnsi="Arial" w:eastAsia="Arial" w:cs="Arial"/>
          <w:color w:val="000000"/>
          <w:sz w:val="18"/>
          <w:szCs w:val="18"/>
          <w:shd w:val="clear" w:color="auto" w:fill="FFFFFF"/>
        </w:rPr>
      </w:pPr>
    </w:p>
    <w:p w14:paraId="30BB7513">
      <w:pPr>
        <w:widowControl/>
        <w:shd w:val="clear" w:color="auto" w:fill="FFFFFF"/>
        <w:spacing w:after="0"/>
        <w:jc w:val="left"/>
        <w:rPr>
          <w:rFonts w:ascii="Arial" w:hAnsi="Arial" w:eastAsia="Arial" w:cs="Arial"/>
          <w:color w:val="000000"/>
          <w:sz w:val="18"/>
          <w:szCs w:val="18"/>
          <w:shd w:val="clear" w:color="auto" w:fill="FFFFFF"/>
        </w:rPr>
      </w:pPr>
    </w:p>
    <w:p w14:paraId="2287377D">
      <w:pPr>
        <w:widowControl/>
        <w:shd w:val="clear" w:color="auto" w:fill="FFFFFF"/>
        <w:spacing w:after="0"/>
        <w:jc w:val="left"/>
        <w:rPr>
          <w:rFonts w:ascii="Arial" w:hAnsi="Arial" w:eastAsia="Arial" w:cs="Arial"/>
          <w:color w:val="000000"/>
          <w:sz w:val="18"/>
          <w:szCs w:val="18"/>
          <w:shd w:val="clear" w:color="auto" w:fill="FFFFFF"/>
        </w:rPr>
      </w:pPr>
    </w:p>
    <w:p w14:paraId="38688B3B">
      <w:pPr>
        <w:widowControl/>
        <w:shd w:val="clear" w:color="auto" w:fill="FFFFFF"/>
        <w:spacing w:after="0"/>
        <w:jc w:val="left"/>
        <w:rPr>
          <w:rFonts w:ascii="Arial" w:hAnsi="Arial" w:eastAsia="Arial" w:cs="Arial"/>
          <w:color w:val="000000"/>
          <w:sz w:val="18"/>
          <w:szCs w:val="18"/>
          <w:shd w:val="clear" w:color="auto" w:fill="FFFFFF"/>
        </w:rPr>
      </w:pPr>
    </w:p>
    <w:p w14:paraId="1DB22197">
      <w:pPr>
        <w:widowControl/>
        <w:shd w:val="clear" w:color="auto" w:fill="FFFFFF"/>
        <w:spacing w:after="0"/>
        <w:jc w:val="left"/>
        <w:rPr>
          <w:rFonts w:ascii="Arial" w:hAnsi="Arial" w:eastAsia="Arial" w:cs="Arial"/>
          <w:color w:val="000000"/>
          <w:sz w:val="18"/>
          <w:szCs w:val="18"/>
          <w:shd w:val="clear" w:color="auto" w:fill="FFFFFF"/>
        </w:rPr>
      </w:pPr>
    </w:p>
    <w:p w14:paraId="55BF5873">
      <w:pPr>
        <w:widowControl/>
        <w:shd w:val="clear" w:color="auto" w:fill="FFFFFF"/>
        <w:spacing w:after="0"/>
        <w:jc w:val="left"/>
        <w:rPr>
          <w:rFonts w:ascii="Arial" w:hAnsi="Arial" w:eastAsia="Arial" w:cs="Arial"/>
          <w:color w:val="000000"/>
          <w:sz w:val="18"/>
          <w:szCs w:val="18"/>
          <w:shd w:val="clear" w:color="auto" w:fill="FFFFFF"/>
        </w:rPr>
      </w:pPr>
    </w:p>
    <w:p w14:paraId="28B10F44">
      <w:pPr>
        <w:widowControl/>
        <w:shd w:val="clear" w:color="auto" w:fill="FFFFFF"/>
        <w:spacing w:after="0"/>
        <w:jc w:val="left"/>
        <w:rPr>
          <w:rFonts w:ascii="Arial" w:hAnsi="Arial" w:eastAsia="Arial" w:cs="Arial"/>
          <w:color w:val="000000"/>
          <w:sz w:val="18"/>
          <w:szCs w:val="18"/>
          <w:shd w:val="clear" w:color="auto" w:fill="FFFFFF"/>
        </w:rPr>
      </w:pPr>
    </w:p>
    <w:p w14:paraId="2BA3753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D4FD8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0ED4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ED80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C4014">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6402E9AC">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7CCF214E">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3434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3992" w:type="dxa"/>
            <w:tcBorders>
              <w:top w:val="nil"/>
              <w:left w:val="nil"/>
              <w:bottom w:val="nil"/>
              <w:right w:val="nil"/>
            </w:tcBorders>
          </w:tcPr>
          <w:p w14:paraId="7679A823">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1155065</wp:posOffset>
                  </wp:positionH>
                  <wp:positionV relativeFrom="paragraph">
                    <wp:posOffset>90170</wp:posOffset>
                  </wp:positionV>
                  <wp:extent cx="7146290" cy="4965700"/>
                  <wp:effectExtent l="0" t="0" r="16510" b="6350"/>
                  <wp:wrapNone/>
                  <wp:docPr id="2590414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41464"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146290" cy="4965700"/>
                          </a:xfrm>
                          <a:prstGeom prst="rect">
                            <a:avLst/>
                          </a:prstGeom>
                          <a:noFill/>
                          <a:ln>
                            <a:noFill/>
                          </a:ln>
                        </pic:spPr>
                      </pic:pic>
                    </a:graphicData>
                  </a:graphic>
                </wp:anchor>
              </w:drawing>
            </w:r>
          </w:p>
        </w:tc>
      </w:tr>
      <w:tr w14:paraId="1554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14:paraId="521BF35D">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85090</wp:posOffset>
                  </wp:positionH>
                  <wp:positionV relativeFrom="paragraph">
                    <wp:posOffset>-65405</wp:posOffset>
                  </wp:positionV>
                  <wp:extent cx="8578215" cy="4959350"/>
                  <wp:effectExtent l="0" t="0" r="13335" b="12700"/>
                  <wp:wrapNone/>
                  <wp:docPr id="18413488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48861"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578215" cy="4959350"/>
                          </a:xfrm>
                          <a:prstGeom prst="rect">
                            <a:avLst/>
                          </a:prstGeom>
                          <a:noFill/>
                          <a:ln>
                            <a:noFill/>
                          </a:ln>
                        </pic:spPr>
                      </pic:pic>
                    </a:graphicData>
                  </a:graphic>
                </wp:anchor>
              </w:drawing>
            </w:r>
          </w:p>
        </w:tc>
      </w:tr>
      <w:tr w14:paraId="0FE3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14:paraId="76D283BD">
            <w:pPr>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269240</wp:posOffset>
                  </wp:positionH>
                  <wp:positionV relativeFrom="paragraph">
                    <wp:posOffset>-151130</wp:posOffset>
                  </wp:positionV>
                  <wp:extent cx="8000365" cy="4959350"/>
                  <wp:effectExtent l="0" t="0" r="635" b="12700"/>
                  <wp:wrapNone/>
                  <wp:docPr id="1754137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3752"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000365" cy="4959350"/>
                          </a:xfrm>
                          <a:prstGeom prst="rect">
                            <a:avLst/>
                          </a:prstGeom>
                          <a:noFill/>
                          <a:ln>
                            <a:noFill/>
                          </a:ln>
                        </pic:spPr>
                      </pic:pic>
                    </a:graphicData>
                  </a:graphic>
                </wp:anchor>
              </w:drawing>
            </w:r>
          </w:p>
          <w:p w14:paraId="0514F40E">
            <w:pPr>
              <w:widowControl/>
              <w:tabs>
                <w:tab w:val="left" w:pos="5484"/>
              </w:tabs>
              <w:jc w:val="left"/>
              <w:rPr>
                <w:sz w:val="20"/>
                <w:szCs w:val="20"/>
              </w:rPr>
            </w:pPr>
          </w:p>
        </w:tc>
      </w:tr>
      <w:tr w14:paraId="7BA1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1242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4" w:hRule="atLeast"/>
              </w:trPr>
              <w:tc>
                <w:tcPr>
                  <w:tcW w:w="14481" w:type="dxa"/>
                  <w:tcBorders>
                    <w:top w:val="nil"/>
                    <w:left w:val="nil"/>
                    <w:bottom w:val="nil"/>
                    <w:right w:val="nil"/>
                  </w:tcBorders>
                </w:tcPr>
                <w:p w14:paraId="26367565">
                  <w:pPr>
                    <w:widowControl/>
                    <w:jc w:val="center"/>
                    <w:rPr>
                      <w:sz w:val="20"/>
                      <w:szCs w:val="20"/>
                    </w:rPr>
                  </w:pPr>
                  <w:r>
                    <w:rPr>
                      <w:rFonts w:hint="eastAsia"/>
                      <w:sz w:val="20"/>
                      <w:szCs w:val="20"/>
                    </w:rPr>
                    <w:drawing>
                      <wp:anchor distT="0" distB="0" distL="114300" distR="114300" simplePos="0" relativeHeight="251670528" behindDoc="0" locked="0" layoutInCell="1" allowOverlap="1">
                        <wp:simplePos x="0" y="0"/>
                        <wp:positionH relativeFrom="column">
                          <wp:posOffset>210185</wp:posOffset>
                        </wp:positionH>
                        <wp:positionV relativeFrom="paragraph">
                          <wp:posOffset>-34290</wp:posOffset>
                        </wp:positionV>
                        <wp:extent cx="8286115" cy="4965700"/>
                        <wp:effectExtent l="0" t="0" r="635" b="6350"/>
                        <wp:wrapNone/>
                        <wp:docPr id="6048819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81963"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286115" cy="4965700"/>
                                </a:xfrm>
                                <a:prstGeom prst="rect">
                                  <a:avLst/>
                                </a:prstGeom>
                                <a:noFill/>
                                <a:ln>
                                  <a:noFill/>
                                </a:ln>
                              </pic:spPr>
                            </pic:pic>
                          </a:graphicData>
                        </a:graphic>
                      </wp:anchor>
                    </w:drawing>
                  </w:r>
                </w:p>
              </w:tc>
            </w:tr>
          </w:tbl>
          <w:p w14:paraId="1B5DE183">
            <w:pPr>
              <w:widowControl/>
              <w:spacing w:after="0" w:line="240" w:lineRule="auto"/>
              <w:jc w:val="center"/>
              <w:rPr>
                <w:sz w:val="20"/>
                <w:szCs w:val="20"/>
              </w:rPr>
            </w:pPr>
          </w:p>
        </w:tc>
      </w:tr>
    </w:tbl>
    <w:p w14:paraId="6167FC9C">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1552" behindDoc="0" locked="0" layoutInCell="1" allowOverlap="1">
            <wp:simplePos x="0" y="0"/>
            <wp:positionH relativeFrom="column">
              <wp:posOffset>1564640</wp:posOffset>
            </wp:positionH>
            <wp:positionV relativeFrom="paragraph">
              <wp:posOffset>36195</wp:posOffset>
            </wp:positionV>
            <wp:extent cx="6647815" cy="4968240"/>
            <wp:effectExtent l="0" t="0" r="635" b="3810"/>
            <wp:wrapNone/>
            <wp:docPr id="20903339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33925"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647815" cy="4968240"/>
                    </a:xfrm>
                    <a:prstGeom prst="rect">
                      <a:avLst/>
                    </a:prstGeom>
                    <a:noFill/>
                    <a:ln>
                      <a:noFill/>
                    </a:ln>
                  </pic:spPr>
                </pic:pic>
              </a:graphicData>
            </a:graphic>
          </wp:anchor>
        </w:drawing>
      </w:r>
    </w:p>
    <w:p w14:paraId="333C565E">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rFonts w:hint="eastAsia"/>
          <w:sz w:val="20"/>
          <w:szCs w:val="20"/>
        </w:rPr>
        <w:drawing>
          <wp:anchor distT="0" distB="0" distL="114300" distR="114300" simplePos="0" relativeHeight="251672576" behindDoc="0" locked="0" layoutInCell="1" allowOverlap="1">
            <wp:simplePos x="0" y="0"/>
            <wp:positionH relativeFrom="column">
              <wp:posOffset>-32385</wp:posOffset>
            </wp:positionH>
            <wp:positionV relativeFrom="paragraph">
              <wp:posOffset>-30480</wp:posOffset>
            </wp:positionV>
            <wp:extent cx="8910320" cy="4968240"/>
            <wp:effectExtent l="0" t="0" r="5080" b="3810"/>
            <wp:wrapNone/>
            <wp:docPr id="490164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645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910320" cy="4968240"/>
                    </a:xfrm>
                    <a:prstGeom prst="rect">
                      <a:avLst/>
                    </a:prstGeom>
                    <a:noFill/>
                    <a:ln>
                      <a:noFill/>
                    </a:ln>
                  </pic:spPr>
                </pic:pic>
              </a:graphicData>
            </a:graphic>
          </wp:anchor>
        </w:drawing>
      </w:r>
      <w:r>
        <w:rPr>
          <w:sz w:val="20"/>
          <w:szCs w:val="20"/>
        </w:rPr>
        <w:t xml:space="preserve"> </w:t>
      </w:r>
      <w:r>
        <w:rPr>
          <w:sz w:val="20"/>
          <w:szCs w:val="20"/>
        </w:rPr>
        <w:br w:type="page"/>
      </w:r>
    </w:p>
    <w:p w14:paraId="12C8D1A9">
      <w:pPr>
        <w:widowControl/>
        <w:jc w:val="center"/>
        <w:rPr>
          <w:sz w:val="20"/>
          <w:szCs w:val="20"/>
        </w:rPr>
      </w:pPr>
    </w:p>
    <w:p w14:paraId="3D1FF7B1">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-635</wp:posOffset>
            </wp:positionH>
            <wp:positionV relativeFrom="paragraph">
              <wp:posOffset>70485</wp:posOffset>
            </wp:positionV>
            <wp:extent cx="8747760" cy="3023235"/>
            <wp:effectExtent l="0" t="0" r="0" b="5715"/>
            <wp:wrapNone/>
            <wp:docPr id="4259161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16156"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3023235"/>
                    </a:xfrm>
                    <a:prstGeom prst="rect">
                      <a:avLst/>
                    </a:prstGeom>
                    <a:noFill/>
                    <a:ln>
                      <a:noFill/>
                    </a:ln>
                  </pic:spPr>
                </pic:pic>
              </a:graphicData>
            </a:graphic>
          </wp:anchor>
        </w:drawing>
      </w:r>
      <w:r>
        <w:rPr>
          <w:sz w:val="20"/>
          <w:szCs w:val="20"/>
        </w:rPr>
        <w:br w:type="page"/>
      </w:r>
    </w:p>
    <w:p w14:paraId="0E6E1D17">
      <w:pPr>
        <w:widowControl/>
        <w:jc w:val="center"/>
        <w:rPr>
          <w:sz w:val="20"/>
          <w:szCs w:val="20"/>
        </w:rPr>
      </w:pPr>
      <w:r>
        <w:rPr>
          <w:rFonts w:hint="eastAsia"/>
          <w:sz w:val="20"/>
          <w:szCs w:val="20"/>
        </w:rPr>
        <w:drawing>
          <wp:anchor distT="0" distB="0" distL="114300" distR="114300" simplePos="0" relativeHeight="251674624" behindDoc="0" locked="0" layoutInCell="1" allowOverlap="1">
            <wp:simplePos x="0" y="0"/>
            <wp:positionH relativeFrom="column">
              <wp:posOffset>1047115</wp:posOffset>
            </wp:positionH>
            <wp:positionV relativeFrom="paragraph">
              <wp:posOffset>1270</wp:posOffset>
            </wp:positionV>
            <wp:extent cx="6642100" cy="3162300"/>
            <wp:effectExtent l="0" t="0" r="6350" b="0"/>
            <wp:wrapNone/>
            <wp:docPr id="6424316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31675"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642100" cy="3162300"/>
                    </a:xfrm>
                    <a:prstGeom prst="rect">
                      <a:avLst/>
                    </a:prstGeom>
                    <a:noFill/>
                    <a:ln>
                      <a:noFill/>
                    </a:ln>
                  </pic:spPr>
                </pic:pic>
              </a:graphicData>
            </a:graphic>
          </wp:anchor>
        </w:drawing>
      </w:r>
      <w:r>
        <w:rPr>
          <w:sz w:val="20"/>
          <w:szCs w:val="20"/>
        </w:rPr>
        <w:br w:type="page"/>
      </w:r>
    </w:p>
    <w:p w14:paraId="5ACC9AC9">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5648" behindDoc="0" locked="0" layoutInCell="1" allowOverlap="1">
            <wp:simplePos x="0" y="0"/>
            <wp:positionH relativeFrom="column">
              <wp:posOffset>-635</wp:posOffset>
            </wp:positionH>
            <wp:positionV relativeFrom="paragraph">
              <wp:posOffset>13970</wp:posOffset>
            </wp:positionV>
            <wp:extent cx="8747760" cy="1747520"/>
            <wp:effectExtent l="0" t="0" r="0" b="5080"/>
            <wp:wrapNone/>
            <wp:docPr id="7529511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51119"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747760" cy="1747520"/>
                    </a:xfrm>
                    <a:prstGeom prst="rect">
                      <a:avLst/>
                    </a:prstGeom>
                    <a:noFill/>
                    <a:ln>
                      <a:noFill/>
                    </a:ln>
                  </pic:spPr>
                </pic:pic>
              </a:graphicData>
            </a:graphic>
          </wp:anchor>
        </w:drawing>
      </w:r>
    </w:p>
    <w:p w14:paraId="48DD1F0D">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5FD05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BB4AF6">
      <w:pPr>
        <w:pStyle w:val="10"/>
        <w:widowControl/>
        <w:spacing w:beforeAutospacing="0" w:afterAutospacing="0"/>
        <w:jc w:val="center"/>
        <w:rPr>
          <w:rFonts w:ascii="Arial" w:hAnsi="Arial" w:eastAsia="Arial" w:cs="Arial"/>
          <w:color w:val="000000"/>
          <w:sz w:val="18"/>
          <w:szCs w:val="18"/>
          <w:shd w:val="clear" w:color="auto" w:fill="FFFFFF"/>
        </w:rPr>
      </w:pPr>
    </w:p>
    <w:p w14:paraId="4A379622">
      <w:pPr>
        <w:pStyle w:val="10"/>
        <w:widowControl/>
        <w:spacing w:beforeAutospacing="0" w:afterAutospacing="0"/>
        <w:jc w:val="center"/>
        <w:rPr>
          <w:rFonts w:ascii="Arial" w:hAnsi="Arial" w:eastAsia="Arial" w:cs="Arial"/>
          <w:color w:val="000000"/>
          <w:sz w:val="18"/>
          <w:szCs w:val="18"/>
          <w:shd w:val="clear" w:color="auto" w:fill="FFFFFF"/>
        </w:rPr>
      </w:pPr>
    </w:p>
    <w:p w14:paraId="51877D3A">
      <w:pPr>
        <w:pStyle w:val="10"/>
        <w:widowControl/>
        <w:spacing w:beforeAutospacing="0" w:afterAutospacing="0"/>
        <w:jc w:val="center"/>
        <w:rPr>
          <w:rFonts w:ascii="Arial" w:hAnsi="Arial" w:eastAsia="Arial" w:cs="Arial"/>
          <w:color w:val="000000"/>
          <w:sz w:val="18"/>
          <w:szCs w:val="18"/>
          <w:shd w:val="clear" w:color="auto" w:fill="FFFFFF"/>
        </w:rPr>
      </w:pPr>
    </w:p>
    <w:p w14:paraId="746AC952">
      <w:pPr>
        <w:pStyle w:val="10"/>
        <w:widowControl/>
        <w:spacing w:beforeAutospacing="0" w:afterAutospacing="0"/>
        <w:jc w:val="center"/>
        <w:rPr>
          <w:rFonts w:ascii="Arial" w:hAnsi="Arial" w:eastAsia="Arial" w:cs="Arial"/>
          <w:color w:val="000000"/>
          <w:sz w:val="18"/>
          <w:szCs w:val="18"/>
          <w:shd w:val="clear" w:color="auto" w:fill="FFFFFF"/>
        </w:rPr>
      </w:pPr>
    </w:p>
    <w:p w14:paraId="3FBA37D7">
      <w:pPr>
        <w:pStyle w:val="10"/>
        <w:widowControl/>
        <w:spacing w:beforeAutospacing="0" w:afterAutospacing="0"/>
        <w:jc w:val="center"/>
        <w:rPr>
          <w:rFonts w:ascii="Arial" w:hAnsi="Arial" w:eastAsia="Arial" w:cs="Arial"/>
          <w:color w:val="000000"/>
          <w:sz w:val="18"/>
          <w:szCs w:val="18"/>
          <w:shd w:val="clear" w:color="auto" w:fill="FFFFFF"/>
        </w:rPr>
      </w:pPr>
    </w:p>
    <w:p w14:paraId="65FD000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F807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13BB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26BA97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08A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7E9B52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D6D15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4D3B366">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4895F512">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2023年度部门决算情况说明</w:t>
      </w:r>
    </w:p>
    <w:p w14:paraId="3BE7830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9AE5C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06D161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3F68A8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42CA8F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05B02B8">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0E841168">
      <w:pPr>
        <w:rPr>
          <w:rFonts w:ascii="Arial" w:hAnsi="Arial" w:eastAsia="Arial" w:cs="Arial"/>
        </w:rPr>
      </w:pPr>
      <w:r>
        <w:rPr>
          <w:rFonts w:ascii="Arial" w:hAnsi="Arial" w:eastAsia="Arial" w:cs="Arial"/>
          <w:color w:val="000000"/>
          <w:sz w:val="18"/>
          <w:szCs w:val="18"/>
          <w:shd w:val="clear" w:color="auto" w:fill="FFFFFF"/>
        </w:rPr>
        <w:br w:type="page"/>
      </w:r>
    </w:p>
    <w:p w14:paraId="7B9C7DF9">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3D99A654">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492125</wp:posOffset>
            </wp:positionH>
            <wp:positionV relativeFrom="paragraph">
              <wp:posOffset>1455420</wp:posOffset>
            </wp:positionV>
            <wp:extent cx="4076700" cy="2851150"/>
            <wp:effectExtent l="0" t="0" r="0" b="6350"/>
            <wp:wrapNone/>
            <wp:docPr id="5130175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17565"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76700" cy="2851150"/>
                    </a:xfrm>
                    <a:prstGeom prst="rect">
                      <a:avLst/>
                    </a:prstGeom>
                    <a:noFill/>
                    <a:ln>
                      <a:noFill/>
                    </a:ln>
                  </pic:spPr>
                </pic:pic>
              </a:graphicData>
            </a:graphic>
          </wp:anchor>
        </w:drawing>
      </w:r>
      <w:r>
        <w:rPr>
          <w:rFonts w:ascii="仿宋" w:hAnsi="仿宋" w:eastAsia="仿宋" w:cs="Times New Roman"/>
          <w:kern w:val="2"/>
          <w:sz w:val="32"/>
          <w:szCs w:val="32"/>
        </w:rPr>
        <w:t>本单位2023年度收、支总计（含结转和结余）4548.34万元。与2022年度决算相比，收支各减少1493.44万元，降低24.7%，</w:t>
      </w:r>
      <w:r>
        <w:rPr>
          <w:rFonts w:ascii="仿宋" w:hAnsi="仿宋" w:eastAsia="仿宋" w:cs="Times New Roman"/>
          <w:kern w:val="2"/>
          <w:sz w:val="32"/>
          <w:szCs w:val="32"/>
          <w:highlight w:val="none"/>
        </w:rPr>
        <w:t>主要原因</w:t>
      </w:r>
      <w:r>
        <w:rPr>
          <w:rFonts w:hint="eastAsia" w:ascii="仿宋" w:hAnsi="仿宋" w:eastAsia="仿宋" w:cs="Times New Roman"/>
          <w:kern w:val="2"/>
          <w:sz w:val="32"/>
          <w:szCs w:val="32"/>
          <w:highlight w:val="none"/>
          <w:lang w:eastAsia="zh-CN"/>
        </w:rPr>
        <w:t>减少了中央、省级、市级转移支付各项目专项资金等</w:t>
      </w:r>
      <w:r>
        <w:rPr>
          <w:rFonts w:ascii="仿宋" w:hAnsi="仿宋" w:eastAsia="仿宋" w:cs="Times New Roman"/>
          <w:kern w:val="2"/>
          <w:sz w:val="32"/>
          <w:szCs w:val="32"/>
        </w:rPr>
        <w:t>。</w:t>
      </w:r>
    </w:p>
    <w:tbl>
      <w:tblPr>
        <w:tblStyle w:val="12"/>
        <w:tblW w:w="7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120"/>
      </w:tblGrid>
      <w:tr w14:paraId="60BC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3973" w:hRule="atLeast"/>
          <w:jc w:val="center"/>
        </w:trPr>
        <w:tc>
          <w:tcPr>
            <w:tcW w:w="7120" w:type="dxa"/>
            <w:vAlign w:val="bottom"/>
          </w:tcPr>
          <w:p w14:paraId="4A8EBB82">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p>
        </w:tc>
      </w:tr>
      <w:bookmarkEnd w:id="0"/>
    </w:tbl>
    <w:p w14:paraId="39087B19">
      <w:pPr>
        <w:snapToGrid w:val="0"/>
        <w:spacing w:after="0" w:line="360" w:lineRule="auto"/>
        <w:ind w:firstLine="640" w:firstLineChars="200"/>
        <w:rPr>
          <w:rFonts w:ascii="黑体" w:hAnsi="黑体" w:eastAsia="黑体"/>
          <w:sz w:val="32"/>
          <w:szCs w:val="32"/>
          <w:shd w:val="clear" w:color="auto" w:fill="FFFFFF"/>
        </w:rPr>
      </w:pPr>
    </w:p>
    <w:p w14:paraId="30E2797B">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7B5B23AB">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本单位2023年度本年收入合计4548.34万元，其中：财政拨款收入4534.36万元，占99.7%；上级补助收入0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13.98</w:t>
      </w:r>
      <w:r>
        <w:rPr>
          <w:rFonts w:ascii="仿宋" w:hAnsi="仿宋" w:eastAsia="仿宋" w:cs="Times New Roman"/>
          <w:kern w:val="2"/>
          <w:sz w:val="32"/>
          <w:szCs w:val="32"/>
          <w:lang w:val="zh-CN"/>
        </w:rPr>
        <w:t>万元，占0.3%</w:t>
      </w:r>
      <w:r>
        <w:rPr>
          <w:rFonts w:hint="eastAsia" w:ascii="仿宋" w:hAnsi="仿宋" w:eastAsia="仿宋" w:cs="Times New Roman"/>
          <w:kern w:val="2"/>
          <w:sz w:val="32"/>
          <w:szCs w:val="32"/>
          <w:lang w:val="zh-CN"/>
        </w:rPr>
        <w:t>。</w:t>
      </w:r>
    </w:p>
    <w:tbl>
      <w:tblPr>
        <w:tblStyle w:val="12"/>
        <w:tblW w:w="70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060"/>
      </w:tblGrid>
      <w:tr w14:paraId="74F91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598" w:hRule="atLeast"/>
          <w:jc w:val="center"/>
        </w:trPr>
        <w:tc>
          <w:tcPr>
            <w:tcW w:w="7060" w:type="dxa"/>
            <w:vAlign w:val="bottom"/>
          </w:tcPr>
          <w:p w14:paraId="72745BF7">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132715</wp:posOffset>
                  </wp:positionH>
                  <wp:positionV relativeFrom="paragraph">
                    <wp:posOffset>-476250</wp:posOffset>
                  </wp:positionV>
                  <wp:extent cx="4076700" cy="3213100"/>
                  <wp:effectExtent l="0" t="0" r="0" b="6350"/>
                  <wp:wrapNone/>
                  <wp:docPr id="17646357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35775"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76700" cy="3213100"/>
                          </a:xfrm>
                          <a:prstGeom prst="rect">
                            <a:avLst/>
                          </a:prstGeom>
                          <a:noFill/>
                          <a:ln>
                            <a:noFill/>
                          </a:ln>
                        </pic:spPr>
                      </pic:pic>
                    </a:graphicData>
                  </a:graphic>
                </wp:anchor>
              </w:drawing>
            </w:r>
          </w:p>
        </w:tc>
      </w:tr>
    </w:tbl>
    <w:p w14:paraId="12A2E93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0ED97EA2">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本单位2023年度本年支出合计4548.34万元，其中：基本支出257.54万元，占5.7%；项目支出4290.80万元，占94.3%；上缴上级支出0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193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48DBC14D">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378460</wp:posOffset>
                  </wp:positionH>
                  <wp:positionV relativeFrom="paragraph">
                    <wp:posOffset>106045</wp:posOffset>
                  </wp:positionV>
                  <wp:extent cx="4076700" cy="2813050"/>
                  <wp:effectExtent l="0" t="0" r="0" b="6350"/>
                  <wp:wrapNone/>
                  <wp:docPr id="1368636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3639"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76700" cy="2813050"/>
                          </a:xfrm>
                          <a:prstGeom prst="rect">
                            <a:avLst/>
                          </a:prstGeom>
                          <a:noFill/>
                          <a:ln>
                            <a:noFill/>
                          </a:ln>
                        </pic:spPr>
                      </pic:pic>
                    </a:graphicData>
                  </a:graphic>
                </wp:anchor>
              </w:drawing>
            </w:r>
          </w:p>
        </w:tc>
      </w:tr>
    </w:tbl>
    <w:p w14:paraId="039BF36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10D5AFE1">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70C90F12">
      <w:pPr>
        <w:pStyle w:val="10"/>
        <w:widowControl/>
        <w:snapToGrid w:val="0"/>
        <w:spacing w:beforeAutospacing="0" w:afterAutospacing="0" w:line="360" w:lineRule="auto"/>
        <w:ind w:firstLine="640" w:firstLineChars="200"/>
        <w:rPr>
          <w:rFonts w:hint="eastAsia" w:ascii="仿宋" w:hAnsi="仿宋" w:eastAsia="仿宋"/>
          <w:sz w:val="30"/>
          <w:szCs w:val="30"/>
          <w:highlight w:val="none"/>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4534.36万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减少1507.42</w:t>
      </w:r>
      <w:r>
        <w:rPr>
          <w:rFonts w:ascii="仿宋" w:hAnsi="仿宋" w:eastAsia="仿宋"/>
          <w:kern w:val="2"/>
          <w:sz w:val="32"/>
          <w:szCs w:val="32"/>
          <w:lang w:val="zh-CN"/>
        </w:rPr>
        <w:t>万元</w:t>
      </w:r>
      <w:r>
        <w:rPr>
          <w:rFonts w:ascii="仿宋" w:hAnsi="仿宋" w:eastAsia="仿宋"/>
          <w:kern w:val="2"/>
          <w:sz w:val="32"/>
          <w:szCs w:val="32"/>
        </w:rPr>
        <w:t>，降低25.0%，</w:t>
      </w:r>
      <w:r>
        <w:rPr>
          <w:rFonts w:ascii="仿宋" w:hAnsi="仿宋" w:eastAsia="仿宋"/>
          <w:kern w:val="2"/>
          <w:sz w:val="32"/>
          <w:szCs w:val="32"/>
          <w:highlight w:val="none"/>
          <w:lang w:val="zh-CN"/>
        </w:rPr>
        <w:t>主要</w:t>
      </w:r>
      <w:r>
        <w:rPr>
          <w:rFonts w:hint="eastAsia" w:ascii="仿宋" w:hAnsi="仿宋" w:eastAsia="仿宋"/>
          <w:kern w:val="2"/>
          <w:sz w:val="32"/>
          <w:szCs w:val="32"/>
          <w:highlight w:val="none"/>
          <w:lang w:val="zh-CN"/>
        </w:rPr>
        <w:t>原因是</w:t>
      </w:r>
      <w:r>
        <w:rPr>
          <w:rFonts w:hint="eastAsia" w:ascii="仿宋" w:hAnsi="仿宋" w:eastAsia="仿宋"/>
          <w:kern w:val="2"/>
          <w:sz w:val="32"/>
          <w:szCs w:val="32"/>
          <w:highlight w:val="none"/>
        </w:rPr>
        <w:t>：</w:t>
      </w:r>
      <w:r>
        <w:rPr>
          <w:rFonts w:hint="eastAsia" w:ascii="仿宋" w:hAnsi="仿宋" w:eastAsia="仿宋" w:cs="Times New Roman"/>
          <w:kern w:val="2"/>
          <w:sz w:val="32"/>
          <w:szCs w:val="32"/>
          <w:highlight w:val="none"/>
          <w:lang w:eastAsia="zh-CN"/>
        </w:rPr>
        <w:t>项目经费调减及人员保险收入减少等</w:t>
      </w:r>
      <w:r>
        <w:rPr>
          <w:rFonts w:ascii="仿宋" w:hAnsi="仿宋" w:eastAsia="仿宋"/>
          <w:kern w:val="2"/>
          <w:sz w:val="32"/>
          <w:szCs w:val="32"/>
          <w:highlight w:val="none"/>
        </w:rPr>
        <w:t>；</w:t>
      </w:r>
      <w:r>
        <w:rPr>
          <w:rFonts w:ascii="仿宋" w:hAnsi="仿宋" w:eastAsia="仿宋"/>
          <w:kern w:val="2"/>
          <w:sz w:val="32"/>
          <w:szCs w:val="32"/>
          <w:highlight w:val="none"/>
          <w:lang w:val="zh-CN"/>
        </w:rPr>
        <w:t>本年支出</w:t>
      </w:r>
      <w:r>
        <w:rPr>
          <w:rFonts w:hint="eastAsia" w:ascii="仿宋" w:hAnsi="仿宋" w:eastAsia="仿宋"/>
          <w:kern w:val="2"/>
          <w:sz w:val="32"/>
          <w:szCs w:val="32"/>
          <w:highlight w:val="none"/>
          <w:lang w:val="zh-CN"/>
        </w:rPr>
        <w:t>合计</w:t>
      </w:r>
      <w:r>
        <w:rPr>
          <w:rFonts w:ascii="仿宋" w:hAnsi="仿宋" w:eastAsia="仿宋"/>
          <w:kern w:val="2"/>
          <w:sz w:val="32"/>
          <w:szCs w:val="32"/>
          <w:highlight w:val="none"/>
        </w:rPr>
        <w:t>4534.36</w:t>
      </w:r>
      <w:r>
        <w:rPr>
          <w:rFonts w:ascii="仿宋" w:hAnsi="仿宋" w:eastAsia="仿宋"/>
          <w:kern w:val="2"/>
          <w:sz w:val="32"/>
          <w:szCs w:val="32"/>
          <w:highlight w:val="none"/>
          <w:lang w:val="zh-CN"/>
        </w:rPr>
        <w:t>元</w:t>
      </w:r>
      <w:r>
        <w:rPr>
          <w:rFonts w:ascii="仿宋" w:hAnsi="仿宋" w:eastAsia="仿宋"/>
          <w:kern w:val="2"/>
          <w:sz w:val="32"/>
          <w:szCs w:val="32"/>
          <w:highlight w:val="none"/>
        </w:rPr>
        <w:t>，</w:t>
      </w:r>
      <w:r>
        <w:rPr>
          <w:rFonts w:ascii="仿宋" w:hAnsi="仿宋" w:eastAsia="仿宋"/>
          <w:kern w:val="2"/>
          <w:sz w:val="32"/>
          <w:szCs w:val="32"/>
          <w:highlight w:val="none"/>
          <w:lang w:val="zh-CN"/>
        </w:rPr>
        <w:t>比上年</w:t>
      </w:r>
      <w:r>
        <w:rPr>
          <w:rFonts w:ascii="仿宋" w:hAnsi="仿宋" w:eastAsia="仿宋"/>
          <w:kern w:val="2"/>
          <w:sz w:val="32"/>
          <w:szCs w:val="32"/>
          <w:highlight w:val="none"/>
        </w:rPr>
        <w:t>减少1507.42</w:t>
      </w:r>
      <w:r>
        <w:rPr>
          <w:rFonts w:ascii="仿宋" w:hAnsi="仿宋" w:eastAsia="仿宋"/>
          <w:kern w:val="2"/>
          <w:sz w:val="32"/>
          <w:szCs w:val="32"/>
          <w:highlight w:val="none"/>
          <w:lang w:val="zh-CN"/>
        </w:rPr>
        <w:t>万元</w:t>
      </w:r>
      <w:r>
        <w:rPr>
          <w:rFonts w:ascii="仿宋" w:hAnsi="仿宋" w:eastAsia="仿宋"/>
          <w:kern w:val="2"/>
          <w:sz w:val="32"/>
          <w:szCs w:val="32"/>
          <w:highlight w:val="none"/>
        </w:rPr>
        <w:t>，降低25.0%，</w:t>
      </w:r>
      <w:r>
        <w:rPr>
          <w:rFonts w:ascii="仿宋" w:hAnsi="仿宋" w:eastAsia="仿宋"/>
          <w:kern w:val="2"/>
          <w:sz w:val="32"/>
          <w:szCs w:val="32"/>
          <w:highlight w:val="none"/>
          <w:lang w:val="zh-CN"/>
        </w:rPr>
        <w:t>主要</w:t>
      </w:r>
      <w:r>
        <w:rPr>
          <w:rFonts w:hint="eastAsia" w:ascii="仿宋" w:hAnsi="仿宋" w:eastAsia="仿宋"/>
          <w:kern w:val="2"/>
          <w:sz w:val="32"/>
          <w:szCs w:val="32"/>
          <w:highlight w:val="none"/>
          <w:lang w:val="zh-CN"/>
        </w:rPr>
        <w:t>原因是</w:t>
      </w:r>
      <w:r>
        <w:rPr>
          <w:rFonts w:hint="eastAsia" w:ascii="仿宋" w:hAnsi="仿宋" w:eastAsia="仿宋"/>
          <w:kern w:val="2"/>
          <w:sz w:val="32"/>
          <w:szCs w:val="32"/>
          <w:highlight w:val="none"/>
        </w:rPr>
        <w:t>：</w:t>
      </w:r>
      <w:r>
        <w:rPr>
          <w:rFonts w:hint="eastAsia" w:ascii="仿宋" w:hAnsi="仿宋" w:eastAsia="仿宋" w:cs="Times New Roman"/>
          <w:kern w:val="2"/>
          <w:sz w:val="32"/>
          <w:szCs w:val="32"/>
          <w:highlight w:val="none"/>
          <w:lang w:eastAsia="zh-CN"/>
        </w:rPr>
        <w:t>项目经费调减及人员保险支出减少等</w:t>
      </w:r>
      <w:r>
        <w:rPr>
          <w:rFonts w:ascii="仿宋" w:hAnsi="仿宋" w:eastAsia="仿宋"/>
          <w:kern w:val="2"/>
          <w:sz w:val="32"/>
          <w:szCs w:val="32"/>
          <w:highlight w:val="none"/>
          <w:lang w:val="zh-CN"/>
        </w:rPr>
        <w:t>。具体情况如下：</w:t>
      </w:r>
    </w:p>
    <w:p w14:paraId="6C54188D">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highlight w:val="yellow"/>
        </w:rPr>
      </w:pPr>
      <w:r>
        <w:rPr>
          <w:rFonts w:ascii="仿宋" w:hAnsi="仿宋" w:eastAsia="仿宋" w:cs="Times New Roman"/>
          <w:kern w:val="2"/>
          <w:sz w:val="32"/>
          <w:szCs w:val="32"/>
          <w:highlight w:val="none"/>
        </w:rPr>
        <w:t xml:space="preserve">1. </w:t>
      </w:r>
      <w:r>
        <w:rPr>
          <w:rFonts w:ascii="仿宋" w:hAnsi="仿宋" w:eastAsia="仿宋" w:cs="Times New Roman"/>
          <w:kern w:val="2"/>
          <w:sz w:val="32"/>
          <w:szCs w:val="32"/>
          <w:highlight w:val="none"/>
          <w:lang w:val="zh-CN"/>
        </w:rPr>
        <w:t>一般公共预算财政拨款本年收入</w:t>
      </w:r>
      <w:r>
        <w:rPr>
          <w:rFonts w:hint="eastAsia" w:ascii="仿宋" w:hAnsi="仿宋" w:eastAsia="仿宋"/>
          <w:kern w:val="2"/>
          <w:sz w:val="32"/>
          <w:szCs w:val="32"/>
          <w:highlight w:val="none"/>
          <w:lang w:val="zh-CN"/>
        </w:rPr>
        <w:t>合计</w:t>
      </w:r>
      <w:r>
        <w:rPr>
          <w:rFonts w:ascii="仿宋" w:hAnsi="仿宋" w:eastAsia="仿宋" w:cs="Times New Roman"/>
          <w:kern w:val="2"/>
          <w:sz w:val="32"/>
          <w:szCs w:val="32"/>
          <w:highlight w:val="none"/>
        </w:rPr>
        <w:t>3934.36</w:t>
      </w:r>
      <w:r>
        <w:rPr>
          <w:rFonts w:ascii="仿宋" w:hAnsi="仿宋" w:eastAsia="仿宋" w:cs="Times New Roman"/>
          <w:kern w:val="2"/>
          <w:sz w:val="32"/>
          <w:szCs w:val="32"/>
          <w:highlight w:val="none"/>
          <w:lang w:val="zh-CN"/>
        </w:rPr>
        <w:t>万元</w:t>
      </w:r>
      <w:r>
        <w:rPr>
          <w:rFonts w:hint="eastAsia"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比上年</w:t>
      </w:r>
      <w:r>
        <w:rPr>
          <w:rFonts w:ascii="仿宋" w:hAnsi="仿宋" w:eastAsia="仿宋" w:cs="Times New Roman"/>
          <w:kern w:val="2"/>
          <w:sz w:val="32"/>
          <w:szCs w:val="32"/>
          <w:highlight w:val="none"/>
        </w:rPr>
        <w:t>减少2107.42</w:t>
      </w:r>
      <w:r>
        <w:rPr>
          <w:rFonts w:ascii="仿宋" w:hAnsi="仿宋" w:eastAsia="仿宋" w:cs="Times New Roman"/>
          <w:kern w:val="2"/>
          <w:sz w:val="32"/>
          <w:szCs w:val="32"/>
          <w:highlight w:val="none"/>
          <w:lang w:val="zh-CN"/>
        </w:rPr>
        <w:t>万元</w:t>
      </w:r>
      <w:r>
        <w:rPr>
          <w:rFonts w:ascii="仿宋" w:hAnsi="仿宋" w:eastAsia="仿宋" w:cs="Times New Roman"/>
          <w:kern w:val="2"/>
          <w:sz w:val="32"/>
          <w:szCs w:val="32"/>
          <w:highlight w:val="none"/>
        </w:rPr>
        <w:t>，降低34.9%</w:t>
      </w:r>
      <w:r>
        <w:rPr>
          <w:rFonts w:hint="eastAsia"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eastAsia="zh-CN"/>
        </w:rPr>
        <w:t>项目经费调减及人员保险收入减少等</w:t>
      </w:r>
      <w:r>
        <w:rPr>
          <w:rFonts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本年支出</w:t>
      </w:r>
      <w:r>
        <w:rPr>
          <w:rFonts w:hint="eastAsia" w:ascii="仿宋" w:hAnsi="仿宋" w:eastAsia="仿宋"/>
          <w:kern w:val="2"/>
          <w:sz w:val="32"/>
          <w:szCs w:val="32"/>
          <w:highlight w:val="none"/>
          <w:lang w:val="zh-CN"/>
        </w:rPr>
        <w:t>合计</w:t>
      </w:r>
      <w:r>
        <w:rPr>
          <w:rFonts w:ascii="仿宋" w:hAnsi="仿宋" w:eastAsia="仿宋" w:cs="Times New Roman"/>
          <w:kern w:val="2"/>
          <w:sz w:val="32"/>
          <w:szCs w:val="32"/>
          <w:highlight w:val="none"/>
        </w:rPr>
        <w:t>3934.36万</w:t>
      </w:r>
      <w:r>
        <w:rPr>
          <w:rFonts w:ascii="仿宋" w:hAnsi="仿宋" w:eastAsia="仿宋" w:cs="Times New Roman"/>
          <w:kern w:val="2"/>
          <w:sz w:val="32"/>
          <w:szCs w:val="32"/>
          <w:highlight w:val="none"/>
          <w:lang w:val="zh-CN"/>
        </w:rPr>
        <w:t>元</w:t>
      </w:r>
      <w:r>
        <w:rPr>
          <w:rFonts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比上年</w:t>
      </w:r>
      <w:r>
        <w:rPr>
          <w:rFonts w:ascii="仿宋" w:hAnsi="仿宋" w:eastAsia="仿宋" w:cs="Times New Roman"/>
          <w:kern w:val="2"/>
          <w:sz w:val="32"/>
          <w:szCs w:val="32"/>
          <w:highlight w:val="none"/>
        </w:rPr>
        <w:t>减少2107.42</w:t>
      </w:r>
      <w:r>
        <w:rPr>
          <w:rFonts w:ascii="仿宋" w:hAnsi="仿宋" w:eastAsia="仿宋" w:cs="Times New Roman"/>
          <w:kern w:val="2"/>
          <w:sz w:val="32"/>
          <w:szCs w:val="32"/>
          <w:highlight w:val="none"/>
          <w:lang w:val="zh-CN"/>
        </w:rPr>
        <w:t>万元</w:t>
      </w:r>
      <w:r>
        <w:rPr>
          <w:rFonts w:ascii="仿宋" w:hAnsi="仿宋" w:eastAsia="仿宋" w:cs="Times New Roman"/>
          <w:kern w:val="2"/>
          <w:sz w:val="32"/>
          <w:szCs w:val="32"/>
          <w:highlight w:val="none"/>
        </w:rPr>
        <w:t>，降低34.9%，</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eastAsia="zh-CN"/>
        </w:rPr>
        <w:t>项目经费调减及人员保险支出减少等。</w:t>
      </w:r>
    </w:p>
    <w:p w14:paraId="713ED287">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highlight w:val="none"/>
        </w:rPr>
      </w:pPr>
      <w:r>
        <w:rPr>
          <w:rFonts w:ascii="仿宋" w:hAnsi="仿宋" w:eastAsia="仿宋" w:cs="Times New Roman"/>
          <w:kern w:val="2"/>
          <w:sz w:val="32"/>
          <w:szCs w:val="32"/>
          <w:highlight w:val="none"/>
        </w:rPr>
        <w:t xml:space="preserve">2. </w:t>
      </w:r>
      <w:r>
        <w:rPr>
          <w:rFonts w:ascii="仿宋" w:hAnsi="仿宋" w:eastAsia="仿宋" w:cs="Times New Roman"/>
          <w:kern w:val="2"/>
          <w:sz w:val="32"/>
          <w:szCs w:val="32"/>
          <w:highlight w:val="none"/>
          <w:lang w:val="zh-CN"/>
        </w:rPr>
        <w:t>政府性基金预算财政拨款本年收入</w:t>
      </w:r>
      <w:r>
        <w:rPr>
          <w:rFonts w:hint="eastAsia" w:ascii="仿宋" w:hAnsi="仿宋" w:eastAsia="仿宋"/>
          <w:kern w:val="2"/>
          <w:sz w:val="32"/>
          <w:szCs w:val="32"/>
          <w:highlight w:val="none"/>
          <w:lang w:val="zh-CN"/>
        </w:rPr>
        <w:t>合计</w:t>
      </w:r>
      <w:r>
        <w:rPr>
          <w:rFonts w:ascii="仿宋" w:hAnsi="仿宋" w:eastAsia="仿宋" w:cs="Times New Roman"/>
          <w:kern w:val="2"/>
          <w:sz w:val="32"/>
          <w:szCs w:val="32"/>
          <w:highlight w:val="none"/>
        </w:rPr>
        <w:t>600.00万</w:t>
      </w:r>
      <w:r>
        <w:rPr>
          <w:rFonts w:ascii="仿宋" w:hAnsi="仿宋" w:eastAsia="仿宋" w:cs="Times New Roman"/>
          <w:kern w:val="2"/>
          <w:sz w:val="32"/>
          <w:szCs w:val="32"/>
          <w:highlight w:val="none"/>
          <w:lang w:val="zh-CN"/>
        </w:rPr>
        <w:t>元</w:t>
      </w:r>
      <w:r>
        <w:rPr>
          <w:rFonts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比上年</w:t>
      </w:r>
      <w:r>
        <w:rPr>
          <w:rFonts w:ascii="仿宋" w:hAnsi="仿宋" w:eastAsia="仿宋" w:cs="Times New Roman"/>
          <w:kern w:val="2"/>
          <w:sz w:val="32"/>
          <w:szCs w:val="32"/>
          <w:highlight w:val="none"/>
        </w:rPr>
        <w:t>增加600.00</w:t>
      </w:r>
      <w:r>
        <w:rPr>
          <w:rFonts w:ascii="仿宋" w:hAnsi="仿宋" w:eastAsia="仿宋" w:cs="Times New Roman"/>
          <w:kern w:val="2"/>
          <w:sz w:val="32"/>
          <w:szCs w:val="32"/>
          <w:highlight w:val="none"/>
          <w:lang w:val="zh-CN"/>
        </w:rPr>
        <w:t>万元</w:t>
      </w:r>
      <w:r>
        <w:rPr>
          <w:rFonts w:ascii="仿宋" w:hAnsi="仿宋" w:eastAsia="仿宋" w:cs="Times New Roman"/>
          <w:kern w:val="2"/>
          <w:sz w:val="32"/>
          <w:szCs w:val="32"/>
          <w:highlight w:val="none"/>
        </w:rPr>
        <w:t>，增长</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eastAsia="zh-CN"/>
        </w:rPr>
        <w:t>北戴河医院提标阔能肿瘤中心项目专项债券资金</w:t>
      </w:r>
      <w:r>
        <w:rPr>
          <w:rFonts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本年支出</w:t>
      </w:r>
      <w:r>
        <w:rPr>
          <w:rFonts w:hint="eastAsia" w:ascii="仿宋" w:hAnsi="仿宋" w:eastAsia="仿宋"/>
          <w:kern w:val="2"/>
          <w:sz w:val="32"/>
          <w:szCs w:val="32"/>
          <w:highlight w:val="none"/>
          <w:lang w:val="zh-CN"/>
        </w:rPr>
        <w:t>合计</w:t>
      </w:r>
      <w:r>
        <w:rPr>
          <w:rFonts w:ascii="仿宋" w:hAnsi="仿宋" w:eastAsia="仿宋" w:cs="Times New Roman"/>
          <w:kern w:val="2"/>
          <w:sz w:val="32"/>
          <w:szCs w:val="32"/>
          <w:highlight w:val="none"/>
        </w:rPr>
        <w:t>600.00万</w:t>
      </w:r>
      <w:r>
        <w:rPr>
          <w:rFonts w:ascii="仿宋" w:hAnsi="仿宋" w:eastAsia="仿宋" w:cs="Times New Roman"/>
          <w:kern w:val="2"/>
          <w:sz w:val="32"/>
          <w:szCs w:val="32"/>
          <w:highlight w:val="none"/>
          <w:lang w:val="zh-CN"/>
        </w:rPr>
        <w:t>元</w:t>
      </w:r>
      <w:r>
        <w:rPr>
          <w:rFonts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比上年</w:t>
      </w:r>
      <w:r>
        <w:rPr>
          <w:rFonts w:ascii="仿宋" w:hAnsi="仿宋" w:eastAsia="仿宋" w:cs="Times New Roman"/>
          <w:kern w:val="2"/>
          <w:sz w:val="32"/>
          <w:szCs w:val="32"/>
          <w:highlight w:val="none"/>
        </w:rPr>
        <w:t>增加600.00</w:t>
      </w:r>
      <w:r>
        <w:rPr>
          <w:rFonts w:ascii="仿宋" w:hAnsi="仿宋" w:eastAsia="仿宋" w:cs="Times New Roman"/>
          <w:kern w:val="2"/>
          <w:sz w:val="32"/>
          <w:szCs w:val="32"/>
          <w:highlight w:val="none"/>
          <w:lang w:val="zh-CN"/>
        </w:rPr>
        <w:t>万元</w:t>
      </w:r>
      <w:r>
        <w:rPr>
          <w:rFonts w:ascii="仿宋" w:hAnsi="仿宋" w:eastAsia="仿宋" w:cs="Times New Roman"/>
          <w:kern w:val="2"/>
          <w:sz w:val="32"/>
          <w:szCs w:val="32"/>
          <w:highlight w:val="none"/>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cs="Times New Roman"/>
          <w:kern w:val="2"/>
          <w:sz w:val="32"/>
          <w:szCs w:val="32"/>
          <w:highlight w:val="none"/>
          <w:lang w:eastAsia="zh-CN"/>
        </w:rPr>
        <w:t>拨付北戴河医院提标阔能肿瘤中心项目专项债券资金</w:t>
      </w:r>
      <w:r>
        <w:rPr>
          <w:rFonts w:ascii="仿宋" w:hAnsi="仿宋" w:eastAsia="仿宋" w:cs="Times New Roman"/>
          <w:kern w:val="2"/>
          <w:sz w:val="32"/>
          <w:szCs w:val="32"/>
          <w:highlight w:val="none"/>
          <w:lang w:val="zh-CN"/>
        </w:rPr>
        <w:t>。</w:t>
      </w:r>
    </w:p>
    <w:p w14:paraId="121F883F">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5F8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5EBA8E75">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378460</wp:posOffset>
                  </wp:positionH>
                  <wp:positionV relativeFrom="paragraph">
                    <wp:posOffset>57150</wp:posOffset>
                  </wp:positionV>
                  <wp:extent cx="4076700" cy="3175000"/>
                  <wp:effectExtent l="0" t="0" r="0" b="6350"/>
                  <wp:wrapNone/>
                  <wp:docPr id="10615758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75827"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76700" cy="3175000"/>
                          </a:xfrm>
                          <a:prstGeom prst="rect">
                            <a:avLst/>
                          </a:prstGeom>
                          <a:noFill/>
                          <a:ln>
                            <a:noFill/>
                          </a:ln>
                        </pic:spPr>
                      </pic:pic>
                    </a:graphicData>
                  </a:graphic>
                </wp:anchor>
              </w:drawing>
            </w:r>
          </w:p>
        </w:tc>
      </w:tr>
    </w:tbl>
    <w:p w14:paraId="0A03FFD6">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4BD42F6A">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4534.36万元，完成年初预算的128.8%，比年初预算增加1013.01万元，决算数大于预算数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eastAsia="zh-CN"/>
        </w:rPr>
        <w:t>含中央、省级、市级各项目专项资金</w:t>
      </w:r>
      <w:r>
        <w:rPr>
          <w:rFonts w:ascii="仿宋" w:hAnsi="仿宋" w:eastAsia="仿宋" w:cs="Times New Roman"/>
          <w:kern w:val="2"/>
          <w:sz w:val="32"/>
          <w:szCs w:val="32"/>
          <w:highlight w:val="none"/>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4534.36万元，完成年初预算的128.8%，比年初预算增加1013.01万元，决算数大于预算数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eastAsia="zh-CN"/>
        </w:rPr>
        <w:t>含中央、省级、市级各项目专项资金</w:t>
      </w:r>
      <w:r>
        <w:rPr>
          <w:rFonts w:ascii="仿宋" w:hAnsi="仿宋" w:eastAsia="仿宋" w:cs="Times New Roman"/>
          <w:kern w:val="2"/>
          <w:sz w:val="32"/>
          <w:szCs w:val="32"/>
          <w:highlight w:val="none"/>
          <w:lang w:val="zh-CN"/>
        </w:rPr>
        <w:t>。</w:t>
      </w:r>
      <w:r>
        <w:rPr>
          <w:rFonts w:ascii="仿宋" w:hAnsi="仿宋" w:eastAsia="仿宋" w:cs="Times New Roman"/>
          <w:kern w:val="2"/>
          <w:sz w:val="32"/>
          <w:szCs w:val="32"/>
          <w:lang w:val="zh-CN"/>
        </w:rPr>
        <w:t>具体情况如下：</w:t>
      </w:r>
    </w:p>
    <w:p w14:paraId="30D1DFF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highlight w:val="none"/>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3934.36</w:t>
      </w:r>
      <w:r>
        <w:rPr>
          <w:rFonts w:ascii="仿宋" w:hAnsi="仿宋" w:eastAsia="仿宋" w:cs="Times New Roman"/>
          <w:kern w:val="2"/>
          <w:sz w:val="32"/>
          <w:szCs w:val="32"/>
          <w:lang w:val="zh-CN"/>
        </w:rPr>
        <w:t>万元，完成年初预算的111.7%，比年初预算增加413.01万元，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eastAsia="zh-CN"/>
        </w:rPr>
        <w:t>含中央、省级、市级各项目专项资金</w:t>
      </w:r>
      <w:r>
        <w:rPr>
          <w:rFonts w:ascii="仿宋" w:hAnsi="仿宋" w:eastAsia="仿宋" w:cs="Times New Roman"/>
          <w:kern w:val="2"/>
          <w:sz w:val="32"/>
          <w:szCs w:val="32"/>
          <w:highlight w:val="none"/>
          <w:lang w:val="zh-CN"/>
        </w:rPr>
        <w:t>；本年支出</w:t>
      </w:r>
      <w:r>
        <w:rPr>
          <w:rFonts w:hint="eastAsia" w:ascii="仿宋" w:hAnsi="仿宋" w:eastAsia="仿宋"/>
          <w:kern w:val="2"/>
          <w:sz w:val="32"/>
          <w:szCs w:val="32"/>
          <w:highlight w:val="none"/>
          <w:lang w:val="zh-CN"/>
        </w:rPr>
        <w:t>合计</w:t>
      </w:r>
      <w:r>
        <w:rPr>
          <w:rFonts w:hint="eastAsia" w:ascii="仿宋" w:hAnsi="仿宋" w:eastAsia="仿宋" w:cs="Times New Roman"/>
          <w:kern w:val="2"/>
          <w:sz w:val="32"/>
          <w:szCs w:val="32"/>
          <w:highlight w:val="none"/>
        </w:rPr>
        <w:t>3934.36</w:t>
      </w:r>
      <w:r>
        <w:rPr>
          <w:rFonts w:ascii="仿宋" w:hAnsi="仿宋" w:eastAsia="仿宋" w:cs="Times New Roman"/>
          <w:kern w:val="2"/>
          <w:sz w:val="32"/>
          <w:szCs w:val="32"/>
          <w:highlight w:val="none"/>
          <w:lang w:val="zh-CN"/>
        </w:rPr>
        <w:t>万元，完成年初预算的111.7%，比年初预算增加413.01万元，主要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eastAsia="zh-CN"/>
        </w:rPr>
        <w:t>含中央、省级、市级各项目专项资金</w:t>
      </w:r>
      <w:r>
        <w:rPr>
          <w:rFonts w:ascii="仿宋" w:hAnsi="仿宋" w:eastAsia="仿宋" w:cs="Times New Roman"/>
          <w:kern w:val="2"/>
          <w:sz w:val="32"/>
          <w:szCs w:val="32"/>
          <w:highlight w:val="none"/>
          <w:lang w:val="zh-CN"/>
        </w:rPr>
        <w:t>。</w:t>
      </w:r>
    </w:p>
    <w:p w14:paraId="7E89847B">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highlight w:val="none"/>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600.00万元</w:t>
      </w:r>
      <w:r>
        <w:rPr>
          <w:rFonts w:ascii="仿宋" w:hAnsi="仿宋" w:eastAsia="仿宋" w:cs="Times New Roman"/>
          <w:kern w:val="2"/>
          <w:sz w:val="32"/>
          <w:szCs w:val="32"/>
          <w:lang w:val="zh-CN"/>
        </w:rPr>
        <w:t>，比年初预算增加600.00万元，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原因是：增加</w:t>
      </w:r>
      <w:r>
        <w:rPr>
          <w:rFonts w:hint="eastAsia" w:ascii="仿宋" w:hAnsi="仿宋" w:eastAsia="仿宋" w:cs="Times New Roman"/>
          <w:kern w:val="2"/>
          <w:sz w:val="32"/>
          <w:szCs w:val="32"/>
          <w:highlight w:val="none"/>
          <w:lang w:eastAsia="zh-CN"/>
        </w:rPr>
        <w:t>北戴河医院提标阔能肿瘤中心项目专项债券资金</w:t>
      </w:r>
      <w:r>
        <w:rPr>
          <w:rFonts w:ascii="仿宋" w:hAnsi="仿宋" w:eastAsia="仿宋" w:cs="Times New Roman"/>
          <w:kern w:val="2"/>
          <w:sz w:val="32"/>
          <w:szCs w:val="32"/>
          <w:highlight w:val="none"/>
          <w:lang w:val="zh-CN"/>
        </w:rPr>
        <w:t>；本年支出</w:t>
      </w:r>
      <w:r>
        <w:rPr>
          <w:rFonts w:hint="eastAsia" w:ascii="仿宋" w:hAnsi="仿宋" w:eastAsia="仿宋"/>
          <w:kern w:val="2"/>
          <w:sz w:val="32"/>
          <w:szCs w:val="32"/>
          <w:highlight w:val="none"/>
          <w:lang w:val="zh-CN"/>
        </w:rPr>
        <w:t>合计</w:t>
      </w:r>
      <w:r>
        <w:rPr>
          <w:rFonts w:hint="eastAsia" w:ascii="仿宋" w:hAnsi="仿宋" w:eastAsia="仿宋" w:cs="Times New Roman"/>
          <w:kern w:val="2"/>
          <w:sz w:val="32"/>
          <w:szCs w:val="32"/>
          <w:highlight w:val="none"/>
        </w:rPr>
        <w:t>600.00万元</w:t>
      </w:r>
      <w:r>
        <w:rPr>
          <w:rFonts w:ascii="仿宋" w:hAnsi="仿宋" w:eastAsia="仿宋" w:cs="Times New Roman"/>
          <w:kern w:val="2"/>
          <w:sz w:val="32"/>
          <w:szCs w:val="32"/>
          <w:highlight w:val="none"/>
          <w:lang w:val="zh-CN"/>
        </w:rPr>
        <w:t>，比年初预算增加600.00万元，主要</w:t>
      </w:r>
      <w:r>
        <w:rPr>
          <w:rFonts w:hint="eastAsia" w:ascii="仿宋" w:hAnsi="仿宋" w:eastAsia="仿宋" w:cs="Times New Roman"/>
          <w:kern w:val="2"/>
          <w:sz w:val="32"/>
          <w:szCs w:val="32"/>
          <w:highlight w:val="none"/>
          <w:lang w:val="zh-CN"/>
        </w:rPr>
        <w:t>原因是：增加</w:t>
      </w:r>
      <w:r>
        <w:rPr>
          <w:rFonts w:hint="eastAsia" w:ascii="仿宋" w:hAnsi="仿宋" w:eastAsia="仿宋" w:cs="Times New Roman"/>
          <w:kern w:val="2"/>
          <w:sz w:val="32"/>
          <w:szCs w:val="32"/>
          <w:highlight w:val="none"/>
          <w:lang w:eastAsia="zh-CN"/>
        </w:rPr>
        <w:t>北戴河医院提标阔能肿瘤中心项目专项债券资金</w:t>
      </w:r>
      <w:r>
        <w:rPr>
          <w:rFonts w:ascii="仿宋" w:hAnsi="仿宋" w:eastAsia="仿宋" w:cs="Times New Roman"/>
          <w:kern w:val="2"/>
          <w:sz w:val="32"/>
          <w:szCs w:val="32"/>
          <w:highlight w:val="none"/>
          <w:lang w:val="zh-CN"/>
        </w:rPr>
        <w:t>。</w:t>
      </w:r>
    </w:p>
    <w:p w14:paraId="79C54DF4">
      <w:pPr>
        <w:autoSpaceDE w:val="0"/>
        <w:autoSpaceDN w:val="0"/>
        <w:adjustRightInd w:val="0"/>
        <w:snapToGrid w:val="0"/>
        <w:spacing w:after="0" w:line="360" w:lineRule="auto"/>
        <w:ind w:firstLine="640" w:firstLineChars="200"/>
        <w:jc w:val="left"/>
        <w:rPr>
          <w:rFonts w:ascii="Times New Roman" w:hAnsi="Times New Roman" w:eastAsia="仿宋_GB2312" w:cs="Times New Roman"/>
          <w:color w:val="000000"/>
          <w:sz w:val="33"/>
          <w:szCs w:val="33"/>
          <w:shd w:val="clear" w:color="auto" w:fill="FFFFFF"/>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0F9E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214C853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80768" behindDoc="0" locked="0" layoutInCell="1" allowOverlap="1">
                  <wp:simplePos x="0" y="0"/>
                  <wp:positionH relativeFrom="column">
                    <wp:posOffset>381000</wp:posOffset>
                  </wp:positionH>
                  <wp:positionV relativeFrom="paragraph">
                    <wp:posOffset>271145</wp:posOffset>
                  </wp:positionV>
                  <wp:extent cx="4070350" cy="2857500"/>
                  <wp:effectExtent l="0" t="0" r="6350" b="0"/>
                  <wp:wrapNone/>
                  <wp:docPr id="5685834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83474"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070350" cy="2857500"/>
                          </a:xfrm>
                          <a:prstGeom prst="rect">
                            <a:avLst/>
                          </a:prstGeom>
                          <a:noFill/>
                          <a:ln>
                            <a:noFill/>
                          </a:ln>
                        </pic:spPr>
                      </pic:pic>
                    </a:graphicData>
                  </a:graphic>
                </wp:anchor>
              </w:drawing>
            </w:r>
          </w:p>
        </w:tc>
      </w:tr>
    </w:tbl>
    <w:p w14:paraId="57CE7A1E">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272FAA24">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4534.36</w:t>
      </w:r>
      <w:r>
        <w:rPr>
          <w:rFonts w:ascii="仿宋" w:hAnsi="仿宋" w:eastAsia="仿宋" w:cs="Times New Roman"/>
          <w:kern w:val="2"/>
          <w:sz w:val="32"/>
          <w:szCs w:val="32"/>
          <w:lang w:val="zh-CN"/>
        </w:rPr>
        <w:t>万元，主要用于以下方面：</w:t>
      </w:r>
    </w:p>
    <w:p w14:paraId="6A9EE75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hint="eastAsia" w:ascii="仿宋" w:hAnsi="仿宋" w:eastAsia="仿宋" w:cs="仿宋_GB2312"/>
          <w:sz w:val="32"/>
          <w:szCs w:val="32"/>
        </w:rPr>
        <w:t>社会保障和就业（类）支出105.64万元，占2.3%，</w:t>
      </w:r>
      <w:r>
        <w:rPr>
          <w:rFonts w:hint="eastAsia" w:ascii="仿宋" w:hAnsi="仿宋" w:eastAsia="仿宋" w:cs="仿宋_GB2312"/>
          <w:sz w:val="32"/>
          <w:szCs w:val="32"/>
          <w:highlight w:val="none"/>
        </w:rPr>
        <w:t>主要用于社会保障等支出；卫生健康（类）支出3813.17万元，占84.1%，主要用于卫生健康业务等支出；住房保障（类）</w:t>
      </w:r>
      <w:r>
        <w:rPr>
          <w:rFonts w:hint="eastAsia" w:ascii="仿宋" w:hAnsi="仿宋" w:eastAsia="仿宋" w:cs="仿宋_GB2312"/>
          <w:sz w:val="32"/>
          <w:szCs w:val="32"/>
        </w:rPr>
        <w:t>支出15.54万元，占0.3%，</w:t>
      </w:r>
      <w:r>
        <w:rPr>
          <w:rFonts w:hint="eastAsia" w:ascii="仿宋" w:hAnsi="仿宋" w:eastAsia="仿宋" w:cs="仿宋_GB2312"/>
          <w:sz w:val="32"/>
          <w:szCs w:val="32"/>
          <w:highlight w:val="none"/>
        </w:rPr>
        <w:t>主要用于住房保障等支出</w:t>
      </w:r>
      <w:r>
        <w:rPr>
          <w:rFonts w:hint="eastAsia" w:ascii="仿宋" w:hAnsi="仿宋" w:eastAsia="仿宋" w:cs="仿宋_GB2312"/>
          <w:sz w:val="32"/>
          <w:szCs w:val="32"/>
        </w:rPr>
        <w:t>；</w:t>
      </w:r>
      <w:r>
        <w:rPr>
          <w:rFonts w:hint="eastAsia" w:ascii="仿宋" w:hAnsi="仿宋" w:eastAsia="仿宋" w:cs="仿宋_GB2312"/>
          <w:kern w:val="2"/>
          <w:sz w:val="32"/>
          <w:szCs w:val="32"/>
          <w:lang w:val="zh-CN"/>
        </w:rPr>
        <w:t>其他（类）支出</w:t>
      </w:r>
      <w:r>
        <w:rPr>
          <w:rFonts w:hint="eastAsia" w:ascii="仿宋" w:hAnsi="仿宋" w:eastAsia="仿宋" w:cs="仿宋_GB2312"/>
          <w:kern w:val="2"/>
          <w:sz w:val="32"/>
          <w:szCs w:val="32"/>
        </w:rPr>
        <w:t>600.00</w:t>
      </w:r>
      <w:r>
        <w:rPr>
          <w:rFonts w:hint="eastAsia" w:ascii="仿宋" w:hAnsi="仿宋" w:eastAsia="仿宋" w:cs="仿宋_GB2312"/>
          <w:kern w:val="2"/>
          <w:sz w:val="32"/>
          <w:szCs w:val="32"/>
          <w:lang w:val="zh-CN"/>
        </w:rPr>
        <w:t>万元，占</w:t>
      </w:r>
      <w:r>
        <w:rPr>
          <w:rFonts w:hint="eastAsia" w:ascii="仿宋" w:hAnsi="仿宋" w:eastAsia="仿宋" w:cs="仿宋_GB2312"/>
          <w:kern w:val="2"/>
          <w:sz w:val="32"/>
          <w:szCs w:val="32"/>
        </w:rPr>
        <w:t>13.2</w:t>
      </w:r>
      <w:r>
        <w:rPr>
          <w:rFonts w:hint="eastAsia" w:ascii="仿宋" w:hAnsi="仿宋" w:eastAsia="仿宋" w:cs="仿宋_GB2312"/>
          <w:kern w:val="2"/>
          <w:sz w:val="32"/>
          <w:szCs w:val="32"/>
          <w:lang w:val="zh-CN"/>
        </w:rPr>
        <w:t>%</w:t>
      </w:r>
      <w:r>
        <w:rPr>
          <w:rFonts w:hint="eastAsia" w:ascii="仿宋" w:hAnsi="仿宋" w:eastAsia="仿宋" w:cs="仿宋_GB2312"/>
          <w:sz w:val="32"/>
          <w:szCs w:val="32"/>
        </w:rPr>
        <w:t>，</w:t>
      </w:r>
      <w:r>
        <w:rPr>
          <w:rFonts w:hint="eastAsia" w:ascii="仿宋" w:hAnsi="仿宋" w:eastAsia="仿宋" w:cs="仿宋_GB2312"/>
          <w:sz w:val="32"/>
          <w:szCs w:val="32"/>
          <w:highlight w:val="none"/>
        </w:rPr>
        <w:t>主要用于</w:t>
      </w:r>
      <w:r>
        <w:rPr>
          <w:rFonts w:hint="eastAsia" w:ascii="仿宋" w:hAnsi="仿宋" w:eastAsia="仿宋" w:cs="Times New Roman"/>
          <w:kern w:val="2"/>
          <w:sz w:val="32"/>
          <w:szCs w:val="32"/>
          <w:highlight w:val="none"/>
          <w:lang w:eastAsia="zh-CN"/>
        </w:rPr>
        <w:t>北戴河医院提标阔能肿瘤中心项目专项债券资金</w:t>
      </w:r>
      <w:r>
        <w:rPr>
          <w:rFonts w:ascii="仿宋" w:hAnsi="仿宋" w:eastAsia="仿宋"/>
          <w:kern w:val="2"/>
          <w:sz w:val="32"/>
          <w:szCs w:val="32"/>
          <w:lang w:val="zh-CN"/>
        </w:rPr>
        <w:t>。</w:t>
      </w:r>
    </w:p>
    <w:p w14:paraId="6D1ED524">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52E3B7AB">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2023年度财政拨款基本支出257.54万元，其中：</w:t>
      </w:r>
    </w:p>
    <w:p w14:paraId="050A030D">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249.78万元，主要包括:基本工资、津贴补贴、奖金、机关事业单位基本养老保险缴费、职工基本医疗保险缴费、公务员医疗补助缴费、其他社会保障缴费、住房公积金、离休费、退休费、奖励金、其他对个人和家庭的补助；</w:t>
      </w:r>
    </w:p>
    <w:p w14:paraId="6C23BAB9">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公用经费7.76万元，主要包括:办公费、差旅费、工会经费、福利费、公务用车运行维护费、其他商品和服务支出。</w:t>
      </w:r>
    </w:p>
    <w:p w14:paraId="31BF437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118C1A9A">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46E54EC7">
      <w:pPr>
        <w:pStyle w:val="10"/>
        <w:widowControl/>
        <w:snapToGrid w:val="0"/>
        <w:spacing w:beforeAutospacing="0" w:afterAutospacing="0" w:line="360" w:lineRule="auto"/>
        <w:ind w:firstLine="640" w:firstLineChars="200"/>
        <w:rPr>
          <w:rFonts w:hint="eastAsia" w:ascii="仿宋" w:hAnsi="仿宋" w:eastAsia="仿宋"/>
          <w:kern w:val="2"/>
          <w:sz w:val="32"/>
          <w:szCs w:val="32"/>
          <w:highlight w:val="none"/>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0.57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0.57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减少0.68</w:t>
      </w:r>
      <w:r>
        <w:rPr>
          <w:rFonts w:ascii="仿宋" w:hAnsi="仿宋" w:eastAsia="仿宋"/>
          <w:kern w:val="2"/>
          <w:sz w:val="32"/>
          <w:szCs w:val="32"/>
          <w:lang w:val="zh-CN"/>
        </w:rPr>
        <w:t>万元</w:t>
      </w:r>
      <w:r>
        <w:rPr>
          <w:rFonts w:ascii="仿宋" w:hAnsi="仿宋" w:eastAsia="仿宋"/>
          <w:kern w:val="2"/>
          <w:sz w:val="32"/>
          <w:szCs w:val="32"/>
        </w:rPr>
        <w:t>，降低54.2%，</w:t>
      </w:r>
      <w:r>
        <w:rPr>
          <w:rFonts w:hint="eastAsia" w:ascii="仿宋" w:hAnsi="仿宋" w:eastAsia="仿宋"/>
          <w:kern w:val="2"/>
          <w:sz w:val="32"/>
          <w:szCs w:val="32"/>
          <w:highlight w:val="none"/>
          <w:lang w:val="zh-CN"/>
        </w:rPr>
        <w:t>主要原因是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eastAsia="zh-CN"/>
        </w:rPr>
        <w:t>本年度公务用车维修经费减少。</w:t>
      </w:r>
    </w:p>
    <w:p w14:paraId="660BF10C">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732B4182">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本单位</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r>
        <w:rPr>
          <w:rFonts w:hint="eastAsia" w:ascii="仿宋" w:hAnsi="仿宋" w:eastAsia="仿宋"/>
          <w:kern w:val="2"/>
          <w:sz w:val="32"/>
          <w:szCs w:val="32"/>
        </w:rPr>
        <w:t>、</w:t>
      </w:r>
      <w:r>
        <w:rPr>
          <w:rFonts w:ascii="仿宋" w:hAnsi="仿宋" w:eastAsia="仿宋"/>
          <w:kern w:val="2"/>
          <w:sz w:val="32"/>
          <w:szCs w:val="32"/>
        </w:rPr>
        <w:t>无本部门组织的出国（境）团组。</w:t>
      </w:r>
    </w:p>
    <w:p w14:paraId="2022681C">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年度公务用车购置及运行维护费预算为0.57万元，支出决算0.57万元，完成预算的100.0%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公务用车购置及运行维护费支出与预算持平，较上年减少0.68万元，降低54.2%</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主要是</w:t>
      </w:r>
      <w:r>
        <w:rPr>
          <w:rFonts w:hint="eastAsia" w:ascii="仿宋" w:hAnsi="仿宋" w:eastAsia="仿宋"/>
          <w:kern w:val="2"/>
          <w:sz w:val="32"/>
          <w:szCs w:val="32"/>
          <w:highlight w:val="none"/>
          <w:lang w:eastAsia="zh-CN"/>
        </w:rPr>
        <w:t>压缩预算经费</w:t>
      </w:r>
      <w:r>
        <w:rPr>
          <w:rFonts w:ascii="仿宋" w:hAnsi="仿宋" w:eastAsia="仿宋" w:cs="Times New Roman"/>
          <w:kern w:val="2"/>
          <w:sz w:val="32"/>
          <w:szCs w:val="32"/>
          <w:lang w:val="zh-CN"/>
        </w:rPr>
        <w:t>。其中：</w:t>
      </w:r>
    </w:p>
    <w:p w14:paraId="6300CA32">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3059B9B4">
      <w:pPr>
        <w:adjustRightInd w:val="0"/>
        <w:snapToGrid w:val="0"/>
        <w:spacing w:after="0" w:line="360" w:lineRule="auto"/>
        <w:ind w:firstLine="643" w:firstLineChars="200"/>
        <w:jc w:val="left"/>
        <w:rPr>
          <w:rFonts w:hint="eastAsia" w:ascii="仿宋" w:hAnsi="仿宋" w:eastAsia="仿宋" w:cs="Times New Roman"/>
          <w:kern w:val="2"/>
          <w:sz w:val="32"/>
          <w:szCs w:val="32"/>
          <w:highlight w:val="yellow"/>
          <w:lang w:val="zh-CN"/>
        </w:rPr>
      </w:pPr>
      <w:r>
        <w:rPr>
          <w:rFonts w:ascii="仿宋" w:hAnsi="仿宋" w:eastAsia="仿宋" w:cs="Times New Roman"/>
          <w:b/>
          <w:sz w:val="32"/>
          <w:szCs w:val="32"/>
        </w:rPr>
        <w:t>公务用车运行维护费支出0.57</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年度单位公务用车保有量2辆，发生运行维护费支出</w:t>
      </w:r>
      <w:r>
        <w:rPr>
          <w:rFonts w:hint="eastAsia" w:ascii="仿宋" w:hAnsi="仿宋" w:eastAsia="仿宋" w:cs="Times New Roman"/>
          <w:kern w:val="2"/>
          <w:sz w:val="32"/>
          <w:szCs w:val="32"/>
        </w:rPr>
        <w:t>0.57</w:t>
      </w:r>
      <w:r>
        <w:rPr>
          <w:rFonts w:ascii="仿宋" w:hAnsi="仿宋" w:eastAsia="仿宋" w:cs="Times New Roman"/>
          <w:kern w:val="2"/>
          <w:sz w:val="32"/>
          <w:szCs w:val="32"/>
          <w:lang w:val="zh-CN"/>
        </w:rPr>
        <w:t>万元。公车运行维护费支出与预算持平，较上年减少0.68万元，降低54.2%，</w:t>
      </w:r>
      <w:r>
        <w:rPr>
          <w:rFonts w:ascii="仿宋" w:hAnsi="仿宋" w:eastAsia="仿宋" w:cs="Times New Roman"/>
          <w:kern w:val="2"/>
          <w:sz w:val="32"/>
          <w:szCs w:val="32"/>
          <w:highlight w:val="none"/>
          <w:lang w:val="zh-CN"/>
        </w:rPr>
        <w:t>主要是</w:t>
      </w:r>
      <w:r>
        <w:rPr>
          <w:rFonts w:hint="eastAsia" w:ascii="仿宋" w:hAnsi="仿宋" w:eastAsia="仿宋"/>
          <w:kern w:val="2"/>
          <w:sz w:val="32"/>
          <w:szCs w:val="32"/>
          <w:highlight w:val="none"/>
          <w:lang w:eastAsia="zh-CN"/>
        </w:rPr>
        <w:t>本年度公务用车维修经费减少。</w:t>
      </w:r>
    </w:p>
    <w:p w14:paraId="7D360A8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14:paraId="1D3FAD1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2EE064E3">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年度机关运行经费支出</w:t>
      </w:r>
      <w:r>
        <w:rPr>
          <w:rFonts w:ascii="仿宋" w:hAnsi="仿宋" w:eastAsia="仿宋"/>
          <w:kern w:val="2"/>
          <w:sz w:val="32"/>
          <w:szCs w:val="32"/>
        </w:rPr>
        <w:t>7.76</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减少18.08</w:t>
      </w:r>
      <w:r>
        <w:rPr>
          <w:rFonts w:ascii="仿宋" w:hAnsi="仿宋" w:eastAsia="仿宋"/>
          <w:kern w:val="2"/>
          <w:sz w:val="32"/>
          <w:szCs w:val="32"/>
          <w:lang w:val="zh-CN"/>
        </w:rPr>
        <w:t>万元</w:t>
      </w:r>
      <w:r>
        <w:rPr>
          <w:rFonts w:ascii="仿宋" w:hAnsi="仿宋" w:eastAsia="仿宋"/>
          <w:kern w:val="2"/>
          <w:sz w:val="32"/>
          <w:szCs w:val="32"/>
        </w:rPr>
        <w:t>，降低70.0%</w:t>
      </w:r>
      <w:r>
        <w:rPr>
          <w:rFonts w:ascii="仿宋" w:hAnsi="仿宋" w:eastAsia="仿宋"/>
          <w:kern w:val="2"/>
          <w:sz w:val="32"/>
          <w:szCs w:val="32"/>
          <w:lang w:val="zh-CN"/>
        </w:rPr>
        <w:t>。</w:t>
      </w:r>
      <w:r>
        <w:rPr>
          <w:rFonts w:ascii="仿宋" w:hAnsi="仿宋" w:eastAsia="仿宋"/>
          <w:kern w:val="2"/>
          <w:sz w:val="32"/>
          <w:szCs w:val="32"/>
          <w:highlight w:val="none"/>
          <w:lang w:val="zh-CN"/>
        </w:rPr>
        <w:t>主要原因</w:t>
      </w:r>
      <w:r>
        <w:rPr>
          <w:rFonts w:hint="eastAsia" w:ascii="仿宋" w:hAnsi="仿宋" w:eastAsia="仿宋"/>
          <w:kern w:val="2"/>
          <w:sz w:val="32"/>
          <w:szCs w:val="32"/>
          <w:highlight w:val="none"/>
          <w:lang w:val="zh-CN"/>
        </w:rPr>
        <w:t>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eastAsia="zh-CN"/>
        </w:rPr>
        <w:t>本年度</w:t>
      </w:r>
      <w:bookmarkStart w:id="1" w:name="_GoBack"/>
      <w:bookmarkEnd w:id="1"/>
      <w:r>
        <w:rPr>
          <w:rFonts w:hint="eastAsia" w:ascii="仿宋" w:hAnsi="仿宋" w:eastAsia="仿宋"/>
          <w:kern w:val="2"/>
          <w:sz w:val="32"/>
          <w:szCs w:val="32"/>
          <w:highlight w:val="none"/>
          <w:lang w:eastAsia="zh-CN"/>
        </w:rPr>
        <w:t>办公经费减少。</w:t>
      </w:r>
    </w:p>
    <w:p w14:paraId="718B12E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7F614231">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本单位202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14:paraId="51355201">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6975E2F0">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年12月31日，本单位共有车辆2辆，与上年持平。其中，副部（省）级及以上领导用车0辆，主要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用车0辆，机要通信用车0辆，应急保障用车0辆，执法执勤用车0辆，特种专业技术用车0辆，离退休干部用车0辆，其他用车2辆，</w:t>
      </w:r>
      <w:r>
        <w:rPr>
          <w:rFonts w:hint="eastAsia" w:ascii="仿宋" w:hAnsi="仿宋" w:eastAsia="仿宋" w:cs="仿宋_GB2312"/>
          <w:sz w:val="32"/>
          <w:szCs w:val="32"/>
          <w:highlight w:val="none"/>
        </w:rPr>
        <w:t>其他用车主要是</w:t>
      </w:r>
      <w:r>
        <w:rPr>
          <w:rFonts w:hint="eastAsia" w:ascii="仿宋" w:hAnsi="仿宋" w:eastAsia="仿宋" w:cs="DengXian-Regular"/>
          <w:sz w:val="32"/>
          <w:szCs w:val="32"/>
          <w:highlight w:val="none"/>
          <w:lang w:eastAsia="zh-CN"/>
        </w:rPr>
        <w:t>消杀车一辆、公务用车一辆</w:t>
      </w:r>
      <w:r>
        <w:rPr>
          <w:rFonts w:ascii="仿宋" w:hAnsi="仿宋" w:eastAsia="仿宋"/>
          <w:kern w:val="2"/>
          <w:sz w:val="32"/>
          <w:szCs w:val="32"/>
          <w:lang w:val="zh-CN"/>
        </w:rPr>
        <w:t>。</w:t>
      </w:r>
    </w:p>
    <w:p w14:paraId="0597C21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29FE8C8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25620783">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3CC6F8B8">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根据预算绩效管理要求，本单位组织对2023年度一般公共预算项目支出全面开展绩效自评，其中，一级项目</w:t>
      </w:r>
      <w:r>
        <w:rPr>
          <w:rFonts w:hint="eastAsia" w:ascii="仿宋" w:hAnsi="仿宋" w:eastAsia="仿宋"/>
          <w:kern w:val="2"/>
          <w:sz w:val="32"/>
          <w:szCs w:val="32"/>
          <w:lang w:val="en-US" w:eastAsia="zh-CN"/>
        </w:rPr>
        <w:t>56</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个，共涉及资金</w:t>
      </w:r>
      <w:r>
        <w:rPr>
          <w:rFonts w:ascii="仿宋" w:hAnsi="仿宋" w:eastAsia="仿宋" w:cs="Times New Roman"/>
          <w:kern w:val="2"/>
          <w:sz w:val="32"/>
          <w:szCs w:val="32"/>
          <w:lang w:val="zh-CN"/>
        </w:rPr>
        <w:t>4290.80</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lang w:val="en-US" w:eastAsia="zh-CN"/>
        </w:rPr>
        <w:t>100.0</w:t>
      </w:r>
      <w:r>
        <w:rPr>
          <w:rFonts w:ascii="仿宋" w:hAnsi="仿宋" w:eastAsia="仿宋"/>
          <w:kern w:val="2"/>
          <w:sz w:val="32"/>
          <w:szCs w:val="32"/>
          <w:lang w:val="zh-CN"/>
        </w:rPr>
        <w:t>%。组织对2023年度</w:t>
      </w:r>
      <w:r>
        <w:rPr>
          <w:rFonts w:hint="eastAsia" w:ascii="仿宋" w:hAnsi="仿宋" w:eastAsia="仿宋" w:cs="Times New Roman"/>
          <w:kern w:val="2"/>
          <w:sz w:val="32"/>
          <w:szCs w:val="32"/>
          <w:highlight w:val="none"/>
          <w:lang w:eastAsia="zh-CN"/>
        </w:rPr>
        <w:t>北戴河医院提标阔能肿瘤中心项目专项债券资金</w:t>
      </w:r>
      <w:r>
        <w:rPr>
          <w:rFonts w:hint="eastAsia" w:ascii="仿宋" w:hAnsi="仿宋" w:eastAsia="仿宋"/>
          <w:kern w:val="2"/>
          <w:sz w:val="32"/>
          <w:szCs w:val="32"/>
          <w:lang w:val="en-US" w:eastAsia="zh-CN"/>
        </w:rPr>
        <w:t>1</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600.00</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100.0</w:t>
      </w:r>
      <w:r>
        <w:rPr>
          <w:rFonts w:ascii="仿宋" w:hAnsi="仿宋" w:eastAsia="仿宋"/>
          <w:kern w:val="2"/>
          <w:sz w:val="32"/>
          <w:szCs w:val="32"/>
          <w:lang w:val="zh-CN"/>
        </w:rPr>
        <w:t>%。</w:t>
      </w:r>
      <w:r>
        <w:rPr>
          <w:rFonts w:hint="eastAsia" w:ascii="仿宋" w:hAnsi="仿宋" w:eastAsia="仿宋"/>
          <w:kern w:val="2"/>
          <w:sz w:val="32"/>
          <w:szCs w:val="32"/>
          <w:lang w:val="zh-CN"/>
        </w:rPr>
        <w:t>无</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个国有资本经营预算项目支出开展绩效自评，共涉及资金</w:t>
      </w:r>
      <w:r>
        <w:rPr>
          <w:rFonts w:hint="eastAsia" w:ascii="仿宋" w:hAnsi="仿宋" w:eastAsia="仿宋"/>
          <w:kern w:val="2"/>
          <w:sz w:val="32"/>
          <w:szCs w:val="32"/>
          <w:lang w:val="en-US" w:eastAsia="zh-CN"/>
        </w:rPr>
        <w:t>0.00</w:t>
      </w:r>
      <w:r>
        <w:rPr>
          <w:rFonts w:ascii="仿宋" w:hAnsi="仿宋" w:eastAsia="仿宋"/>
          <w:kern w:val="2"/>
          <w:sz w:val="32"/>
          <w:szCs w:val="32"/>
          <w:lang w:val="zh-CN"/>
        </w:rPr>
        <w:t>万元，占国有资本经营预算项目支出总额的</w:t>
      </w:r>
      <w:r>
        <w:rPr>
          <w:rFonts w:hint="eastAsia" w:ascii="仿宋" w:hAnsi="仿宋" w:eastAsia="仿宋"/>
          <w:kern w:val="2"/>
          <w:sz w:val="32"/>
          <w:szCs w:val="32"/>
          <w:lang w:val="en-US" w:eastAsia="zh-CN"/>
        </w:rPr>
        <w:t>0.0</w:t>
      </w:r>
      <w:r>
        <w:rPr>
          <w:rFonts w:ascii="仿宋" w:hAnsi="仿宋" w:eastAsia="仿宋"/>
          <w:kern w:val="2"/>
          <w:sz w:val="32"/>
          <w:szCs w:val="32"/>
          <w:lang w:val="zh-CN"/>
        </w:rPr>
        <w:t>%。</w:t>
      </w:r>
    </w:p>
    <w:p w14:paraId="1B941D41">
      <w:pPr>
        <w:adjustRightInd w:val="0"/>
        <w:snapToGrid w:val="0"/>
        <w:spacing w:line="580" w:lineRule="exact"/>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组织对</w:t>
      </w:r>
      <w:r>
        <w:rPr>
          <w:rFonts w:hint="eastAsia" w:ascii="仿宋" w:hAnsi="仿宋" w:eastAsia="仿宋" w:cs="仿宋_GB2312"/>
          <w:sz w:val="32"/>
          <w:szCs w:val="32"/>
          <w:highlight w:val="none"/>
          <w:lang w:eastAsia="zh-CN"/>
        </w:rPr>
        <w:t>基本公共卫生服务补助资金</w:t>
      </w:r>
      <w:r>
        <w:rPr>
          <w:rFonts w:ascii="仿宋" w:hAnsi="仿宋" w:eastAsia="仿宋"/>
          <w:kern w:val="2"/>
          <w:sz w:val="32"/>
          <w:szCs w:val="32"/>
          <w:lang w:val="zh-CN"/>
        </w:rPr>
        <w:t>等</w:t>
      </w:r>
      <w:r>
        <w:rPr>
          <w:rFonts w:hint="eastAsia" w:ascii="仿宋" w:hAnsi="仿宋" w:eastAsia="仿宋"/>
          <w:kern w:val="2"/>
          <w:sz w:val="32"/>
          <w:szCs w:val="32"/>
          <w:lang w:val="en-US" w:eastAsia="zh-CN"/>
        </w:rPr>
        <w:t>56</w:t>
      </w:r>
      <w:r>
        <w:rPr>
          <w:rFonts w:ascii="仿宋" w:hAnsi="仿宋" w:eastAsia="仿宋"/>
          <w:kern w:val="2"/>
          <w:sz w:val="32"/>
          <w:szCs w:val="32"/>
          <w:lang w:val="zh-CN"/>
        </w:rPr>
        <w:t>个项目开展了部门评价，涉及一般公共预算支出</w:t>
      </w:r>
      <w:r>
        <w:rPr>
          <w:rFonts w:ascii="仿宋" w:hAnsi="仿宋" w:eastAsia="仿宋" w:cs="Times New Roman"/>
          <w:kern w:val="2"/>
          <w:sz w:val="32"/>
          <w:szCs w:val="32"/>
          <w:lang w:val="zh-CN"/>
        </w:rPr>
        <w:t>4290.80</w:t>
      </w:r>
      <w:r>
        <w:rPr>
          <w:rFonts w:ascii="仿宋" w:hAnsi="仿宋" w:eastAsia="仿宋"/>
          <w:kern w:val="2"/>
          <w:sz w:val="32"/>
          <w:szCs w:val="32"/>
          <w:lang w:val="zh-CN"/>
        </w:rPr>
        <w:t>万元，政府性基金预算支出</w:t>
      </w:r>
      <w:r>
        <w:rPr>
          <w:rFonts w:hint="eastAsia" w:ascii="仿宋" w:hAnsi="仿宋" w:eastAsia="仿宋"/>
          <w:kern w:val="2"/>
          <w:sz w:val="32"/>
          <w:szCs w:val="32"/>
          <w:lang w:val="en-US" w:eastAsia="zh-CN"/>
        </w:rPr>
        <w:t>600</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en-US" w:eastAsia="zh-CN"/>
        </w:rPr>
        <w:t>0.00</w:t>
      </w:r>
      <w:r>
        <w:rPr>
          <w:rFonts w:ascii="仿宋" w:hAnsi="仿宋" w:eastAsia="仿宋"/>
          <w:kern w:val="2"/>
          <w:sz w:val="32"/>
          <w:szCs w:val="32"/>
          <w:lang w:val="zh-CN"/>
        </w:rPr>
        <w:t>万元。从评价情况来看，</w:t>
      </w:r>
      <w:r>
        <w:rPr>
          <w:rFonts w:hint="eastAsia" w:ascii="仿宋_GB2312" w:hAnsi="仿宋_GB2312" w:eastAsia="仿宋" w:cs="仿宋_GB2312"/>
          <w:sz w:val="32"/>
          <w:szCs w:val="32"/>
        </w:rPr>
        <w:t>规范财政资金使用，使财政资金发挥了更大的作用</w:t>
      </w:r>
      <w:r>
        <w:rPr>
          <w:rFonts w:ascii="仿宋" w:hAnsi="仿宋" w:eastAsia="仿宋"/>
          <w:sz w:val="32"/>
          <w:szCs w:val="32"/>
          <w:highlight w:val="none"/>
        </w:rPr>
        <w:t>。</w:t>
      </w:r>
    </w:p>
    <w:p w14:paraId="1C32F6A5">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w:t>
      </w:r>
    </w:p>
    <w:p w14:paraId="6A2CDBF9">
      <w:pPr>
        <w:pStyle w:val="10"/>
        <w:widowControl/>
        <w:snapToGrid w:val="0"/>
        <w:spacing w:beforeAutospacing="0" w:afterAutospacing="0" w:line="360" w:lineRule="auto"/>
        <w:ind w:firstLine="640" w:firstLineChars="200"/>
        <w:rPr>
          <w:rFonts w:ascii="仿宋" w:hAnsi="仿宋" w:eastAsia="仿宋"/>
          <w:kern w:val="2"/>
          <w:sz w:val="32"/>
          <w:szCs w:val="32"/>
          <w:lang w:val="zh-CN"/>
        </w:rPr>
      </w:pPr>
      <w:r>
        <w:rPr>
          <w:rFonts w:ascii="仿宋" w:hAnsi="仿宋" w:eastAsia="仿宋"/>
          <w:kern w:val="2"/>
          <w:sz w:val="32"/>
          <w:szCs w:val="32"/>
          <w:lang w:val="zh-CN"/>
        </w:rPr>
        <w:t>本单位在今年部门决算公开中反映</w:t>
      </w:r>
      <w:r>
        <w:rPr>
          <w:rFonts w:hint="eastAsia" w:ascii="仿宋" w:hAnsi="仿宋" w:eastAsia="仿宋" w:cs="仿宋_GB2312"/>
          <w:sz w:val="32"/>
          <w:szCs w:val="32"/>
          <w:lang w:eastAsia="zh-CN"/>
        </w:rPr>
        <w:t>中央基本公共卫生服务</w:t>
      </w:r>
      <w:r>
        <w:rPr>
          <w:rFonts w:ascii="仿宋" w:hAnsi="仿宋" w:eastAsia="仿宋"/>
          <w:kern w:val="2"/>
          <w:sz w:val="32"/>
          <w:szCs w:val="32"/>
          <w:lang w:val="zh-CN"/>
        </w:rPr>
        <w:t>项目绩效自评结果。</w:t>
      </w:r>
    </w:p>
    <w:p w14:paraId="585BE96E">
      <w:pPr>
        <w:numPr>
          <w:ilvl w:val="0"/>
          <w:numId w:val="2"/>
        </w:numPr>
        <w:adjustRightInd w:val="0"/>
        <w:snapToGrid w:val="0"/>
        <w:spacing w:line="580" w:lineRule="exact"/>
        <w:ind w:left="-10" w:firstLine="640"/>
        <w:rPr>
          <w:rFonts w:ascii="仿宋_GB2312" w:hAnsi="仿宋_GB2312" w:eastAsia="仿宋" w:cs="仿宋_GB2312"/>
          <w:sz w:val="32"/>
          <w:szCs w:val="32"/>
        </w:rPr>
      </w:pPr>
      <w:r>
        <w:rPr>
          <w:rFonts w:hint="eastAsia" w:ascii="仿宋" w:hAnsi="仿宋" w:eastAsia="仿宋" w:cs="仿宋_GB2312"/>
          <w:sz w:val="32"/>
          <w:szCs w:val="32"/>
          <w:lang w:eastAsia="zh-CN"/>
        </w:rPr>
        <w:t>基本公共卫生服务</w:t>
      </w:r>
      <w:r>
        <w:rPr>
          <w:rFonts w:hint="eastAsia" w:ascii="仿宋" w:hAnsi="仿宋" w:eastAsia="仿宋" w:cs="仿宋_GB2312"/>
          <w:sz w:val="32"/>
          <w:szCs w:val="32"/>
        </w:rPr>
        <w:t>项目自评综述：根据年初设定的绩效目标，</w:t>
      </w:r>
      <w:r>
        <w:rPr>
          <w:rFonts w:hint="eastAsia" w:ascii="仿宋" w:hAnsi="仿宋" w:eastAsia="仿宋" w:cs="仿宋_GB2312"/>
          <w:sz w:val="32"/>
          <w:szCs w:val="32"/>
          <w:lang w:eastAsia="zh-CN"/>
        </w:rPr>
        <w:t>基本公共卫生服务</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573.15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579.15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100.0%</w:t>
      </w:r>
      <w:r>
        <w:rPr>
          <w:rFonts w:hint="eastAsia" w:ascii="仿宋" w:hAnsi="仿宋" w:eastAsia="仿宋" w:cs="仿宋_GB2312"/>
          <w:sz w:val="32"/>
          <w:szCs w:val="32"/>
        </w:rPr>
        <w:t>。项目绩效目标完成情况：</w:t>
      </w:r>
      <w:r>
        <w:rPr>
          <w:rFonts w:hint="eastAsia" w:ascii="仿宋_GB2312" w:hAnsi="仿宋_GB2312" w:eastAsia="仿宋" w:cs="仿宋_GB2312"/>
          <w:sz w:val="32"/>
          <w:szCs w:val="32"/>
        </w:rPr>
        <w:t>通过项目实施，完成了年初设定的各项绩效目标，完成</w:t>
      </w:r>
      <w:r>
        <w:rPr>
          <w:rFonts w:hint="eastAsia" w:ascii="仿宋_GB2312" w:hAnsi="仿宋_GB2312" w:eastAsia="仿宋" w:cs="仿宋_GB2312"/>
          <w:sz w:val="32"/>
          <w:szCs w:val="32"/>
          <w:lang w:eastAsia="zh-CN"/>
        </w:rPr>
        <w:t>中央基本公共卫生发</w:t>
      </w:r>
      <w:r>
        <w:rPr>
          <w:rFonts w:hint="eastAsia" w:ascii="仿宋_GB2312" w:hAnsi="仿宋_GB2312" w:eastAsia="仿宋" w:cs="仿宋_GB2312"/>
          <w:sz w:val="32"/>
          <w:szCs w:val="32"/>
        </w:rPr>
        <w:t>放等，未发现问题。</w:t>
      </w:r>
    </w:p>
    <w:p w14:paraId="6E0B0980">
      <w:pPr>
        <w:snapToGrid w:val="0"/>
        <w:spacing w:after="0" w:line="360" w:lineRule="auto"/>
        <w:ind w:firstLine="200"/>
        <w:rPr>
          <w:rFonts w:ascii="仿宋" w:hAnsi="仿宋" w:eastAsia="仿宋" w:cs="Times New Roman"/>
          <w:sz w:val="32"/>
          <w:szCs w:val="32"/>
          <w:highlight w:val="none"/>
        </w:rPr>
      </w:pPr>
      <w:r>
        <w:rPr>
          <w:rFonts w:ascii="仿宋" w:hAnsi="仿宋" w:eastAsia="仿宋" w:cs="Times New Roman"/>
          <w:sz w:val="32"/>
          <w:szCs w:val="32"/>
          <w:highlight w:val="none"/>
        </w:rPr>
        <w:t>附项目支出绩效自评表</w:t>
      </w:r>
    </w:p>
    <w:p w14:paraId="2ECDE3EC">
      <w:pPr>
        <w:snapToGrid w:val="0"/>
        <w:spacing w:after="0" w:line="360" w:lineRule="auto"/>
        <w:ind w:firstLine="200"/>
        <w:rPr>
          <w:rFonts w:hint="eastAsia" w:ascii="仿宋" w:hAnsi="仿宋" w:eastAsia="仿宋" w:cs="Times New Roman"/>
          <w:sz w:val="32"/>
          <w:szCs w:val="32"/>
          <w:highlight w:val="none"/>
          <w:lang w:eastAsia="zh-CN"/>
        </w:rPr>
      </w:pPr>
      <w:r>
        <w:rPr>
          <w:rFonts w:hint="eastAsia" w:ascii="仿宋" w:hAnsi="仿宋" w:eastAsia="仿宋" w:cs="Times New Roman"/>
          <w:sz w:val="32"/>
          <w:szCs w:val="32"/>
          <w:highlight w:val="none"/>
          <w:lang w:eastAsia="zh-CN"/>
        </w:rPr>
        <w:drawing>
          <wp:inline distT="0" distB="0" distL="114300" distR="114300">
            <wp:extent cx="5263515" cy="2275205"/>
            <wp:effectExtent l="0" t="0" r="13335" b="10795"/>
            <wp:docPr id="5" name="图片 5" descr="微信图片_2024091914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19143703"/>
                    <pic:cNvPicPr>
                      <a:picLocks noChangeAspect="1"/>
                    </pic:cNvPicPr>
                  </pic:nvPicPr>
                  <pic:blipFill>
                    <a:blip r:embed="rId31"/>
                    <a:stretch>
                      <a:fillRect/>
                    </a:stretch>
                  </pic:blipFill>
                  <pic:spPr>
                    <a:xfrm>
                      <a:off x="0" y="0"/>
                      <a:ext cx="5263515" cy="2275205"/>
                    </a:xfrm>
                    <a:prstGeom prst="rect">
                      <a:avLst/>
                    </a:prstGeom>
                  </pic:spPr>
                </pic:pic>
              </a:graphicData>
            </a:graphic>
          </wp:inline>
        </w:drawing>
      </w:r>
    </w:p>
    <w:p w14:paraId="38785A9A">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14:paraId="478214E8">
      <w:pPr>
        <w:snapToGrid w:val="0"/>
        <w:spacing w:after="0" w:line="360" w:lineRule="auto"/>
        <w:ind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无部门评价项目绩效评价结果。</w:t>
      </w:r>
    </w:p>
    <w:p w14:paraId="22FAB7D5">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14:paraId="076B2A58">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1.本单位2023年度国有资本经营预算经费无收支及结转结余情况, 故公开08表以空表列示。</w:t>
      </w:r>
    </w:p>
    <w:p w14:paraId="669E9FCD">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4E7AA16C">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08DC17D">
      <w:pPr>
        <w:adjustRightInd w:val="0"/>
        <w:snapToGrid w:val="0"/>
        <w:spacing w:line="580" w:lineRule="exact"/>
        <w:ind w:firstLine="640" w:firstLineChars="200"/>
        <w:rPr>
          <w:rFonts w:ascii="Times New Roman" w:hAnsi="Times New Roman" w:eastAsia="仿宋_GB2312" w:cs="Times New Roman"/>
          <w:sz w:val="32"/>
          <w:szCs w:val="32"/>
        </w:rPr>
      </w:pPr>
    </w:p>
    <w:p w14:paraId="682F4AAD">
      <w:pPr>
        <w:adjustRightInd w:val="0"/>
        <w:snapToGrid w:val="0"/>
        <w:spacing w:line="580" w:lineRule="exact"/>
        <w:rPr>
          <w:rFonts w:ascii="Times New Roman" w:hAnsi="Times New Roman" w:eastAsia="仿宋_GB2312" w:cs="Times New Roman"/>
          <w:sz w:val="32"/>
          <w:szCs w:val="32"/>
        </w:rPr>
      </w:pPr>
    </w:p>
    <w:p w14:paraId="7950B532">
      <w:pPr>
        <w:adjustRightInd w:val="0"/>
        <w:snapToGrid w:val="0"/>
        <w:spacing w:line="580" w:lineRule="exact"/>
        <w:ind w:firstLine="640" w:firstLineChars="200"/>
        <w:rPr>
          <w:rFonts w:ascii="Times New Roman" w:hAnsi="Times New Roman" w:eastAsia="仿宋_GB2312" w:cs="Times New Roman"/>
          <w:sz w:val="32"/>
          <w:szCs w:val="32"/>
        </w:rPr>
      </w:pPr>
    </w:p>
    <w:p w14:paraId="28444404">
      <w:pPr>
        <w:adjustRightInd w:val="0"/>
        <w:snapToGrid w:val="0"/>
        <w:spacing w:line="580" w:lineRule="exact"/>
        <w:ind w:firstLine="640" w:firstLineChars="200"/>
        <w:rPr>
          <w:rFonts w:ascii="Times New Roman" w:hAnsi="Times New Roman" w:eastAsia="仿宋_GB2312" w:cs="Times New Roman"/>
          <w:sz w:val="32"/>
          <w:szCs w:val="32"/>
        </w:rPr>
      </w:pPr>
    </w:p>
    <w:p w14:paraId="5DF202E0">
      <w:pPr>
        <w:adjustRightInd w:val="0"/>
        <w:snapToGrid w:val="0"/>
        <w:spacing w:line="580" w:lineRule="exact"/>
        <w:ind w:firstLine="640" w:firstLineChars="200"/>
        <w:rPr>
          <w:rFonts w:ascii="Times New Roman" w:hAnsi="Times New Roman" w:eastAsia="仿宋_GB2312" w:cs="Times New Roman"/>
          <w:sz w:val="32"/>
          <w:szCs w:val="32"/>
        </w:rPr>
      </w:pPr>
    </w:p>
    <w:p w14:paraId="286538C6">
      <w:pPr>
        <w:widowControl/>
        <w:spacing w:line="580" w:lineRule="exact"/>
        <w:ind w:firstLine="883" w:firstLineChars="200"/>
        <w:jc w:val="left"/>
        <w:rPr>
          <w:rFonts w:ascii="Times New Roman" w:hAnsi="Times New Roman" w:eastAsia="宋体" w:cs="Times New Roman"/>
          <w:b/>
          <w:bCs/>
          <w:sz w:val="44"/>
          <w:szCs w:val="44"/>
        </w:rPr>
      </w:pPr>
    </w:p>
    <w:p w14:paraId="4E3FBEE6">
      <w:pPr>
        <w:rPr>
          <w:rFonts w:ascii="Times New Roman" w:hAnsi="Times New Roman" w:eastAsia="仿宋_GB2312" w:cs="Times New Roman"/>
          <w:sz w:val="32"/>
          <w:szCs w:val="32"/>
        </w:rPr>
      </w:pPr>
    </w:p>
    <w:p w14:paraId="7E8B558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25CB299">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93C64FB">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1CFAE360">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5FF1ACD2">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557FD10D">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2383B49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0EB4E386">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4C894227">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48BBAE0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631036E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00173F7F">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16EB9D1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67F7414B">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1390C6FD">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342E9906">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B14F19">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7F345CB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6D5518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10A4ECA1">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22168E65">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56616B1E">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257411A">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18696F2B">
      <w:pPr>
        <w:rPr>
          <w:rFonts w:ascii="Times New Roman" w:hAnsi="Times New Roman" w:cs="Times New Roman"/>
        </w:rPr>
      </w:pPr>
    </w:p>
    <w:p w14:paraId="1FDA8DAE">
      <w:pPr>
        <w:pStyle w:val="10"/>
        <w:widowControl/>
        <w:spacing w:beforeAutospacing="0" w:afterAutospacing="0"/>
        <w:rPr>
          <w:rFonts w:ascii="Times New Roman" w:hAnsi="Times New Roman" w:eastAsia="仿宋_GB2312"/>
          <w:color w:val="333333"/>
          <w:sz w:val="33"/>
          <w:szCs w:val="33"/>
          <w:shd w:val="clear" w:color="auto" w:fill="FFFFFF"/>
        </w:rPr>
      </w:pPr>
    </w:p>
    <w:p w14:paraId="1E7A0383">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CDE34AC-C662-4EBE-88A4-2E23381CECEF}"/>
  </w:font>
  <w:font w:name="黑体">
    <w:panose1 w:val="02010609060101010101"/>
    <w:charset w:val="86"/>
    <w:family w:val="auto"/>
    <w:pitch w:val="default"/>
    <w:sig w:usb0="800002BF" w:usb1="38CF7CFA" w:usb2="00000016" w:usb3="00000000" w:csb0="00040001" w:csb1="00000000"/>
    <w:embedRegular r:id="rId2" w:fontKey="{A9BC8E47-94B0-456D-BFE5-C31A79E7142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3" w:fontKey="{BD6B9643-CB8E-4D33-8956-C48E39A6D28F}"/>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4" w:fontKey="{241F552B-90FA-4294-B10D-26E49F393B1A}"/>
  </w:font>
  <w:font w:name="思源黑体 CN Heavy">
    <w:altName w:val="黑体"/>
    <w:panose1 w:val="00000000000000000000"/>
    <w:charset w:val="86"/>
    <w:family w:val="swiss"/>
    <w:pitch w:val="default"/>
    <w:sig w:usb0="00000000" w:usb1="00000000" w:usb2="00000016" w:usb3="00000000" w:csb0="00060107" w:csb1="00000000"/>
    <w:embedRegular r:id="rId5" w:fontKey="{82758159-E60C-4B15-A2E2-D1EA176F5D42}"/>
  </w:font>
  <w:font w:name="楷体_GB2312">
    <w:panose1 w:val="02010609030101010101"/>
    <w:charset w:val="86"/>
    <w:family w:val="modern"/>
    <w:pitch w:val="default"/>
    <w:sig w:usb0="00000001" w:usb1="080E0000" w:usb2="00000000" w:usb3="00000000" w:csb0="00040000" w:csb1="00000000"/>
    <w:embedRegular r:id="rId6" w:fontKey="{EA3986B1-2547-46AC-8387-E7F99F7661D8}"/>
  </w:font>
  <w:font w:name="仿宋_GB2312">
    <w:panose1 w:val="02010609030101010101"/>
    <w:charset w:val="86"/>
    <w:family w:val="modern"/>
    <w:pitch w:val="default"/>
    <w:sig w:usb0="00000001" w:usb1="080E0000" w:usb2="00000000" w:usb3="00000000" w:csb0="00040000" w:csb1="00000000"/>
    <w:embedRegular r:id="rId7" w:fontKey="{2C07DC22-49AB-494D-9DCB-76929FB38EDB}"/>
  </w:font>
  <w:font w:name="ArialUnicodeMS">
    <w:altName w:val="Malgun Gothic"/>
    <w:panose1 w:val="00000000000000000000"/>
    <w:charset w:val="81"/>
    <w:family w:val="auto"/>
    <w:pitch w:val="default"/>
    <w:sig w:usb0="00000000" w:usb1="00000000" w:usb2="00000010" w:usb3="00000000" w:csb0="00080001" w:csb1="00000000"/>
    <w:embedRegular r:id="rId8" w:fontKey="{FB6F1BFF-5588-4C3F-AA40-10CA03C7A46F}"/>
  </w:font>
  <w:font w:name="Malgun Gothic">
    <w:panose1 w:val="020B0503020000020004"/>
    <w:charset w:val="81"/>
    <w:family w:val="auto"/>
    <w:pitch w:val="default"/>
    <w:sig w:usb0="900002AF" w:usb1="01D77CFB" w:usb2="00000012" w:usb3="00000000" w:csb0="00080001" w:csb1="00000000"/>
  </w:font>
  <w:font w:name="Arial Black">
    <w:panose1 w:val="020B0A04020102020204"/>
    <w:charset w:val="00"/>
    <w:family w:val="swiss"/>
    <w:pitch w:val="default"/>
    <w:sig w:usb0="00000287" w:usb1="00000000" w:usb2="00000000" w:usb3="00000000" w:csb0="2000009F" w:csb1="DFD70000"/>
    <w:embedRegular r:id="rId9" w:fontKey="{EFA36C13-4814-4FCF-8D1F-FCBB9CDF3F3F}"/>
  </w:font>
  <w:font w:name="DengXian-Regular">
    <w:altName w:val="宋体"/>
    <w:panose1 w:val="00000000000000000000"/>
    <w:charset w:val="86"/>
    <w:family w:val="auto"/>
    <w:pitch w:val="default"/>
    <w:sig w:usb0="00000000" w:usb1="00000000" w:usb2="00000010" w:usb3="00000000" w:csb0="00040001" w:csb1="00000000"/>
    <w:embedRegular r:id="rId10" w:fontKey="{B78DE41A-7957-4510-8DD7-9994F71B6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77548">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48AAB">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048AAB">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81FC3">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E5FF3">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23E5FF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BCCA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2D3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1CE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AsImhkaWQiOiI1ZjU2MGRlNDllM2FmMTNiOTA4Zjg0Zjg5ZWJmMjgyOCIsInVzZXJDb3VudCI6Mn0="/>
  </w:docVars>
  <w:rsids>
    <w:rsidRoot w:val="00287DAF"/>
    <w:rsid w:val="00037B7D"/>
    <w:rsid w:val="000546A1"/>
    <w:rsid w:val="00086151"/>
    <w:rsid w:val="00092BE6"/>
    <w:rsid w:val="0009670E"/>
    <w:rsid w:val="000B1680"/>
    <w:rsid w:val="000B20F4"/>
    <w:rsid w:val="000E17E7"/>
    <w:rsid w:val="001258D4"/>
    <w:rsid w:val="001C558D"/>
    <w:rsid w:val="001D611E"/>
    <w:rsid w:val="00204372"/>
    <w:rsid w:val="00236F8C"/>
    <w:rsid w:val="00267AAE"/>
    <w:rsid w:val="00287DAF"/>
    <w:rsid w:val="002B2F49"/>
    <w:rsid w:val="002F01EE"/>
    <w:rsid w:val="002F24B7"/>
    <w:rsid w:val="00306385"/>
    <w:rsid w:val="00315DDF"/>
    <w:rsid w:val="0035487A"/>
    <w:rsid w:val="00361F0E"/>
    <w:rsid w:val="00377F32"/>
    <w:rsid w:val="0038751F"/>
    <w:rsid w:val="003A12A0"/>
    <w:rsid w:val="003E3566"/>
    <w:rsid w:val="003F4BEC"/>
    <w:rsid w:val="00455DD0"/>
    <w:rsid w:val="0047323C"/>
    <w:rsid w:val="0048604A"/>
    <w:rsid w:val="00494B2C"/>
    <w:rsid w:val="004A2A12"/>
    <w:rsid w:val="0056005C"/>
    <w:rsid w:val="00626BDC"/>
    <w:rsid w:val="0063657C"/>
    <w:rsid w:val="0067075F"/>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C3EE9"/>
    <w:rsid w:val="008D5DDB"/>
    <w:rsid w:val="009071A4"/>
    <w:rsid w:val="00926DCC"/>
    <w:rsid w:val="009325F5"/>
    <w:rsid w:val="0094592D"/>
    <w:rsid w:val="00953488"/>
    <w:rsid w:val="00A07CFF"/>
    <w:rsid w:val="00A169CA"/>
    <w:rsid w:val="00A17B27"/>
    <w:rsid w:val="00A50DF3"/>
    <w:rsid w:val="00AC6C8A"/>
    <w:rsid w:val="00AF1DD2"/>
    <w:rsid w:val="00AF3C93"/>
    <w:rsid w:val="00B03561"/>
    <w:rsid w:val="00B15D61"/>
    <w:rsid w:val="00B73503"/>
    <w:rsid w:val="00C012F0"/>
    <w:rsid w:val="00C1240F"/>
    <w:rsid w:val="00C142C3"/>
    <w:rsid w:val="00C546E9"/>
    <w:rsid w:val="00C65689"/>
    <w:rsid w:val="00CA42FD"/>
    <w:rsid w:val="00CC1334"/>
    <w:rsid w:val="00CC2C8E"/>
    <w:rsid w:val="00D22E56"/>
    <w:rsid w:val="00D30477"/>
    <w:rsid w:val="00D777BD"/>
    <w:rsid w:val="00D77ACE"/>
    <w:rsid w:val="00DC3B1E"/>
    <w:rsid w:val="00E03F28"/>
    <w:rsid w:val="00E20DD6"/>
    <w:rsid w:val="00E86690"/>
    <w:rsid w:val="00EB0434"/>
    <w:rsid w:val="00EE6912"/>
    <w:rsid w:val="00F03983"/>
    <w:rsid w:val="00F073C6"/>
    <w:rsid w:val="00F30220"/>
    <w:rsid w:val="00F373B5"/>
    <w:rsid w:val="00F41289"/>
    <w:rsid w:val="00F44C48"/>
    <w:rsid w:val="00F66634"/>
    <w:rsid w:val="00F705B2"/>
    <w:rsid w:val="00FA4CE8"/>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26590B"/>
    <w:rsid w:val="054F2DFB"/>
    <w:rsid w:val="05991C82"/>
    <w:rsid w:val="061416A9"/>
    <w:rsid w:val="061D60A6"/>
    <w:rsid w:val="06236884"/>
    <w:rsid w:val="06462DE7"/>
    <w:rsid w:val="06B07006"/>
    <w:rsid w:val="06FC7C2A"/>
    <w:rsid w:val="07533AFE"/>
    <w:rsid w:val="07B3657A"/>
    <w:rsid w:val="07C857D0"/>
    <w:rsid w:val="08AB5AAF"/>
    <w:rsid w:val="09012C64"/>
    <w:rsid w:val="093B2E99"/>
    <w:rsid w:val="095D7943"/>
    <w:rsid w:val="09C006C6"/>
    <w:rsid w:val="0A0E6E5F"/>
    <w:rsid w:val="0A10621F"/>
    <w:rsid w:val="0A125443"/>
    <w:rsid w:val="0A464C4F"/>
    <w:rsid w:val="0A6729A3"/>
    <w:rsid w:val="0A694877"/>
    <w:rsid w:val="0AA954BE"/>
    <w:rsid w:val="0AAB0D8C"/>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1F58A5"/>
    <w:rsid w:val="0F28110F"/>
    <w:rsid w:val="0F37083F"/>
    <w:rsid w:val="0F891DB8"/>
    <w:rsid w:val="0FAA3B86"/>
    <w:rsid w:val="10191346"/>
    <w:rsid w:val="102A01A6"/>
    <w:rsid w:val="10754A6C"/>
    <w:rsid w:val="108B537D"/>
    <w:rsid w:val="10B11DB1"/>
    <w:rsid w:val="10D54478"/>
    <w:rsid w:val="11177F57"/>
    <w:rsid w:val="11217C97"/>
    <w:rsid w:val="11464C20"/>
    <w:rsid w:val="115E4926"/>
    <w:rsid w:val="116326B6"/>
    <w:rsid w:val="118A1FFA"/>
    <w:rsid w:val="11E35B5A"/>
    <w:rsid w:val="11E42DD6"/>
    <w:rsid w:val="125F5A1B"/>
    <w:rsid w:val="126979D6"/>
    <w:rsid w:val="129E45A7"/>
    <w:rsid w:val="13074404"/>
    <w:rsid w:val="136A5C00"/>
    <w:rsid w:val="13B97B08"/>
    <w:rsid w:val="13C527AC"/>
    <w:rsid w:val="13E93032"/>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8F03B0"/>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6F52716"/>
    <w:rsid w:val="271A539C"/>
    <w:rsid w:val="274972D4"/>
    <w:rsid w:val="27AA3D97"/>
    <w:rsid w:val="27CC76FB"/>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B52E8B"/>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494B7A"/>
    <w:rsid w:val="35763460"/>
    <w:rsid w:val="35776F72"/>
    <w:rsid w:val="35845F6C"/>
    <w:rsid w:val="35997371"/>
    <w:rsid w:val="35CA033E"/>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E36885"/>
    <w:rsid w:val="38EA6674"/>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CCF1E09"/>
    <w:rsid w:val="3D446B0E"/>
    <w:rsid w:val="3D953A6B"/>
    <w:rsid w:val="3DBB5979"/>
    <w:rsid w:val="3DD56F21"/>
    <w:rsid w:val="3E1057AF"/>
    <w:rsid w:val="3E3E4155"/>
    <w:rsid w:val="3E6C0DFA"/>
    <w:rsid w:val="3E740322"/>
    <w:rsid w:val="3E7F4380"/>
    <w:rsid w:val="3E8D171B"/>
    <w:rsid w:val="3EA5630D"/>
    <w:rsid w:val="3EBA731B"/>
    <w:rsid w:val="3EE33949"/>
    <w:rsid w:val="3EE84224"/>
    <w:rsid w:val="3EFB5800"/>
    <w:rsid w:val="3F213F58"/>
    <w:rsid w:val="3F3B4E59"/>
    <w:rsid w:val="3F6902F3"/>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2629E5"/>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457423"/>
    <w:rsid w:val="48692CD0"/>
    <w:rsid w:val="48AE3D01"/>
    <w:rsid w:val="49067B2F"/>
    <w:rsid w:val="49677E31"/>
    <w:rsid w:val="496C2225"/>
    <w:rsid w:val="49AE2880"/>
    <w:rsid w:val="49F42EAF"/>
    <w:rsid w:val="4A337323"/>
    <w:rsid w:val="4A5B28DC"/>
    <w:rsid w:val="4AA06B93"/>
    <w:rsid w:val="4ADB18EB"/>
    <w:rsid w:val="4ADD2F24"/>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981858"/>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07978"/>
    <w:rsid w:val="641A2468"/>
    <w:rsid w:val="64372F20"/>
    <w:rsid w:val="64DC72D7"/>
    <w:rsid w:val="653619A6"/>
    <w:rsid w:val="65610A02"/>
    <w:rsid w:val="65A11EA3"/>
    <w:rsid w:val="65AC3D66"/>
    <w:rsid w:val="65BB5334"/>
    <w:rsid w:val="663E1DBA"/>
    <w:rsid w:val="665D0213"/>
    <w:rsid w:val="669E59F1"/>
    <w:rsid w:val="66A2024B"/>
    <w:rsid w:val="6704732B"/>
    <w:rsid w:val="670F6731"/>
    <w:rsid w:val="67114C48"/>
    <w:rsid w:val="67585CB0"/>
    <w:rsid w:val="67770F0C"/>
    <w:rsid w:val="67B03535"/>
    <w:rsid w:val="68174F69"/>
    <w:rsid w:val="682C436A"/>
    <w:rsid w:val="68382778"/>
    <w:rsid w:val="68391F41"/>
    <w:rsid w:val="68436B8C"/>
    <w:rsid w:val="68797358"/>
    <w:rsid w:val="6884624F"/>
    <w:rsid w:val="68914293"/>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770529"/>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D64E34"/>
    <w:rsid w:val="76FD6F97"/>
    <w:rsid w:val="770218E8"/>
    <w:rsid w:val="779469CE"/>
    <w:rsid w:val="77C875A5"/>
    <w:rsid w:val="77E552D2"/>
    <w:rsid w:val="78A27DF6"/>
    <w:rsid w:val="79285B3A"/>
    <w:rsid w:val="79625CA9"/>
    <w:rsid w:val="79A91196"/>
    <w:rsid w:val="7A0B32D3"/>
    <w:rsid w:val="7AAC16F7"/>
    <w:rsid w:val="7AC13CD3"/>
    <w:rsid w:val="7AE10264"/>
    <w:rsid w:val="7AE4248E"/>
    <w:rsid w:val="7AFD2F8B"/>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emf"/><Relationship Id="rId3" Type="http://schemas.openxmlformats.org/officeDocument/2006/relationships/footnotes" Target="footnotes.xml"/><Relationship Id="rId29" Type="http://schemas.openxmlformats.org/officeDocument/2006/relationships/image" Target="media/image19.emf"/><Relationship Id="rId28" Type="http://schemas.openxmlformats.org/officeDocument/2006/relationships/image" Target="media/image18.emf"/><Relationship Id="rId27" Type="http://schemas.openxmlformats.org/officeDocument/2006/relationships/image" Target="media/image17.emf"/><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image" Target="media/image13.emf"/><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sv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34</Words>
  <Characters>39</Characters>
  <Lines>40</Lines>
  <Paragraphs>11</Paragraphs>
  <TotalTime>249</TotalTime>
  <ScaleCrop>false</ScaleCrop>
  <LinksUpToDate>false</LinksUpToDate>
  <CharactersWithSpaces>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2024-09-18T01:47:00Z</dcterms:created>
  <dc:creator>王明新TIAD</dc:creator>
  <cp:lastModifiedBy>Administrator</cp:lastModifiedBy>
  <cp:lastPrinted>2023-08-04T01:00:00Z</cp:lastPrinted>
  <dcterms:modified xsi:type="dcterms:W3CDTF">2025-04-24T05:58:50Z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E51992B9E4F1441CBC96F02734AA4F8B_13</vt:lpwstr>
  </property>
  <property fmtid="{D5CDD505-2E9C-101B-9397-08002B2CF9AE}" pid="4" name="KSOTemplateUUID">
    <vt:lpwstr>v1.0_mb_S7ajbG3IpAnL1wSthNCxfw==</vt:lpwstr>
  </property>
  <property fmtid="{D5CDD505-2E9C-101B-9397-08002B2CF9AE}" pid="5" name="KSOTemplateDocerSaveRecord">
    <vt:lpwstr>eyJoZGlkIjoiNWY1NjBkZTQ5ZTNhZjEzYjkwOGY4NGY4OWViZjI4MjgifQ==</vt:lpwstr>
  </property>
</Properties>
</file>