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7B574">
      <w:pPr>
        <w:spacing w:line="560" w:lineRule="exact"/>
        <w:jc w:val="center"/>
        <w:outlineLvl w:val="0"/>
        <w:rPr>
          <w:rFonts w:hint="eastAsia" w:ascii="方正小标宋简体" w:hAnsi="方正小标宋简体" w:eastAsia="方正小标宋简体" w:cs="方正小标宋简体"/>
          <w:sz w:val="44"/>
          <w:szCs w:val="44"/>
        </w:rPr>
      </w:pPr>
      <w:bookmarkStart w:id="0" w:name="_Toc76683365"/>
      <w:bookmarkStart w:id="1" w:name="_Toc8657"/>
      <w:r>
        <w:rPr>
          <w:rFonts w:hint="eastAsia" w:ascii="方正小标宋简体" w:hAnsi="方正小标宋简体" w:eastAsia="方正小标宋简体" w:cs="方正小标宋简体"/>
          <w:bCs/>
          <w:sz w:val="44"/>
          <w:szCs w:val="44"/>
        </w:rPr>
        <w:t>秦皇岛北戴河区市场监督管理局</w:t>
      </w:r>
      <w:bookmarkEnd w:id="0"/>
      <w:bookmarkEnd w:id="1"/>
    </w:p>
    <w:p w14:paraId="60285D7B">
      <w:pPr>
        <w:spacing w:line="560" w:lineRule="exact"/>
        <w:jc w:val="center"/>
        <w:outlineLvl w:val="0"/>
        <w:rPr>
          <w:rFonts w:ascii="Times New Roman" w:hAnsi="Times New Roman" w:eastAsia="方正小标宋简体" w:cs="Mongolian Baiti"/>
          <w:bCs/>
          <w:color w:val="000000"/>
          <w:sz w:val="44"/>
          <w:szCs w:val="44"/>
        </w:rPr>
      </w:pPr>
      <w:bookmarkStart w:id="2" w:name="_Toc76683366"/>
      <w:r>
        <w:rPr>
          <w:rFonts w:ascii="Times New Roman" w:hAnsi="Mongolian Baiti" w:eastAsia="方正小标宋简体" w:cs="Mongolian Baiti"/>
          <w:bCs/>
          <w:color w:val="000000"/>
          <w:sz w:val="44"/>
          <w:szCs w:val="44"/>
        </w:rPr>
        <w:t>不予行政处罚决定书</w:t>
      </w:r>
      <w:bookmarkEnd w:id="2"/>
    </w:p>
    <w:p w14:paraId="7670B737">
      <w:pPr>
        <w:widowControl/>
        <w:spacing w:line="560" w:lineRule="exact"/>
        <w:ind w:right="55"/>
        <w:jc w:val="center"/>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 xml:space="preserve"> 秦北</w:t>
      </w:r>
      <w:r>
        <w:rPr>
          <w:rFonts w:hint="eastAsia" w:ascii="Times New Roman" w:hAnsi="仿宋_GB2312" w:eastAsia="仿宋_GB2312" w:cs="仿宋_GB2312"/>
          <w:bCs/>
          <w:color w:val="000000"/>
          <w:sz w:val="32"/>
          <w:szCs w:val="32"/>
        </w:rPr>
        <w:t>市监不罚〔</w:t>
      </w:r>
      <w:r>
        <w:rPr>
          <w:rFonts w:hint="eastAsia" w:ascii="Times New Roman" w:hAnsi="Times New Roman" w:eastAsia="仿宋_GB2312" w:cs="仿宋_GB2312"/>
          <w:bCs/>
          <w:color w:val="000000"/>
          <w:sz w:val="32"/>
          <w:szCs w:val="32"/>
        </w:rPr>
        <w:t>2025</w:t>
      </w:r>
      <w:r>
        <w:rPr>
          <w:rFonts w:hint="eastAsia" w:ascii="Times New Roman" w:hAnsi="仿宋_GB2312" w:eastAsia="仿宋_GB2312" w:cs="仿宋_GB2312"/>
          <w:bCs/>
          <w:color w:val="000000"/>
          <w:sz w:val="32"/>
          <w:szCs w:val="32"/>
        </w:rPr>
        <w:t>〕ST-0002号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20802600</wp:posOffset>
                </wp:positionV>
                <wp:extent cx="5761990" cy="0"/>
                <wp:effectExtent l="0" t="0" r="0" b="0"/>
                <wp:wrapNone/>
                <wp:docPr id="2" name="_x0000_s1026"/>
                <wp:cNvGraphicFramePr/>
                <a:graphic xmlns:a="http://schemas.openxmlformats.org/drawingml/2006/main">
                  <a:graphicData uri="http://schemas.microsoft.com/office/word/2010/wordprocessingShape">
                    <wps:wsp>
                      <wps:cNvSpPr/>
                      <wps:spPr bwMode="auto">
                        <a:xfrm>
                          <a:off x="0" y="0"/>
                          <a:ext cx="576199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w="19050">
                          <a:noFill/>
                        </a:ln>
                      </wps:spPr>
                      <wps:txbx>
                        <w:txbxContent>
                          <w:p w14:paraId="37B6B961">
                            <w:pPr>
                              <w:rPr>
                                <w:rFonts w:ascii="宋体" w:hAnsi="宋体"/>
                                <w:sz w:val="20"/>
                                <w:szCs w:val="20"/>
                              </w:rPr>
                            </w:pPr>
                          </w:p>
                          <w:p w14:paraId="5B4D2BB7"/>
                        </w:txbxContent>
                      </wps:txbx>
                      <wps:bodyPr wrap="square" upright="1"/>
                    </wps:wsp>
                  </a:graphicData>
                </a:graphic>
              </wp:anchor>
            </w:drawing>
          </mc:Choice>
          <mc:Fallback>
            <w:pict>
              <v:shape id="_x0000_s1026" o:spid="_x0000_s1026" o:spt="100" style="position:absolute;left:0pt;margin-left:-2.9pt;margin-top:1638pt;height:0pt;width:453.7pt;z-index:251659264;mso-width-relative:page;mso-height-relative:page;" filled="f" stroked="f" coordsize="21600,21600" o:gfxdata="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y8jotkAAAAMAQAADwAAAAAAAAABACAAAAAiAAAAZHJz&#10;L2Rvd25yZXYueG1sUEsBAhQAFAAAAAgAh07iQKzyqhJ1AgAAzgUAAA4AAAAAAAAAAQAgAAAAKAEA&#10;AGRycy9lMm9Eb2MueG1sUEsFBgAAAAAGAAYAWQEAAA8GAAAAAA==&#10;" path="m0,0l0,21600,21600,21600,21600,0xe">
                <v:path textboxrect="0,0,21600,21600"/>
                <v:fill on="f" focussize="0,0"/>
                <v:stroke on="f" weight="1.5pt"/>
                <v:imagedata o:title=""/>
                <o:lock v:ext="edit" aspectratio="f"/>
                <v:textbox>
                  <w:txbxContent>
                    <w:p w14:paraId="37B6B961">
                      <w:pPr>
                        <w:rPr>
                          <w:rFonts w:ascii="宋体" w:hAnsi="宋体"/>
                          <w:sz w:val="20"/>
                          <w:szCs w:val="20"/>
                        </w:rPr>
                      </w:pPr>
                    </w:p>
                    <w:p w14:paraId="5B4D2BB7"/>
                  </w:txbxContent>
                </v:textbox>
              </v:shape>
            </w:pict>
          </mc:Fallback>
        </mc:AlternateContent>
      </w:r>
    </w:p>
    <w:p w14:paraId="50DF734E">
      <w:pPr>
        <w:spacing w:line="560" w:lineRule="exact"/>
        <w:ind w:left="140" w:hanging="140"/>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当事人：</w:t>
      </w:r>
      <w:r>
        <w:rPr>
          <w:rFonts w:hint="eastAsia" w:ascii="仿宋_GB2312" w:hAnsi="仿宋_GB2312" w:eastAsia="仿宋_GB2312" w:cs="仿宋_GB2312"/>
          <w:sz w:val="32"/>
          <w:szCs w:val="32"/>
        </w:rPr>
        <w:t>秦皇岛市华梦商贸有限公司</w:t>
      </w:r>
      <w:r>
        <w:rPr>
          <w:rFonts w:hint="eastAsia" w:ascii="Times New Roman" w:hAnsi="Times New Roman" w:eastAsia="仿宋_GB2312" w:cs="Mongolian Baiti"/>
          <w:bCs/>
          <w:sz w:val="32"/>
          <w:szCs w:val="32"/>
        </w:rPr>
        <w:t>；</w:t>
      </w:r>
    </w:p>
    <w:p w14:paraId="65624063">
      <w:pPr>
        <w:spacing w:line="560" w:lineRule="exact"/>
        <w:ind w:left="140" w:hanging="140"/>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主体资格证照名称：营业执照；</w:t>
      </w:r>
    </w:p>
    <w:p w14:paraId="71B7209C">
      <w:pPr>
        <w:spacing w:line="560" w:lineRule="exact"/>
        <w:ind w:left="140" w:hanging="140"/>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统一社会信用代码：</w:t>
      </w:r>
      <w:r>
        <w:rPr>
          <w:rFonts w:hint="eastAsia" w:ascii="仿宋_GB2312" w:hAnsi="仿宋_GB2312" w:eastAsia="仿宋_GB2312" w:cs="仿宋_GB2312"/>
          <w:sz w:val="32"/>
          <w:szCs w:val="32"/>
        </w:rPr>
        <w:t>91130304MA08AB3G92</w:t>
      </w:r>
      <w:r>
        <w:rPr>
          <w:rFonts w:hint="eastAsia" w:ascii="Times New Roman" w:hAnsi="Times New Roman" w:eastAsia="仿宋_GB2312" w:cs="Mongolian Baiti"/>
          <w:bCs/>
          <w:sz w:val="32"/>
          <w:szCs w:val="32"/>
        </w:rPr>
        <w:t xml:space="preserve">；                   </w:t>
      </w:r>
    </w:p>
    <w:p w14:paraId="35E2171E">
      <w:pPr>
        <w:spacing w:line="560" w:lineRule="exact"/>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住所（住址）：北戴河区海宁路90-5，6,7号</w:t>
      </w:r>
      <w:r>
        <w:rPr>
          <w:rFonts w:hint="eastAsia" w:ascii="仿宋_GB2312" w:hAnsi="仿宋_GB2312" w:eastAsia="仿宋_GB2312" w:cs="仿宋_GB2312"/>
          <w:sz w:val="32"/>
          <w:szCs w:val="32"/>
        </w:rPr>
        <w:t>；</w:t>
      </w:r>
      <w:r>
        <w:rPr>
          <w:rFonts w:hint="eastAsia" w:ascii="Times New Roman" w:hAnsi="Times New Roman" w:eastAsia="仿宋_GB2312" w:cs="Mongolian Baiti"/>
          <w:bCs/>
          <w:sz w:val="32"/>
          <w:szCs w:val="32"/>
        </w:rPr>
        <w:t xml:space="preserve">                   </w:t>
      </w:r>
    </w:p>
    <w:p w14:paraId="0C3AE4B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  责  人：刘海龙；</w:t>
      </w:r>
    </w:p>
    <w:p w14:paraId="02CCC1BF">
      <w:pPr>
        <w:spacing w:line="560" w:lineRule="exact"/>
        <w:rPr>
          <w:rFonts w:hint="eastAsia" w:ascii="Times New Roman" w:hAnsi="Times New Roman" w:eastAsia="仿宋_GB2312" w:cs="Mongolian Baiti"/>
          <w:bCs/>
          <w:sz w:val="32"/>
          <w:szCs w:val="32"/>
        </w:rPr>
      </w:pPr>
      <w:r>
        <w:rPr>
          <w:rFonts w:hint="eastAsia" w:ascii="仿宋_GB2312" w:hAnsi="仿宋_GB2312" w:eastAsia="仿宋_GB2312" w:cs="仿宋_GB2312"/>
          <w:sz w:val="32"/>
          <w:szCs w:val="32"/>
        </w:rPr>
        <w:t>身份证号码：372426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Times New Roman" w:hAnsi="Times New Roman" w:eastAsia="仿宋_GB2312" w:cs="Mongolian Baiti"/>
          <w:bCs/>
          <w:sz w:val="32"/>
          <w:szCs w:val="32"/>
        </w:rPr>
        <w:t xml:space="preserve">                             </w:t>
      </w:r>
    </w:p>
    <w:p w14:paraId="56B9BB17">
      <w:pPr>
        <w:spacing w:line="520" w:lineRule="exact"/>
        <w:ind w:firstLine="640"/>
        <w:rPr>
          <w:rFonts w:hint="eastAsia" w:ascii="仿宋_GB2312" w:hAnsi="仿宋_GB2312" w:eastAsia="仿宋_GB2312" w:cs="仿宋_GB2312"/>
          <w:sz w:val="32"/>
          <w:szCs w:val="32"/>
        </w:rPr>
      </w:pPr>
      <w:r>
        <w:rPr>
          <w:rFonts w:hint="eastAsia" w:ascii="仿宋_GB2312" w:eastAsia="仿宋_GB2312"/>
          <w:sz w:val="32"/>
          <w:szCs w:val="32"/>
        </w:rPr>
        <w:t>2025年6月24日</w:t>
      </w:r>
      <w:r>
        <w:rPr>
          <w:rFonts w:hint="eastAsia" w:ascii="仿宋_GB2312" w:hAnsi="仿宋_GB2312" w:eastAsia="仿宋_GB2312" w:cs="仿宋_GB2312"/>
          <w:sz w:val="32"/>
          <w:szCs w:val="32"/>
        </w:rPr>
        <w:t>，我局接到</w:t>
      </w:r>
      <w:r>
        <w:rPr>
          <w:rFonts w:hint="eastAsia" w:ascii="仿宋_GB2312" w:eastAsia="仿宋_GB2312"/>
          <w:sz w:val="32"/>
          <w:szCs w:val="32"/>
        </w:rPr>
        <w:t>河北智德检验检测股份有限公司编号为NO：ZD2025SP22263的检验报告2025年5月22日</w:t>
      </w:r>
      <w:r>
        <w:rPr>
          <w:rFonts w:hint="eastAsia" w:ascii="仿宋_GB2312" w:hAnsi="仿宋_GB2312" w:eastAsia="仿宋_GB2312" w:cs="仿宋_GB2312"/>
          <w:sz w:val="32"/>
          <w:szCs w:val="32"/>
        </w:rPr>
        <w:t>在秦皇岛市华梦商贸有限公司抽检的</w:t>
      </w:r>
      <w:r>
        <w:rPr>
          <w:rFonts w:hint="eastAsia" w:ascii="仿宋_GB2312" w:eastAsia="仿宋_GB2312"/>
          <w:sz w:val="32"/>
          <w:szCs w:val="32"/>
        </w:rPr>
        <w:t>香蕉</w:t>
      </w:r>
      <w:r>
        <w:rPr>
          <w:rFonts w:hint="eastAsia" w:ascii="仿宋_GB2312" w:hAnsi="仿宋_GB2312" w:eastAsia="仿宋_GB2312" w:cs="仿宋_GB2312"/>
          <w:sz w:val="32"/>
          <w:szCs w:val="32"/>
        </w:rPr>
        <w:t>检查项目</w:t>
      </w:r>
      <w:r>
        <w:rPr>
          <w:rFonts w:hint="eastAsia" w:ascii="仿宋_GB2312" w:eastAsia="仿宋_GB2312"/>
          <w:sz w:val="32"/>
          <w:szCs w:val="32"/>
        </w:rPr>
        <w:t>吡虫啉</w:t>
      </w:r>
      <w:r>
        <w:rPr>
          <w:rFonts w:hint="eastAsia" w:ascii="仿宋_GB2312" w:hAnsi="仿宋_GB2312" w:eastAsia="仿宋_GB2312" w:cs="仿宋_GB2312"/>
          <w:sz w:val="32"/>
          <w:szCs w:val="32"/>
        </w:rPr>
        <w:t>判定结</w:t>
      </w:r>
      <w:r>
        <w:rPr>
          <w:rFonts w:hint="eastAsia" w:ascii="仿宋_GB2312" w:eastAsia="仿宋_GB2312"/>
          <w:sz w:val="32"/>
          <w:szCs w:val="32"/>
        </w:rPr>
        <w:t>果为不合格，当日执法人员到现场检查并送达检验报告，现场检查未发现抽检批次的香蕉</w:t>
      </w:r>
      <w:r>
        <w:rPr>
          <w:rFonts w:hint="eastAsia" w:ascii="仿宋_GB2312" w:hAnsi="仿宋_GB2312" w:eastAsia="仿宋_GB2312" w:cs="仿宋_GB2312"/>
          <w:sz w:val="32"/>
          <w:szCs w:val="32"/>
        </w:rPr>
        <w:t>在售,未采取行政强制措施情况。当日，我局立案调查。</w:t>
      </w:r>
    </w:p>
    <w:p w14:paraId="71217B89">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2025年6月24日，我局执法人员对当事人进行了询问调查。</w:t>
      </w:r>
    </w:p>
    <w:p w14:paraId="344D7623">
      <w:pPr>
        <w:pStyle w:val="184"/>
        <w:tabs>
          <w:tab w:val="left" w:pos="8890"/>
        </w:tabs>
        <w:spacing w:line="560" w:lineRule="exact"/>
        <w:ind w:firstLine="627"/>
        <w:rPr>
          <w:rFonts w:hint="eastAsia" w:ascii="仿宋_GB2312" w:hAnsi="方正仿宋_GBK" w:eastAsia="仿宋_GB2312"/>
          <w:bCs/>
          <w:color w:val="231F20"/>
        </w:rPr>
      </w:pPr>
      <w:r>
        <w:rPr>
          <w:rFonts w:hint="eastAsia" w:ascii="仿宋_GB2312" w:hAnsi="方正仿宋_GBK" w:eastAsia="仿宋_GB2312"/>
          <w:bCs/>
          <w:color w:val="231F20"/>
        </w:rPr>
        <w:t>当事人在规定期限内未提出复检要求。</w:t>
      </w:r>
    </w:p>
    <w:p w14:paraId="5535F3F8">
      <w:pPr>
        <w:pStyle w:val="184"/>
        <w:tabs>
          <w:tab w:val="left" w:pos="8890"/>
        </w:tabs>
        <w:spacing w:line="560" w:lineRule="exact"/>
        <w:ind w:firstLine="627"/>
        <w:rPr>
          <w:rFonts w:ascii="仿宋_GB2312" w:hAnsi="方正仿宋_GBK" w:eastAsia="仿宋_GB2312"/>
          <w:bCs/>
          <w:color w:val="231F20"/>
        </w:rPr>
      </w:pPr>
      <w:r>
        <w:rPr>
          <w:rFonts w:hint="eastAsia" w:ascii="仿宋_GB2312" w:hAnsi="方正仿宋_GBK" w:eastAsia="仿宋_GB2312"/>
          <w:bCs/>
          <w:color w:val="231F20"/>
        </w:rPr>
        <w:t xml:space="preserve">经过执法人员调查、取证，当事人的违法事实清楚，证据确实充分并形成完整的证据链。                           </w:t>
      </w:r>
    </w:p>
    <w:p w14:paraId="19637BEE">
      <w:pPr>
        <w:spacing w:line="520" w:lineRule="exact"/>
        <w:ind w:firstLine="640"/>
        <w:rPr>
          <w:rFonts w:hint="eastAsia" w:ascii="仿宋_GB2312" w:eastAsia="仿宋_GB2312"/>
          <w:sz w:val="32"/>
          <w:szCs w:val="32"/>
        </w:rPr>
      </w:pPr>
      <w:r>
        <w:rPr>
          <w:rFonts w:hint="eastAsia" w:ascii="Times New Roman" w:eastAsia="仿宋_GB2312" w:cs="Mongolian Baiti"/>
          <w:bCs/>
          <w:sz w:val="32"/>
          <w:szCs w:val="32"/>
        </w:rPr>
        <w:t>经查</w:t>
      </w:r>
      <w:r>
        <w:rPr>
          <w:rFonts w:hint="eastAsia" w:ascii="Times New Roman" w:eastAsia="仿宋_GB2312" w:cs="Mongolian Baiti"/>
          <w:bCs/>
        </w:rPr>
        <w:t>，</w:t>
      </w:r>
      <w:r>
        <w:rPr>
          <w:rFonts w:hint="eastAsia" w:ascii="仿宋_GB2312" w:hAnsi="仿宋_GB2312" w:eastAsia="仿宋_GB2312" w:cs="仿宋_GB2312"/>
          <w:sz w:val="32"/>
          <w:szCs w:val="32"/>
        </w:rPr>
        <w:t>2025年5月2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日，当事人在</w:t>
      </w:r>
      <w:r>
        <w:rPr>
          <w:rFonts w:hint="eastAsia" w:ascii="仿宋_GB2312" w:eastAsia="仿宋_GB2312"/>
          <w:sz w:val="32"/>
          <w:szCs w:val="32"/>
        </w:rPr>
        <w:t>海港区福庆水果批发店采购</w:t>
      </w:r>
      <w:r>
        <w:rPr>
          <w:rFonts w:hint="eastAsia" w:ascii="仿宋_GB2312" w:hAnsi="仿宋_GB2312" w:eastAsia="仿宋_GB2312" w:cs="仿宋_GB2312"/>
          <w:sz w:val="32"/>
          <w:szCs w:val="32"/>
        </w:rPr>
        <w:t>香蕉</w:t>
      </w:r>
      <w:r>
        <w:rPr>
          <w:rFonts w:hint="eastAsia" w:ascii="仿宋_GB2312" w:hAnsi="仿宋_GB2312" w:eastAsia="仿宋_GB2312" w:cs="仿宋_GB2312"/>
          <w:color w:val="000000"/>
          <w:sz w:val="32"/>
          <w:szCs w:val="32"/>
        </w:rPr>
        <w:t>37公斤</w:t>
      </w:r>
      <w:r>
        <w:rPr>
          <w:rFonts w:hint="eastAsia" w:ascii="仿宋_GB2312" w:eastAsia="仿宋_GB2312"/>
          <w:sz w:val="32"/>
          <w:szCs w:val="32"/>
        </w:rPr>
        <w:t>，购进价格为</w:t>
      </w:r>
      <w:r>
        <w:rPr>
          <w:rFonts w:hint="eastAsia" w:ascii="仿宋_GB2312" w:eastAsia="仿宋_GB2312"/>
          <w:color w:val="000000"/>
          <w:sz w:val="32"/>
          <w:szCs w:val="32"/>
        </w:rPr>
        <w:t>9.83元/公斤</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上述香蕉经</w:t>
      </w:r>
      <w:r>
        <w:rPr>
          <w:rFonts w:hint="eastAsia" w:ascii="仿宋_GB2312" w:eastAsia="仿宋_GB2312"/>
          <w:sz w:val="32"/>
          <w:szCs w:val="32"/>
        </w:rPr>
        <w:t>河北智德检验检测股份有限公司对当事人</w:t>
      </w:r>
      <w:r>
        <w:rPr>
          <w:rFonts w:hint="eastAsia" w:ascii="仿宋_GB2312" w:hAnsi="仿宋_GB2312" w:eastAsia="仿宋_GB2312" w:cs="仿宋_GB2312"/>
          <w:sz w:val="32"/>
          <w:szCs w:val="32"/>
        </w:rPr>
        <w:t>抽检结果为</w:t>
      </w:r>
      <w:r>
        <w:rPr>
          <w:rFonts w:hint="eastAsia" w:ascii="仿宋_GB2312" w:eastAsia="仿宋_GB2312"/>
          <w:sz w:val="32"/>
          <w:szCs w:val="32"/>
        </w:rPr>
        <w:t>吡虫啉</w:t>
      </w:r>
      <w:r>
        <w:rPr>
          <w:rFonts w:hint="eastAsia" w:ascii="仿宋_GB2312" w:hAnsi="仿宋_GB2312" w:eastAsia="仿宋_GB2312" w:cs="仿宋_GB2312"/>
          <w:sz w:val="32"/>
          <w:szCs w:val="32"/>
        </w:rPr>
        <w:t>单项判定不合格，当事人</w:t>
      </w:r>
      <w:r>
        <w:rPr>
          <w:rFonts w:hint="eastAsia" w:ascii="仿宋_GB2312" w:hAnsi="仿宋_GB2312" w:eastAsia="仿宋_GB2312" w:cs="仿宋_GB2312"/>
          <w:color w:val="000000"/>
          <w:sz w:val="32"/>
          <w:szCs w:val="32"/>
        </w:rPr>
        <w:t>5月</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sz w:val="32"/>
          <w:szCs w:val="32"/>
        </w:rPr>
        <w:t>，以</w:t>
      </w:r>
      <w:r>
        <w:rPr>
          <w:rFonts w:hint="eastAsia" w:ascii="仿宋_GB2312" w:eastAsia="仿宋_GB2312"/>
          <w:color w:val="000000"/>
          <w:sz w:val="32"/>
          <w:szCs w:val="32"/>
        </w:rPr>
        <w:t>11.98元/公斤</w:t>
      </w:r>
      <w:r>
        <w:rPr>
          <w:rFonts w:hint="eastAsia" w:ascii="仿宋_GB2312" w:eastAsia="仿宋_GB2312"/>
          <w:sz w:val="32"/>
          <w:szCs w:val="32"/>
        </w:rPr>
        <w:t>的价格对外销售。截至目前，</w:t>
      </w:r>
      <w:r>
        <w:rPr>
          <w:rFonts w:hint="eastAsia" w:ascii="仿宋_GB2312" w:hAnsi="仿宋_GB2312" w:eastAsia="仿宋_GB2312" w:cs="仿宋_GB2312"/>
          <w:sz w:val="32"/>
          <w:szCs w:val="32"/>
        </w:rPr>
        <w:t>上述香蕉已</w:t>
      </w:r>
      <w:r>
        <w:rPr>
          <w:rFonts w:hint="eastAsia" w:ascii="仿宋_GB2312" w:eastAsia="仿宋_GB2312"/>
          <w:sz w:val="32"/>
          <w:szCs w:val="32"/>
        </w:rPr>
        <w:t>全部售完，违法所得</w:t>
      </w:r>
      <w:r>
        <w:rPr>
          <w:rFonts w:hint="eastAsia" w:ascii="仿宋_GB2312" w:hAnsi="仿宋_GB2312" w:eastAsia="仿宋_GB2312" w:cs="仿宋_GB2312"/>
          <w:color w:val="000000"/>
          <w:sz w:val="32"/>
          <w:szCs w:val="32"/>
        </w:rPr>
        <w:t>443.05</w:t>
      </w:r>
      <w:r>
        <w:rPr>
          <w:rFonts w:hint="eastAsia" w:ascii="仿宋_GB2312" w:eastAsia="仿宋_GB2312"/>
          <w:sz w:val="32"/>
          <w:szCs w:val="32"/>
        </w:rPr>
        <w:t>元。</w:t>
      </w:r>
    </w:p>
    <w:p w14:paraId="2CDB4244">
      <w:pPr>
        <w:pStyle w:val="184"/>
        <w:keepNext w:val="0"/>
        <w:keepLines w:val="0"/>
        <w:pageBreakBefore w:val="0"/>
        <w:widowControl w:val="0"/>
        <w:tabs>
          <w:tab w:val="left" w:pos="9060"/>
        </w:tabs>
        <w:spacing w:line="240" w:lineRule="auto"/>
        <w:ind w:firstLine="640"/>
        <w:rPr>
          <w:rFonts w:hint="eastAsia" w:ascii="Times New Roman" w:eastAsia="仿宋_GB2312" w:cs="仿宋_GB2312"/>
          <w:bCs/>
          <w:color w:val="000000"/>
        </w:rPr>
      </w:pPr>
      <w:r>
        <w:rPr>
          <w:rFonts w:hint="eastAsia" w:ascii="仿宋_GB2312" w:eastAsia="仿宋_GB2312"/>
        </w:rPr>
        <w:t>此外，当事人购进上述食品时查验了供货方的营业执照</w:t>
      </w:r>
      <w:r>
        <w:rPr>
          <w:rFonts w:hint="eastAsia" w:ascii="仿宋_GB2312" w:hAnsi="仿宋_GB2312" w:eastAsia="仿宋_GB2312" w:cs="仿宋_GB2312"/>
        </w:rPr>
        <w:t>、</w:t>
      </w:r>
      <w:r>
        <w:rPr>
          <w:rFonts w:hint="eastAsia" w:ascii="仿宋_GB2312" w:eastAsia="仿宋_GB2312"/>
        </w:rPr>
        <w:t xml:space="preserve">合格证明等证明文件，其履行了进货查验义务，并能说明进货来源。   </w:t>
      </w:r>
    </w:p>
    <w:p w14:paraId="66F41ECD">
      <w:pPr>
        <w:keepNext w:val="0"/>
        <w:keepLines w:val="0"/>
        <w:pageBreakBefore w:val="0"/>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14:paraId="494D285D">
      <w:pPr>
        <w:keepNext w:val="0"/>
        <w:keepLines w:val="0"/>
        <w:pageBreakBefore w:val="0"/>
        <w:widowControl/>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1、2025年6月24日，执法人员制作的现场笔录一份，证明当事人</w:t>
      </w:r>
      <w:bookmarkStart w:id="3" w:name="OLE_LINK13"/>
      <w:r>
        <w:rPr>
          <w:rFonts w:hint="eastAsia" w:ascii="仿宋_GB2312" w:hAnsi="仿宋_GB2312" w:eastAsia="仿宋_GB2312" w:cs="仿宋_GB2312"/>
          <w:sz w:val="32"/>
          <w:szCs w:val="32"/>
        </w:rPr>
        <w:t>不合格食品已售完的事实</w:t>
      </w:r>
      <w:bookmarkEnd w:id="3"/>
      <w:r>
        <w:rPr>
          <w:rFonts w:hint="eastAsia" w:ascii="仿宋_GB2312" w:hAnsi="仿宋_GB2312" w:eastAsia="仿宋_GB2312" w:cs="仿宋_GB2312"/>
          <w:sz w:val="32"/>
          <w:szCs w:val="32"/>
        </w:rPr>
        <w:t>；</w:t>
      </w:r>
    </w:p>
    <w:p w14:paraId="0C732376">
      <w:pPr>
        <w:keepNext w:val="0"/>
        <w:keepLines w:val="0"/>
        <w:pageBreakBefore w:val="0"/>
        <w:widowControl/>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2、2025年6月24日，</w:t>
      </w:r>
      <w:r>
        <w:rPr>
          <w:rFonts w:hint="eastAsia" w:ascii="仿宋_GB2312" w:eastAsia="仿宋_GB2312"/>
          <w:sz w:val="32"/>
          <w:szCs w:val="32"/>
        </w:rPr>
        <w:t>河北智德检验检测股份有限公司</w:t>
      </w:r>
      <w:r>
        <w:rPr>
          <w:rFonts w:hint="eastAsia" w:ascii="仿宋_GB2312" w:hAnsi="仿宋_GB2312" w:eastAsia="仿宋_GB2312" w:cs="仿宋_GB2312"/>
          <w:sz w:val="32"/>
          <w:szCs w:val="32"/>
        </w:rPr>
        <w:t>出具的检验报告、抽样检验结果通知书、送达回证各一份，证明当事人销售的香蕉经检验</w:t>
      </w:r>
      <w:r>
        <w:rPr>
          <w:rFonts w:hint="eastAsia" w:ascii="仿宋_GB2312" w:eastAsia="仿宋_GB2312"/>
          <w:sz w:val="32"/>
          <w:szCs w:val="32"/>
        </w:rPr>
        <w:t>吡虫啉</w:t>
      </w:r>
      <w:r>
        <w:rPr>
          <w:rFonts w:hint="eastAsia" w:ascii="仿宋_GB2312" w:hAnsi="仿宋_GB2312" w:eastAsia="仿宋_GB2312" w:cs="仿宋_GB2312"/>
          <w:sz w:val="32"/>
          <w:szCs w:val="32"/>
        </w:rPr>
        <w:t>项目超标以及送达情况。</w:t>
      </w:r>
    </w:p>
    <w:p w14:paraId="3959B45D">
      <w:pPr>
        <w:keepNext w:val="0"/>
        <w:keepLines w:val="0"/>
        <w:pageBreakBefore w:val="0"/>
        <w:widowControl/>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3、2025年6月24日，执法人员询问该公司负责人时制作的询问笔录一份，证明当事人销售不合格食品的事实，及违法时间和违法经营额等情况；</w:t>
      </w:r>
    </w:p>
    <w:p w14:paraId="15A7555F">
      <w:pPr>
        <w:keepNext w:val="0"/>
        <w:keepLines w:val="0"/>
        <w:pageBreakBefore w:val="0"/>
        <w:widowControl/>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4、2025年6月24日，执法人员提取的当事人的营业执照复印件及食品经营许可证复印件各一份，证明当事人的主体资格；</w:t>
      </w:r>
    </w:p>
    <w:p w14:paraId="76B1CE7D">
      <w:pPr>
        <w:keepNext w:val="0"/>
        <w:keepLines w:val="0"/>
        <w:pageBreakBefore w:val="0"/>
        <w:widowControl/>
        <w:spacing w:line="24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5、2025年6月24日，执法人员提取的当事人供货方</w:t>
      </w:r>
      <w:r>
        <w:rPr>
          <w:rFonts w:hint="eastAsia" w:ascii="仿宋_GB2312" w:eastAsia="仿宋_GB2312"/>
          <w:sz w:val="32"/>
          <w:szCs w:val="32"/>
        </w:rPr>
        <w:t>营业执照、合格证明等复印件，证明当事人履行进货查验义务及进货来源等情况</w:t>
      </w:r>
      <w:r>
        <w:rPr>
          <w:rFonts w:hint="eastAsia" w:ascii="仿宋_GB2312" w:hAnsi="仿宋_GB2312" w:eastAsia="仿宋_GB2312" w:cs="仿宋_GB2312"/>
          <w:sz w:val="32"/>
          <w:szCs w:val="32"/>
        </w:rPr>
        <w:t>；</w:t>
      </w:r>
    </w:p>
    <w:p w14:paraId="7B59D1BD">
      <w:pPr>
        <w:keepNext w:val="0"/>
        <w:keepLines w:val="0"/>
        <w:pageBreakBefore w:val="0"/>
        <w:spacing w:line="240" w:lineRule="auto"/>
        <w:ind w:firstLine="640"/>
        <w:rPr>
          <w:rFonts w:ascii="Droid Sans Fallback"/>
          <w:sz w:val="23"/>
        </w:rPr>
      </w:pPr>
      <w:r>
        <w:rPr>
          <w:rFonts w:hint="eastAsia" w:ascii="仿宋_GB2312" w:hAnsi="仿宋_GB2312" w:eastAsia="仿宋_GB2312" w:cs="仿宋_GB2312"/>
          <w:sz w:val="32"/>
          <w:szCs w:val="32"/>
        </w:rPr>
        <w:t>本局认为，当事人销售超过</w:t>
      </w:r>
      <w:r>
        <w:rPr>
          <w:rFonts w:hint="eastAsia" w:ascii="仿宋_GB2312" w:hAnsi="仿宋_GB2312" w:eastAsia="仿宋_GB2312" w:cs="仿宋_GB2312"/>
          <w:sz w:val="32"/>
          <w:szCs w:val="32"/>
          <w:lang w:eastAsia="zh-CN"/>
        </w:rPr>
        <w:t>食品安全</w:t>
      </w:r>
      <w:r>
        <w:rPr>
          <w:rFonts w:hint="eastAsia" w:ascii="仿宋_GB2312" w:hAnsi="仿宋_GB2312" w:eastAsia="仿宋_GB2312" w:cs="仿宋_GB2312"/>
          <w:sz w:val="32"/>
          <w:szCs w:val="32"/>
        </w:rPr>
        <w:t>标准的食品，其</w:t>
      </w:r>
      <w:r>
        <w:rPr>
          <w:rFonts w:hint="eastAsia" w:ascii="仿宋_GB2312" w:hAnsi="仿宋_GB2312" w:eastAsia="仿宋_GB2312" w:cs="仿宋_GB2312"/>
          <w:color w:val="000000"/>
          <w:sz w:val="32"/>
          <w:szCs w:val="32"/>
        </w:rPr>
        <w:t>行为违反了《</w:t>
      </w:r>
      <w:bookmarkStart w:id="4" w:name="_GoBack"/>
      <w:r>
        <w:rPr>
          <w:rFonts w:hint="eastAsia" w:ascii="仿宋_GB2312" w:hAnsi="仿宋_GB2312" w:eastAsia="仿宋_GB2312" w:cs="仿宋_GB2312"/>
          <w:color w:val="000000"/>
          <w:sz w:val="32"/>
          <w:szCs w:val="32"/>
        </w:rPr>
        <w:t>中华人民共和国食品安全法</w:t>
      </w:r>
      <w:bookmarkEnd w:id="4"/>
      <w:r>
        <w:rPr>
          <w:rFonts w:hint="eastAsia" w:ascii="仿宋_GB2312" w:hAnsi="仿宋_GB2312" w:eastAsia="仿宋_GB2312" w:cs="仿宋_GB2312"/>
          <w:color w:val="000000"/>
          <w:sz w:val="32"/>
          <w:szCs w:val="32"/>
        </w:rPr>
        <w:t>》第三十四条第二项“禁止生产经营下列食品……(二)致病性微生物、农药残留、兽药残留、重金属、污染物质以及其他危害人体健康的物质含量超过食品安全标准限量的食品…… ”之规定，构成经营</w:t>
      </w:r>
      <w:r>
        <w:rPr>
          <w:rFonts w:hint="eastAsia" w:ascii="仿宋_GB2312" w:eastAsia="仿宋_GB2312"/>
          <w:sz w:val="32"/>
          <w:szCs w:val="32"/>
        </w:rPr>
        <w:t>吡虫啉</w:t>
      </w:r>
      <w:r>
        <w:rPr>
          <w:rFonts w:hint="eastAsia" w:ascii="仿宋_GB2312" w:hAnsi="仿宋_GB2312" w:eastAsia="仿宋_GB2312" w:cs="仿宋_GB2312"/>
          <w:color w:val="000000"/>
          <w:sz w:val="32"/>
          <w:szCs w:val="32"/>
        </w:rPr>
        <w:t>含量超过食品安全标准限量食品的违法行为。</w:t>
      </w:r>
      <w:r>
        <w:rPr>
          <w:rFonts w:hint="eastAsia" w:ascii="仿宋_GB2312" w:hAnsi="仿宋_GB2312" w:eastAsia="仿宋_GB2312" w:cs="仿宋_GB2312"/>
          <w:sz w:val="32"/>
          <w:szCs w:val="32"/>
        </w:rPr>
        <w:t>根据《中华人民共和国食品安全法》第一百二十四条第一款第二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当事人应受到“没收违法所得和违法经营的食品，并可没收用于违法经营的工具、设备、原料等物品，以及并处五万元以上十万元以下罚款”的处罚。但</w:t>
      </w:r>
      <w:r>
        <w:rPr>
          <w:rFonts w:hint="eastAsia" w:ascii="仿宋_GB2312" w:hAnsi="仿宋_GB2312" w:eastAsia="仿宋_GB2312" w:cs="仿宋_GB2312"/>
          <w:color w:val="000000"/>
          <w:sz w:val="32"/>
          <w:szCs w:val="32"/>
        </w:rPr>
        <w:t>当事人在进货时已经按规定履行了进货查验义务，留存了相关材料复印件，并能说明进货来源，由于</w:t>
      </w:r>
      <w:r>
        <w:rPr>
          <w:rFonts w:hint="eastAsia" w:ascii="仿宋_GB2312" w:eastAsia="仿宋_GB2312"/>
          <w:sz w:val="32"/>
          <w:szCs w:val="32"/>
        </w:rPr>
        <w:t>吡虫啉</w:t>
      </w:r>
      <w:r>
        <w:rPr>
          <w:rFonts w:hint="eastAsia" w:ascii="仿宋_GB2312" w:hAnsi="仿宋_GB2312" w:eastAsia="仿宋_GB2312" w:cs="仿宋_GB2312"/>
          <w:color w:val="000000"/>
          <w:sz w:val="32"/>
          <w:szCs w:val="32"/>
        </w:rPr>
        <w:t>超标并非属于通过日常查验可以发现的情况，根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当事人符合《中华人民共和国食品安全法》规定免于处罚的情形，我局</w:t>
      </w:r>
      <w:r>
        <w:rPr>
          <w:rFonts w:hint="eastAsia" w:ascii="仿宋_GB2312" w:hAnsi="仿宋_GB2312" w:eastAsia="仿宋_GB2312" w:cs="仿宋_GB2312"/>
          <w:sz w:val="32"/>
          <w:szCs w:val="32"/>
        </w:rPr>
        <w:t>决定对当事人免予处罚。</w:t>
      </w:r>
    </w:p>
    <w:p w14:paraId="2C4719FC">
      <w:pPr>
        <w:keepNext w:val="0"/>
        <w:keepLines w:val="0"/>
        <w:pageBreakBefore w:val="0"/>
        <w:spacing w:line="240" w:lineRule="auto"/>
        <w:ind w:firstLine="640"/>
      </w:pPr>
      <w:r>
        <w:rPr>
          <w:rFonts w:hint="eastAsia" w:ascii="仿宋_GB2312" w:hAnsi="仿宋_GB2312" w:eastAsia="仿宋_GB2312" w:cs="仿宋_GB2312"/>
          <w:sz w:val="32"/>
          <w:szCs w:val="32"/>
        </w:rPr>
        <w:t>你（单位）如不服本行政处罚决定，可以在收到本当场行政处罚决定书之日起</w:t>
      </w:r>
      <w:r>
        <w:rPr>
          <w:rFonts w:hint="eastAsia" w:ascii="仿宋_GB2312" w:hAnsi="仿宋_GB2312" w:eastAsia="仿宋_GB2312" w:cs="仿宋_GB2312"/>
          <w:sz w:val="32"/>
          <w:szCs w:val="32"/>
          <w:u w:val="single"/>
        </w:rPr>
        <w:t>六十日</w:t>
      </w:r>
      <w:r>
        <w:rPr>
          <w:rFonts w:hint="eastAsia" w:ascii="仿宋_GB2312" w:hAnsi="仿宋_GB2312" w:eastAsia="仿宋_GB2312" w:cs="仿宋_GB2312"/>
          <w:sz w:val="32"/>
          <w:szCs w:val="32"/>
        </w:rPr>
        <w:t>内向</w:t>
      </w:r>
      <w:r>
        <w:rPr>
          <w:rFonts w:hint="eastAsia" w:ascii="仿宋_GB2312" w:hAnsi="仿宋_GB2312" w:eastAsia="仿宋_GB2312" w:cs="仿宋_GB2312"/>
          <w:sz w:val="32"/>
          <w:szCs w:val="32"/>
          <w:u w:val="single"/>
        </w:rPr>
        <w:t>北戴河区人民政府</w:t>
      </w:r>
      <w:r>
        <w:rPr>
          <w:rFonts w:hint="eastAsia" w:ascii="仿宋_GB2312" w:hAnsi="仿宋_GB2312" w:eastAsia="仿宋_GB2312" w:cs="仿宋_GB2312"/>
          <w:sz w:val="32"/>
          <w:szCs w:val="32"/>
        </w:rPr>
        <w:t>申请行政复议。地址：秦皇岛市北戴河区红石路48号（公共法律服务中心）或北戴河区联峰北路88号；邮政编码：066100；电话：0335-7061261或4186291；电子邮箱：bdhxzfy@163.com 。对行政复议决定不服的，再依法提起行政诉讼。你（单位）可以通过本机关提交行政复议申请。申请行政复议或者提起行政诉讼期间，行政处罚不停止执行。</w:t>
      </w:r>
    </w:p>
    <w:p w14:paraId="7C9AE40C">
      <w:pPr>
        <w:pStyle w:val="184"/>
        <w:keepNext w:val="0"/>
        <w:keepLines w:val="0"/>
        <w:pageBreakBefore w:val="0"/>
        <w:tabs>
          <w:tab w:val="left" w:pos="8395"/>
        </w:tabs>
        <w:spacing w:line="240" w:lineRule="auto"/>
        <w:ind w:firstLine="627"/>
        <w:rPr>
          <w:rFonts w:hint="eastAsia" w:ascii="仿宋" w:hAnsi="仿宋" w:eastAsia="仿宋" w:cs="仿宋"/>
          <w:bCs/>
          <w:color w:val="231F20"/>
        </w:rPr>
      </w:pPr>
      <w:r>
        <w:rPr>
          <w:rFonts w:hint="eastAsia" w:ascii="仿宋_GB2312" w:hAnsi="仿宋_GB2312" w:eastAsia="仿宋_GB2312" w:cs="仿宋_GB2312"/>
        </w:rPr>
        <w:t>依据《中华人民共和国行政处罚法》第三十三条第三款的规定，对你（单位）进行教育，具体内容如下：</w:t>
      </w:r>
    </w:p>
    <w:p w14:paraId="1C3C1079">
      <w:pPr>
        <w:pStyle w:val="184"/>
        <w:keepNext w:val="0"/>
        <w:keepLines w:val="0"/>
        <w:pageBreakBefore w:val="0"/>
        <w:tabs>
          <w:tab w:val="left" w:pos="8395"/>
        </w:tabs>
        <w:spacing w:line="240" w:lineRule="auto"/>
        <w:ind w:firstLine="627"/>
        <w:rPr>
          <w:rFonts w:hint="eastAsia" w:ascii="仿宋_GB2312" w:hAnsi="仿宋_GB2312" w:eastAsia="仿宋_GB2312" w:cs="仿宋_GB2312"/>
          <w:bCs/>
          <w:color w:val="231F20"/>
          <w:u w:val="single"/>
        </w:rPr>
      </w:pPr>
      <w:r>
        <w:rPr>
          <w:rFonts w:hint="eastAsia" w:ascii="仿宋_GB2312" w:hAnsi="仿宋_GB2312" w:eastAsia="仿宋_GB2312" w:cs="仿宋_GB2312"/>
          <w:bCs/>
          <w:color w:val="231F20"/>
          <w:u w:val="single"/>
        </w:rPr>
        <w:t xml:space="preserve">1. </w:t>
      </w:r>
      <w:r>
        <w:rPr>
          <w:rFonts w:hint="eastAsia" w:ascii="仿宋_GB2312" w:hAnsi="仿宋_GB2312" w:eastAsia="仿宋_GB2312" w:cs="仿宋_GB2312"/>
          <w:bCs/>
          <w:color w:val="231F20"/>
          <w:u w:val="single"/>
          <w:lang w:eastAsia="en-US"/>
        </w:rPr>
        <w:t>加强</w:t>
      </w:r>
      <w:r>
        <w:rPr>
          <w:rFonts w:hint="eastAsia" w:ascii="仿宋_GB2312" w:hAnsi="仿宋_GB2312" w:eastAsia="仿宋_GB2312" w:cs="仿宋_GB2312"/>
          <w:bCs/>
          <w:color w:val="231F20"/>
          <w:u w:val="single"/>
          <w:lang w:eastAsia="zh-CN"/>
        </w:rPr>
        <w:t>《中华人民共和国食品安全法》</w:t>
      </w:r>
      <w:r>
        <w:rPr>
          <w:rFonts w:hint="eastAsia" w:ascii="仿宋_GB2312" w:hAnsi="仿宋_GB2312" w:eastAsia="仿宋_GB2312" w:cs="仿宋_GB2312"/>
          <w:bCs/>
          <w:color w:val="231F20"/>
          <w:u w:val="single"/>
          <w:lang w:eastAsia="en-US"/>
        </w:rPr>
        <w:t>履行进货查验义务的法律学习</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rPr>
        <w:t xml:space="preserve">                                             </w:t>
      </w:r>
    </w:p>
    <w:p w14:paraId="5C870E43">
      <w:pPr>
        <w:pStyle w:val="184"/>
        <w:keepNext w:val="0"/>
        <w:keepLines w:val="0"/>
        <w:pageBreakBefore w:val="0"/>
        <w:tabs>
          <w:tab w:val="left" w:pos="8395"/>
        </w:tabs>
        <w:spacing w:line="240" w:lineRule="auto"/>
        <w:ind w:firstLine="627"/>
        <w:rPr>
          <w:rFonts w:hint="eastAsia" w:ascii="仿宋_GB2312" w:hAnsi="仿宋_GB2312" w:eastAsia="仿宋_GB2312" w:cs="仿宋_GB2312"/>
          <w:bCs/>
          <w:color w:val="231F20"/>
          <w:u w:val="single"/>
        </w:rPr>
      </w:pPr>
      <w:r>
        <w:rPr>
          <w:rFonts w:hint="eastAsia" w:ascii="仿宋_GB2312" w:hAnsi="仿宋_GB2312" w:eastAsia="仿宋_GB2312" w:cs="仿宋_GB2312"/>
          <w:bCs/>
          <w:color w:val="231F20"/>
          <w:u w:val="single"/>
        </w:rPr>
        <w:t xml:space="preserve">2. </w:t>
      </w:r>
      <w:r>
        <w:rPr>
          <w:rFonts w:hint="eastAsia" w:ascii="仿宋_GB2312" w:hAnsi="仿宋_GB2312" w:eastAsia="仿宋_GB2312" w:cs="仿宋_GB2312"/>
          <w:bCs/>
          <w:color w:val="231F20"/>
          <w:u w:val="single"/>
          <w:lang w:eastAsia="en-US"/>
        </w:rPr>
        <w:t>对购进的食品加强安全规范管理</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rPr>
        <w:t xml:space="preserve">                                             </w:t>
      </w:r>
    </w:p>
    <w:p w14:paraId="4B33506F">
      <w:pPr>
        <w:pStyle w:val="184"/>
        <w:keepNext w:val="0"/>
        <w:keepLines w:val="0"/>
        <w:pageBreakBefore w:val="0"/>
        <w:tabs>
          <w:tab w:val="left" w:pos="8395"/>
        </w:tabs>
        <w:spacing w:line="240" w:lineRule="auto"/>
        <w:ind w:firstLine="627"/>
        <w:rPr>
          <w:rFonts w:hint="eastAsia" w:ascii="仿宋_GB2312" w:hAnsi="方正仿宋_GBK" w:eastAsia="仿宋_GB2312"/>
          <w:b/>
          <w:color w:val="231F20"/>
          <w:u w:val="single"/>
        </w:rPr>
      </w:pPr>
      <w:r>
        <w:rPr>
          <w:rFonts w:hint="eastAsia" w:ascii="仿宋_GB2312" w:hAnsi="仿宋_GB2312" w:eastAsia="仿宋_GB2312" w:cs="仿宋_GB2312"/>
          <w:bCs/>
          <w:color w:val="231F20"/>
          <w:u w:val="single"/>
        </w:rPr>
        <w:t xml:space="preserve">3. </w:t>
      </w:r>
      <w:r>
        <w:rPr>
          <w:rFonts w:hint="eastAsia" w:ascii="仿宋_GB2312" w:hAnsi="仿宋_GB2312" w:eastAsia="仿宋_GB2312" w:cs="仿宋_GB2312"/>
          <w:bCs/>
          <w:color w:val="231F20"/>
          <w:u w:val="single"/>
          <w:lang w:eastAsia="en-US"/>
        </w:rPr>
        <w:t>公示抽检结果</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lang w:eastAsia="en-US"/>
        </w:rPr>
        <w:t>召回不合格食品</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rPr>
        <w:t xml:space="preserve"> </w:t>
      </w:r>
      <w:r>
        <w:rPr>
          <w:rFonts w:hint="eastAsia" w:ascii="仿宋_GB2312" w:hAnsi="方正仿宋_GBK" w:eastAsia="仿宋_GB2312"/>
          <w:b/>
          <w:color w:val="231F20"/>
          <w:u w:val="single"/>
        </w:rPr>
        <w:t xml:space="preserve">                                             </w:t>
      </w:r>
    </w:p>
    <w:p w14:paraId="78414D4E">
      <w:pPr>
        <w:keepNext w:val="0"/>
        <w:keepLines w:val="0"/>
        <w:pageBreakBefore w:val="0"/>
        <w:widowControl/>
        <w:spacing w:line="240" w:lineRule="auto"/>
        <w:jc w:val="left"/>
        <w:rPr>
          <w:rFonts w:hint="eastAsia" w:ascii="Times New Roman" w:hAnsi="Times New Roman" w:eastAsia="仿宋_GB2312" w:cs="仿宋_GB2312"/>
          <w:color w:val="000000"/>
          <w:sz w:val="32"/>
          <w:szCs w:val="32"/>
        </w:rPr>
      </w:pPr>
    </w:p>
    <w:p w14:paraId="77832744">
      <w:pPr>
        <w:keepNext w:val="0"/>
        <w:keepLines w:val="0"/>
        <w:pageBreakBefore w:val="0"/>
        <w:spacing w:line="240" w:lineRule="auto"/>
        <w:ind w:right="640" w:firstLine="601"/>
        <w:jc w:val="right"/>
        <w:rPr>
          <w:rFonts w:ascii="Times New Roman" w:hAnsi="Times New Roman" w:eastAsia="仿宋_GB2312" w:cs="仿宋"/>
          <w:color w:val="000000"/>
          <w:sz w:val="32"/>
          <w:szCs w:val="32"/>
        </w:rPr>
      </w:pPr>
      <w:r>
        <w:rPr>
          <w:rFonts w:ascii="Times New Roman" w:hAnsi="Times New Roman" w:eastAsia="仿宋_GB2312" w:cs="仿宋_GB2312"/>
          <w:color w:val="000000"/>
          <w:sz w:val="32"/>
          <w:szCs w:val="32"/>
        </w:rPr>
        <w:t xml:space="preserve">    </w:t>
      </w:r>
      <w:r>
        <w:rPr>
          <w:rFonts w:hint="eastAsia" w:ascii="仿宋_GB2312" w:hAnsi="仿宋_GB2312" w:eastAsia="仿宋_GB2312" w:cs="仿宋_GB2312"/>
          <w:sz w:val="32"/>
          <w:szCs w:val="32"/>
        </w:rPr>
        <w:t>秦皇岛市北戴河区市场监督管理局</w:t>
      </w:r>
      <w:r>
        <w:rPr>
          <w:rFonts w:hint="eastAsia" w:ascii="Times New Roman" w:hAnsi="Times New Roman" w:eastAsia="仿宋_GB2312" w:cs="仿宋"/>
          <w:color w:val="000000"/>
          <w:sz w:val="32"/>
          <w:szCs w:val="32"/>
        </w:rPr>
        <w:t xml:space="preserve">    </w:t>
      </w:r>
    </w:p>
    <w:p w14:paraId="33A0E18E">
      <w:pPr>
        <w:keepNext w:val="0"/>
        <w:keepLines w:val="0"/>
        <w:pageBreakBefore w:val="0"/>
        <w:spacing w:line="240" w:lineRule="auto"/>
        <w:ind w:right="640" w:firstLine="601"/>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p>
    <w:p w14:paraId="3D9B4BD8">
      <w:pPr>
        <w:keepNext w:val="0"/>
        <w:keepLines w:val="0"/>
        <w:pageBreakBefore w:val="0"/>
        <w:spacing w:line="240" w:lineRule="auto"/>
        <w:ind w:right="1280" w:firstLine="600"/>
        <w:jc w:val="right"/>
        <w:rPr>
          <w:rFonts w:hint="eastAsia" w:ascii="Times New Roman" w:hAnsi="Times New Roman" w:eastAsia="仿宋_GB2312" w:cs="Mongolian Baiti"/>
          <w:color w:val="000000"/>
          <w:sz w:val="32"/>
          <w:szCs w:val="32"/>
          <w:u w:val="single"/>
        </w:rPr>
      </w:pPr>
      <w:r>
        <w:rPr>
          <w:rFonts w:hint="eastAsia" w:ascii="仿宋_GB2312" w:hAnsi="Times New Roman" w:eastAsia="仿宋_GB2312" w:cs="仿宋"/>
          <w:color w:val="000000"/>
          <w:sz w:val="32"/>
          <w:szCs w:val="32"/>
        </w:rPr>
        <w:t xml:space="preserve">2025年7月7日   </w:t>
      </w:r>
    </w:p>
    <w:p w14:paraId="5EA1FBC0">
      <w:pPr>
        <w:keepNext w:val="0"/>
        <w:keepLines w:val="0"/>
        <w:pageBreakBefore w:val="0"/>
        <w:widowControl/>
        <w:spacing w:line="240" w:lineRule="auto"/>
        <w:rPr>
          <w:rFonts w:hint="eastAsia" w:ascii="Times New Roman" w:hAnsi="Times New Roman" w:eastAsia="仿宋_GB2312" w:cs="Mongolian Baiti"/>
          <w:color w:val="000000"/>
          <w:sz w:val="32"/>
          <w:szCs w:val="32"/>
          <w:u w:val="single"/>
        </w:rPr>
      </w:pPr>
    </w:p>
    <w:p w14:paraId="681677EF">
      <w:pPr>
        <w:keepNext w:val="0"/>
        <w:keepLines w:val="0"/>
        <w:pageBreakBefore w:val="0"/>
        <w:widowControl/>
        <w:spacing w:line="240" w:lineRule="auto"/>
        <w:rPr>
          <w:rFonts w:hint="eastAsia" w:ascii="Times New Roman" w:hAnsi="Times New Roman" w:eastAsia="仿宋_GB2312" w:cs="Mongolian Baiti"/>
          <w:color w:val="000000"/>
          <w:sz w:val="32"/>
          <w:szCs w:val="32"/>
          <w:u w:val="single"/>
        </w:rPr>
      </w:pPr>
    </w:p>
    <w:p w14:paraId="646FCAA2">
      <w:pPr>
        <w:keepNext w:val="0"/>
        <w:keepLines w:val="0"/>
        <w:pageBreakBefore w:val="0"/>
        <w:widowControl/>
        <w:spacing w:line="240" w:lineRule="auto"/>
        <w:rPr>
          <w:rFonts w:hint="eastAsia" w:ascii="Times New Roman" w:hAnsi="Times New Roman" w:eastAsia="仿宋_GB2312" w:cs="Mongolian Baiti"/>
          <w:color w:val="000000"/>
          <w:sz w:val="32"/>
          <w:szCs w:val="32"/>
          <w:u w:val="single"/>
        </w:rPr>
      </w:pPr>
    </w:p>
    <w:p w14:paraId="2AF0A58D">
      <w:pPr>
        <w:widowControl/>
        <w:spacing w:line="500" w:lineRule="exact"/>
        <w:rPr>
          <w:rFonts w:hint="eastAsia" w:ascii="Times New Roman" w:hAnsi="Times New Roman" w:eastAsia="仿宋_GB2312" w:cs="Mongolian Baiti"/>
          <w:color w:val="000000"/>
          <w:sz w:val="32"/>
          <w:szCs w:val="32"/>
          <w:u w:val="single"/>
        </w:rPr>
      </w:pPr>
    </w:p>
    <w:p w14:paraId="646BC61E">
      <w:pPr>
        <w:widowControl/>
        <w:spacing w:line="500" w:lineRule="exact"/>
        <w:rPr>
          <w:rFonts w:hint="eastAsia" w:ascii="Times New Roman" w:hAnsi="Times New Roman" w:eastAsia="仿宋_GB2312" w:cs="Mongolian Baiti"/>
          <w:color w:val="000000"/>
          <w:sz w:val="32"/>
          <w:szCs w:val="32"/>
          <w:u w:val="single"/>
        </w:rPr>
      </w:pPr>
    </w:p>
    <w:p w14:paraId="5C390024">
      <w:pPr>
        <w:widowControl/>
        <w:spacing w:line="500" w:lineRule="exact"/>
        <w:rPr>
          <w:rFonts w:hint="eastAsia" w:ascii="Times New Roman" w:hAnsi="Times New Roman" w:eastAsia="仿宋_GB2312" w:cs="Mongolian Baiti"/>
          <w:color w:val="000000"/>
          <w:sz w:val="32"/>
          <w:szCs w:val="32"/>
          <w:u w:val="single"/>
        </w:rPr>
      </w:pPr>
    </w:p>
    <w:p w14:paraId="6BF4EA03">
      <w:pPr>
        <w:widowControl/>
        <w:spacing w:line="500" w:lineRule="exact"/>
        <w:rPr>
          <w:rFonts w:hint="eastAsia" w:ascii="Times New Roman" w:hAnsi="Times New Roman" w:eastAsia="仿宋_GB2312" w:cs="Mongolian Baiti"/>
          <w:color w:val="000000"/>
          <w:sz w:val="32"/>
          <w:szCs w:val="32"/>
          <w:u w:val="single"/>
        </w:rPr>
      </w:pPr>
    </w:p>
    <w:p w14:paraId="5C216E2D">
      <w:pPr>
        <w:widowControl/>
        <w:spacing w:line="500" w:lineRule="exact"/>
        <w:rPr>
          <w:rFonts w:hint="eastAsia" w:ascii="Times New Roman" w:hAnsi="Times New Roman" w:eastAsia="仿宋_GB2312" w:cs="Mongolian Baiti"/>
          <w:color w:val="000000"/>
          <w:sz w:val="32"/>
          <w:szCs w:val="32"/>
          <w:u w:val="single"/>
        </w:rPr>
      </w:pPr>
    </w:p>
    <w:p w14:paraId="1F5463EF">
      <w:pPr>
        <w:spacing w:line="500" w:lineRule="exact"/>
        <w:jc w:val="center"/>
        <w:rPr>
          <w:rFonts w:hint="eastAsia" w:ascii="Times New Roman" w:hAnsi="Times New Roman" w:eastAsia="仿宋_GB2312" w:cs="仿宋"/>
          <w:color w:val="000000"/>
          <w:sz w:val="32"/>
          <w:szCs w:val="32"/>
        </w:rPr>
      </w:pPr>
      <w:r>
        <w:rPr>
          <w:rFonts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-1270</wp:posOffset>
                </wp:positionV>
                <wp:extent cx="5550535" cy="635"/>
                <wp:effectExtent l="0" t="0" r="0" b="0"/>
                <wp:wrapNone/>
                <wp:docPr id="3" name="_x0000_s1027"/>
                <wp:cNvGraphicFramePr/>
                <a:graphic xmlns:a="http://schemas.openxmlformats.org/drawingml/2006/main">
                  <a:graphicData uri="http://schemas.microsoft.com/office/word/2010/wordprocessingShape">
                    <wps:wsp>
                      <wps:cNvCnPr/>
                      <wps:spPr bwMode="auto">
                        <a:xfrm>
                          <a:off x="0" y="0"/>
                          <a:ext cx="5550535" cy="635"/>
                        </a:xfrm>
                        <a:prstGeom prst="line">
                          <a:avLst/>
                        </a:prstGeom>
                        <a:noFill/>
                        <a:ln w="15875">
                          <a:solidFill>
                            <a:srgbClr val="000000"/>
                          </a:solidFill>
                        </a:ln>
                      </wps:spPr>
                      <wps:bodyPr rot="0">
                        <a:noAutofit/>
                      </wps:bodyPr>
                    </wps:wsp>
                  </a:graphicData>
                </a:graphic>
              </wp:anchor>
            </w:drawing>
          </mc:Choice>
          <mc:Fallback>
            <w:pict>
              <v:line id="_x0000_s1027" o:spid="_x0000_s1026" o:spt="20" style="position:absolute;left:0pt;margin-top:-0.1pt;height:0.05pt;width:437.05pt;mso-position-horizontal:center;z-index:251660288;mso-width-relative:page;mso-height-relative:page;" filled="f" stroked="t" coordsize="21600,21600" o:gfxdata="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CHmi1AAAAAQBAAAPAAAAAAAAAAEAIAAAACIAAABkcnMvZG93bnJldi54bWxQ&#10;SwECFAAUAAAACACHTuJAbv+FscIBAACOAwAADgAAAAAAAAABACAAAAAjAQAAZHJzL2Uyb0RvYy54&#10;bWxQSwUGAAAAAAYABgBZAQAAVw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_x0000_s1028"/>
                <wp:cNvGraphicFramePr/>
                <a:graphic xmlns:a="http://schemas.openxmlformats.org/drawingml/2006/main">
                  <a:graphicData uri="http://schemas.microsoft.com/office/word/2010/wordprocessingShape">
                    <wps:wsp>
                      <wps:cNvCnPr/>
                      <wps:spPr bwMode="auto">
                        <a:xfrm>
                          <a:off x="0" y="0"/>
                          <a:ext cx="5762625" cy="1270"/>
                        </a:xfrm>
                        <a:prstGeom prst="line">
                          <a:avLst/>
                        </a:prstGeom>
                        <a:noFill/>
                        <a:ln w="9360">
                          <a:solidFill>
                            <a:srgbClr val="000000"/>
                          </a:solidFill>
                        </a:ln>
                      </wps:spPr>
                      <wps:bodyPr rot="0">
                        <a:noAutofit/>
                      </wps:bodyPr>
                    </wps:wsp>
                  </a:graphicData>
                </a:graphic>
              </wp:anchor>
            </w:drawing>
          </mc:Choice>
          <mc:Fallback>
            <w:pict>
              <v:line id="_x0000_s1028"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o7qa2AAAAAoBAAAPAAAAAAAAAAEAIAAAACIAAABkcnMvZG93bnJl&#10;di54bWxQSwECFAAUAAAACACHTuJAiLXFVMQBAACOAwAADgAAAAAAAAABACAAAAAnAQAAZHJzL2Uy&#10;b0RvYy54bWxQSwUGAAAAAAYABgBZAQAAXQUAAAAA&#10;">
                <v:fill on="f" focussize="0,0"/>
                <v:stroke weight="0.737007874015748pt" color="#000000" joinstyle="round"/>
                <v:imagedata o:title=""/>
                <o:lock v:ext="edit" aspectratio="f"/>
              </v:line>
            </w:pict>
          </mc:Fallback>
        </mc:AlternateContent>
      </w:r>
      <w:r>
        <w:rPr>
          <w:rFonts w:hint="eastAsia" w:ascii="Times New Roman" w:hAnsi="Times New Roman" w:eastAsia="仿宋_GB2312" w:cs="仿宋"/>
          <w:color w:val="000000"/>
          <w:sz w:val="32"/>
          <w:szCs w:val="32"/>
        </w:rPr>
        <w:t>本文书一式二份，一份送达，一份归档。</w:t>
      </w:r>
    </w:p>
    <w:sectPr>
      <w:footerReference r:id="rId3" w:type="default"/>
      <w:pgSz w:w="11906" w:h="16838" w:orient="landscape"/>
      <w:pgMar w:top="1417" w:right="1701" w:bottom="1134" w:left="1984" w:header="851" w:footer="62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2A2286C2-C743-41D9-827E-A47316EBDEE2}"/>
  </w:font>
  <w:font w:name="等线">
    <w:altName w:val="微软雅黑"/>
    <w:panose1 w:val="02010600030101010101"/>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Arial Unicode MS">
    <w:altName w:val="Arial"/>
    <w:panose1 w:val="020B0604020202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embedRegular r:id="rId2" w:fontKey="{F203F0F9-F90F-4D79-970C-AD558F21D814}"/>
  </w:font>
  <w:font w:name="方正仿宋_GBK">
    <w:panose1 w:val="02000000000000000000"/>
    <w:charset w:val="86"/>
    <w:family w:val="auto"/>
    <w:pitch w:val="default"/>
    <w:sig w:usb0="A00002BF" w:usb1="38CF7CFA" w:usb2="00082016" w:usb3="00000000" w:csb0="00040001" w:csb1="00000000"/>
    <w:embedRegular r:id="rId3" w:fontKey="{69902388-E394-4AB2-B7EA-3DF6A264CC51}"/>
  </w:font>
  <w:font w:name="Droid Sans Fallback">
    <w:altName w:val="Vijaya"/>
    <w:panose1 w:val="020B0604020202020204"/>
    <w:charset w:val="00"/>
    <w:family w:val="auto"/>
    <w:pitch w:val="default"/>
    <w:sig w:usb0="00000000" w:usb1="00000000" w:usb2="00000000" w:usb3="00000000" w:csb0="00000000" w:csb1="00000000"/>
    <w:embedRegular r:id="rId4" w:fontKey="{A3F8580B-071C-4932-9080-BB95C4CEE8A9}"/>
  </w:font>
  <w:font w:name="仿宋">
    <w:panose1 w:val="02010609060101010101"/>
    <w:charset w:val="86"/>
    <w:family w:val="auto"/>
    <w:pitch w:val="default"/>
    <w:sig w:usb0="800002BF" w:usb1="38CF7CFA" w:usb2="00000016" w:usb3="00000000" w:csb0="00040001" w:csb1="00000000"/>
    <w:embedRegular r:id="rId5" w:fontKey="{F62D08AC-FF7C-4330-BD56-C5849BF1B1AF}"/>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D2E8D">
    <w:pPr>
      <w:tabs>
        <w:tab w:val="left" w:pos="1765"/>
      </w:tabs>
      <w:spacing w:line="520" w:lineRule="exact"/>
      <w:rPr>
        <w:rFonts w:ascii="Times New Roman" w:hAnsi="Times New Roman" w:eastAsia="仿宋_GB2312" w:cs="仿宋"/>
        <w:color w:val="000000"/>
        <w:sz w:val="32"/>
        <w:szCs w:val="32"/>
        <w:u w:val="single"/>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132715</wp:posOffset>
              </wp:positionV>
              <wp:extent cx="1828800" cy="217170"/>
              <wp:effectExtent l="0" t="0" r="0" b="0"/>
              <wp:wrapNone/>
              <wp:docPr id="1" name="_x0000_s2050"/>
              <wp:cNvGraphicFramePr/>
              <a:graphic xmlns:a="http://schemas.openxmlformats.org/drawingml/2006/main">
                <a:graphicData uri="http://schemas.microsoft.com/office/word/2010/wordprocessingShape">
                  <wps:wsp>
                    <wps:cNvSpPr txBox="1"/>
                    <wps:spPr bwMode="auto">
                      <a:xfrm>
                        <a:off x="0" y="0"/>
                        <a:ext cx="1828800" cy="217170"/>
                      </a:xfrm>
                      <a:prstGeom prst="rect">
                        <a:avLst/>
                      </a:prstGeom>
                      <a:noFill/>
                      <a:ln w="6350">
                        <a:noFill/>
                      </a:ln>
                    </wps:spPr>
                    <wps:txbx>
                      <w:txbxContent>
                        <w:p w14:paraId="4FFCD8EE">
                          <w:pPr>
                            <w:pStyle w:val="186"/>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4</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p w14:paraId="2EB8F633"/>
                      </w:txbxContent>
                    </wps:txbx>
                    <wps:bodyPr wrap="none" lIns="0" tIns="0" rIns="0" bIns="0" upright="1"/>
                  </wps:wsp>
                </a:graphicData>
              </a:graphic>
            </wp:anchor>
          </w:drawing>
        </mc:Choice>
        <mc:Fallback>
          <w:pict>
            <v:shape id="_x0000_s2050" o:spid="_x0000_s1026" o:spt="202" type="#_x0000_t202" style="position:absolute;left:0pt;margin-top:10.45pt;height:17.1pt;width:144pt;mso-position-horizontal:center;mso-position-horizontal-relative:margin;mso-wrap-style:none;z-index:251659264;mso-width-relative:page;mso-height-relative:page;" filled="f" stroked="f" coordsize="21600,21600" o:gfxdata="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FpPy1gAAAAYBAAAPAAAAAAAAAAEAIAAAACIAAABkcnMvZG93bnJl&#10;di54bWxQSwECFAAUAAAACACHTuJALVE/XMYBAACWAwAADgAAAAAAAAABACAAAAAlAQAAZHJzL2Uy&#10;b0RvYy54bWxQSwUGAAAAAAYABgBZAQAAXQUAAAAA&#10;">
              <v:fill on="f" focussize="0,0"/>
              <v:stroke on="f" weight="0.5pt"/>
              <v:imagedata o:title=""/>
              <o:lock v:ext="edit" aspectratio="f"/>
              <v:textbox inset="0mm,0mm,0mm,0mm">
                <w:txbxContent>
                  <w:p w14:paraId="4FFCD8EE">
                    <w:pPr>
                      <w:pStyle w:val="186"/>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4</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p w14:paraId="2EB8F633"/>
                </w:txbxContent>
              </v:textbox>
            </v:shape>
          </w:pict>
        </mc:Fallback>
      </mc:AlternateContent>
    </w:r>
  </w:p>
  <w:p w14:paraId="6A947E3A">
    <w:pPr>
      <w:pStyle w:val="18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011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9"/>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rPr>
  </w:style>
  <w:style w:type="character" w:styleId="33">
    <w:name w:val="footnote reference"/>
    <w:unhideWhenUsed/>
    <w:qFormat/>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character" w:customStyle="1" w:styleId="182">
    <w:name w:val="默认段落字体1"/>
    <w:link w:val="1"/>
    <w:unhideWhenUsed/>
    <w:qFormat/>
    <w:uiPriority w:val="1"/>
  </w:style>
  <w:style w:type="table" w:customStyle="1" w:styleId="183">
    <w:name w:val="普通表格1"/>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正文文本1"/>
    <w:basedOn w:val="1"/>
    <w:qFormat/>
    <w:uiPriority w:val="1"/>
    <w:pPr>
      <w:jc w:val="left"/>
    </w:pPr>
    <w:rPr>
      <w:rFonts w:ascii="Arial Unicode MS" w:hAnsi="Times New Roman" w:eastAsia="Arial Unicode MS"/>
      <w:sz w:val="32"/>
      <w:szCs w:val="32"/>
    </w:rPr>
  </w:style>
  <w:style w:type="paragraph" w:customStyle="1" w:styleId="185">
    <w:name w:val="正文文本缩进1"/>
    <w:basedOn w:val="1"/>
    <w:qFormat/>
    <w:uiPriority w:val="0"/>
    <w:pPr>
      <w:spacing w:line="440" w:lineRule="atLeast"/>
      <w:ind w:left="266" w:firstLine="560"/>
    </w:pPr>
    <w:rPr>
      <w:bCs/>
      <w:sz w:val="28"/>
    </w:rPr>
  </w:style>
  <w:style w:type="paragraph" w:customStyle="1" w:styleId="186">
    <w:name w:val="页脚1"/>
    <w:basedOn w:val="1"/>
    <w:qFormat/>
    <w:uiPriority w:val="0"/>
    <w:pPr>
      <w:tabs>
        <w:tab w:val="center" w:pos="4153"/>
        <w:tab w:val="right" w:pos="8306"/>
      </w:tabs>
      <w:jc w:val="left"/>
    </w:pPr>
    <w:rPr>
      <w:sz w:val="18"/>
    </w:rPr>
  </w:style>
  <w:style w:type="paragraph" w:customStyle="1" w:styleId="18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customStyle="1" w:styleId="188">
    <w:name w:val="普通(网站)1"/>
    <w:basedOn w:val="1"/>
    <w:qFormat/>
    <w:uiPriority w:val="0"/>
    <w:pPr>
      <w:spacing w:beforeAutospacing="1" w:afterAutospacing="1"/>
      <w:jc w:val="left"/>
    </w:pPr>
    <w:rPr>
      <w:sz w:val="24"/>
    </w:rPr>
  </w:style>
  <w:style w:type="character" w:customStyle="1" w:styleId="189">
    <w:name w:val="页码1"/>
    <w:basedOn w:val="182"/>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4</Pages>
  <Words>1887</Words>
  <Characters>2042</Characters>
  <TotalTime>1</TotalTime>
  <ScaleCrop>false</ScaleCrop>
  <LinksUpToDate>false</LinksUpToDate>
  <CharactersWithSpaces>2332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dc:creator>
  <cp:lastModifiedBy>☆封启♂</cp:lastModifiedBy>
  <dcterms:modified xsi:type="dcterms:W3CDTF">2025-09-16T06:53:31Z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eyJoZGlkIjoiNGZiZTI4NDZiM2JkMWFjNjQ4Mjg5YmYxNjNmODYwOTkiLCJ1c2VySWQiOiI2NTMzMTA0MzEifQ==</vt:lpwstr>
  </property>
  <property fmtid="{D5CDD505-2E9C-101B-9397-08002B2CF9AE}" pid="3" name="KSOProductBuildVer">
    <vt:lpwstr>2052-12.1.0.22529</vt:lpwstr>
  </property>
  <property fmtid="{D5CDD505-2E9C-101B-9397-08002B2CF9AE}" pid="4" name="ICV">
    <vt:lpwstr>73292BA8219A4CB29CAB92DDD6501D7F_12</vt:lpwstr>
  </property>
</Properties>
</file>