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textAlignment w:val="center"/>
        <w:rPr>
          <w:rFonts w:ascii="黑体" w:eastAsia="黑体" w:cs="黑体"/>
          <w:color w:val="000000"/>
          <w:kern w:val="0"/>
          <w:sz w:val="30"/>
          <w:szCs w:val="30"/>
        </w:rPr>
      </w:pPr>
      <w:bookmarkStart w:id="0" w:name="_GoBack"/>
      <w:bookmarkEnd w:id="0"/>
      <w:r>
        <w:rPr>
          <w:rFonts w:hint="eastAsia" w:ascii="黑体" w:eastAsia="黑体" w:cs="黑体"/>
          <w:color w:val="000000"/>
          <w:kern w:val="0"/>
          <w:sz w:val="30"/>
          <w:szCs w:val="30"/>
        </w:rPr>
        <w:t>附件</w:t>
      </w:r>
    </w:p>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履职行权规程（政务服务类样表）</w:t>
      </w:r>
    </w:p>
    <w:tbl>
      <w:tblPr>
        <w:tblStyle w:val="3"/>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rPr>
              <w:t>行政</w:t>
            </w:r>
            <w:r>
              <w:rPr>
                <w:rFonts w:hint="eastAsia" w:ascii="仿宋_GB2312" w:eastAsia="仿宋_GB2312" w:cs="仿宋_GB2312"/>
                <w:color w:val="000000"/>
                <w:kern w:val="0"/>
                <w:sz w:val="18"/>
                <w:szCs w:val="18"/>
                <w:lang w:val="en-US" w:eastAsia="zh-CN"/>
              </w:rPr>
              <w:t>许可</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val="en-US" w:eastAsia="zh-CN"/>
              </w:rPr>
              <w:t>区水</w:t>
            </w:r>
            <w:r>
              <w:rPr>
                <w:rFonts w:hint="eastAsia" w:ascii="仿宋_GB2312" w:eastAsia="仿宋_GB2312" w:cs="仿宋_GB2312"/>
                <w:color w:val="000000"/>
                <w:kern w:val="0"/>
                <w:sz w:val="18"/>
                <w:szCs w:val="18"/>
              </w:rPr>
              <w:t>务局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hint="eastAsia" w:ascii="仿宋_GB2312" w:hAnsi="仿宋_GB2312" w:eastAsia="仿宋_GB2312" w:cs="仿宋_GB2312"/>
                <w:b w:val="0"/>
                <w:bCs w:val="0"/>
                <w:i w:val="0"/>
                <w:iCs w:val="0"/>
                <w:caps w:val="0"/>
                <w:color w:val="333333"/>
                <w:spacing w:val="0"/>
                <w:kern w:val="0"/>
                <w:sz w:val="18"/>
                <w:szCs w:val="18"/>
                <w:lang w:val="en-US" w:eastAsia="zh-CN" w:bidi="ar"/>
              </w:rPr>
              <w:t>坝顶兼做公路审批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42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pStyle w:val="7"/>
              <w:ind w:left="420" w:firstLine="0" w:firstLineChars="0"/>
              <w:rPr>
                <w:rFonts w:hint="eastAsia" w:ascii="仿宋_GB2312" w:hAnsi="仿宋_GB2312" w:eastAsia="仿宋_GB2312" w:cs="仿宋_GB2312"/>
                <w:i w:val="0"/>
                <w:iCs w:val="0"/>
                <w:caps w:val="0"/>
                <w:color w:val="333333"/>
                <w:spacing w:val="0"/>
                <w:sz w:val="21"/>
                <w:szCs w:val="21"/>
                <w:shd w:val="clear" w:fill="FFFFFF"/>
              </w:rPr>
            </w:pPr>
            <w:r>
              <w:rPr>
                <w:rFonts w:hint="eastAsia" w:ascii="仿宋_GB2312" w:hAnsi="仿宋_GB2312" w:eastAsia="仿宋_GB2312" w:cs="仿宋_GB2312"/>
                <w:i w:val="0"/>
                <w:iCs w:val="0"/>
                <w:caps w:val="0"/>
                <w:color w:val="333333"/>
                <w:spacing w:val="0"/>
                <w:kern w:val="0"/>
                <w:sz w:val="21"/>
                <w:szCs w:val="21"/>
                <w:lang w:val="en-US" w:eastAsia="zh-CN" w:bidi="ar"/>
              </w:rPr>
              <w:t>《水库大坝安全管理条例》</w:t>
            </w:r>
            <w:r>
              <w:rPr>
                <w:rFonts w:hint="eastAsia" w:ascii="仿宋_GB2312" w:hAnsi="仿宋_GB2312" w:eastAsia="仿宋_GB2312" w:cs="仿宋_GB2312"/>
                <w:i w:val="0"/>
                <w:iCs w:val="0"/>
                <w:caps w:val="0"/>
                <w:color w:val="333333"/>
                <w:spacing w:val="0"/>
                <w:sz w:val="21"/>
                <w:szCs w:val="21"/>
                <w:shd w:val="clear" w:fill="FFFFFF"/>
              </w:rPr>
              <w:t>第十六条：大坝坝顶确需兼做公路的，须经科学论证和县级以上地方人民政府大坝主管部门批准，并采取相应的安全维护措施。</w:t>
            </w:r>
          </w:p>
          <w:p>
            <w:pPr>
              <w:spacing w:line="240" w:lineRule="exact"/>
              <w:rPr>
                <w:rFonts w:ascii="黑体" w:eastAsia="黑体" w:cs="黑体"/>
                <w:b/>
                <w:bCs/>
                <w:color w:val="00000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依法受理或不予受理，并一次性告之不予受理理由或需补充提供的相关材料目录</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3工作日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窗口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审查</w:t>
            </w:r>
            <w:r>
              <w:rPr>
                <w:rFonts w:ascii="仿宋_GB2312" w:eastAsia="仿宋_GB2312" w:cs="仿宋_GB2312"/>
                <w:color w:val="000000"/>
                <w:kern w:val="0"/>
                <w:sz w:val="18"/>
                <w:szCs w:val="18"/>
              </w:rPr>
              <w:t>申请对象提供的相关材料</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4工作日</w:t>
            </w:r>
          </w:p>
        </w:tc>
        <w:tc>
          <w:tcPr>
            <w:tcW w:w="1159" w:type="dxa"/>
            <w:tcBorders>
              <w:tl2br w:val="nil"/>
              <w:tr2bl w:val="nil"/>
            </w:tcBorders>
            <w:shd w:val="clear" w:color="auto" w:fill="auto"/>
            <w:vAlign w:val="center"/>
          </w:tcPr>
          <w:p>
            <w:pPr>
              <w:jc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规计科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特殊环节</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lang w:val="en-US" w:eastAsia="zh-CN"/>
              </w:rPr>
              <w:t>专家评审、现场勘测、听证等</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30工作日（不纳入计时）</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规计科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决定</w:t>
            </w:r>
          </w:p>
        </w:tc>
        <w:tc>
          <w:tcPr>
            <w:tcW w:w="5287" w:type="dxa"/>
            <w:gridSpan w:val="5"/>
            <w:tcBorders>
              <w:tl2br w:val="nil"/>
              <w:tr2bl w:val="nil"/>
            </w:tcBorders>
            <w:shd w:val="clear" w:color="auto" w:fill="auto"/>
            <w:vAlign w:val="center"/>
          </w:tcPr>
          <w:p>
            <w:pPr>
              <w:rPr>
                <w:rFonts w:hint="default" w:ascii="仿宋_GB2312" w:eastAsia="仿宋_GB2312" w:cs="仿宋_GB2312"/>
                <w:color w:val="000000"/>
                <w:kern w:val="0"/>
                <w:sz w:val="18"/>
                <w:szCs w:val="18"/>
                <w:lang w:val="en-US" w:eastAsia="zh-CN"/>
              </w:rPr>
            </w:pPr>
          </w:p>
        </w:tc>
        <w:tc>
          <w:tcPr>
            <w:tcW w:w="1339" w:type="dxa"/>
            <w:gridSpan w:val="2"/>
            <w:tcBorders>
              <w:tl2br w:val="nil"/>
              <w:tr2bl w:val="nil"/>
            </w:tcBorders>
            <w:shd w:val="clear" w:color="auto" w:fill="auto"/>
            <w:vAlign w:val="center"/>
          </w:tcPr>
          <w:p>
            <w:pPr>
              <w:jc w:val="center"/>
              <w:rPr>
                <w:rFonts w:hint="default" w:ascii="仿宋_GB2312" w:eastAsia="仿宋_GB2312" w:cs="仿宋_GB2312"/>
                <w:color w:val="000000"/>
                <w:kern w:val="0"/>
                <w:sz w:val="18"/>
                <w:szCs w:val="18"/>
                <w:lang w:val="en-US" w:eastAsia="zh-CN"/>
              </w:rPr>
            </w:pPr>
            <w:r>
              <w:rPr>
                <w:rFonts w:hint="eastAsia" w:ascii="黑体" w:eastAsia="黑体" w:cs="黑体"/>
                <w:color w:val="000000"/>
                <w:sz w:val="18"/>
                <w:szCs w:val="18"/>
                <w:lang w:val="en-US" w:eastAsia="zh-CN"/>
              </w:rPr>
              <w:t>2工作日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窗口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rPr>
                <w:rFonts w:ascii="黑体" w:eastAsia="黑体" w:cs="黑体"/>
                <w:color w:val="000000"/>
                <w:sz w:val="18"/>
                <w:szCs w:val="18"/>
              </w:rPr>
            </w:pPr>
          </w:p>
        </w:tc>
        <w:tc>
          <w:tcPr>
            <w:tcW w:w="5287" w:type="dxa"/>
            <w:gridSpan w:val="5"/>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b/>
                <w:bCs/>
                <w:kern w:val="0"/>
                <w:szCs w:val="21"/>
              </w:rPr>
              <w:t>是否容缺办理</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86"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widowControl/>
              <w:spacing w:line="240" w:lineRule="exact"/>
              <w:jc w:val="left"/>
              <w:textAlignment w:val="center"/>
              <w:rPr>
                <w:rFonts w:ascii="黑体" w:eastAsia="黑体" w:cs="黑体"/>
                <w:color w:val="000000"/>
                <w:sz w:val="18"/>
                <w:szCs w:val="18"/>
              </w:rPr>
            </w:pPr>
          </w:p>
        </w:tc>
        <w:tc>
          <w:tcPr>
            <w:tcW w:w="5287" w:type="dxa"/>
            <w:gridSpan w:val="5"/>
            <w:tcBorders>
              <w:tl2br w:val="nil"/>
              <w:tr2bl w:val="nil"/>
            </w:tcBorders>
            <w:shd w:val="clear" w:color="auto" w:fill="auto"/>
            <w:vAlign w:val="center"/>
          </w:tcPr>
          <w:p>
            <w:pPr>
              <w:jc w:val="center"/>
              <w:rPr>
                <w:rFonts w:ascii="黑体" w:eastAsia="黑体" w:cs="黑体"/>
                <w:color w:val="000000"/>
                <w:sz w:val="18"/>
                <w:szCs w:val="18"/>
              </w:rPr>
            </w:pP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spacing w:line="240" w:lineRule="exact"/>
              <w:rPr>
                <w:rFonts w:ascii="仿宋_GB2312" w:eastAsia="仿宋_GB2312" w:cs="仿宋_GB2312"/>
                <w:color w:val="000000"/>
                <w:kern w:val="0"/>
                <w:sz w:val="18"/>
                <w:szCs w:val="18"/>
              </w:rPr>
            </w:pPr>
            <w:r>
              <w:rPr>
                <w:rFonts w:hint="eastAsia" w:ascii="仿宋_GB2312" w:hAnsi="仿宋_GB2312" w:eastAsia="仿宋_GB2312" w:cs="仿宋_GB2312"/>
                <w:i w:val="0"/>
                <w:iCs w:val="0"/>
                <w:caps w:val="0"/>
                <w:color w:val="333333"/>
                <w:spacing w:val="0"/>
                <w:sz w:val="18"/>
                <w:szCs w:val="18"/>
              </w:rPr>
              <w:t>申请人符合申请条件；申请事项属于本机关受理权限；申请材料齐全、符合法定条件</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5"/>
                <w:rFonts w:hint="default" w:eastAsia="仿宋_GB2312"/>
                <w:color w:val="auto"/>
                <w:lang w:val="en-US" w:eastAsia="zh-CN"/>
              </w:rPr>
            </w:pPr>
            <w:r>
              <w:rPr>
                <w:rFonts w:hint="eastAsia" w:ascii="仿宋_GB2312" w:eastAsia="仿宋_GB2312" w:cs="仿宋_GB2312"/>
                <w:color w:val="000000"/>
                <w:kern w:val="0"/>
                <w:sz w:val="18"/>
                <w:szCs w:val="18"/>
              </w:rPr>
              <w:t>1.业务咨询：</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4186694  7166689</w:t>
            </w:r>
            <w:r>
              <w:rPr>
                <w:rFonts w:hint="eastAsia" w:ascii="仿宋_GB2312" w:eastAsia="仿宋_GB2312" w:cs="仿宋_GB2312"/>
                <w:color w:val="000000"/>
                <w:kern w:val="0"/>
                <w:sz w:val="18"/>
                <w:szCs w:val="18"/>
              </w:rPr>
              <w:br w:type="textWrapping"/>
            </w:r>
            <w:r>
              <w:rPr>
                <w:rFonts w:hint="eastAsia" w:ascii="仿宋_GB2312" w:eastAsia="仿宋_GB2312" w:cs="仿宋_GB2312"/>
                <w:color w:val="000000"/>
                <w:kern w:val="0"/>
                <w:sz w:val="18"/>
                <w:szCs w:val="18"/>
              </w:rPr>
              <w:t>2.投诉举报电话：</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4186378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1.</w:t>
            </w:r>
            <w:r>
              <w:rPr>
                <w:rFonts w:hint="eastAsia" w:ascii="仿宋_GB2312" w:hAnsi="仿宋_GB2312" w:eastAsia="仿宋_GB2312" w:cs="仿宋_GB2312"/>
                <w:color w:val="000000"/>
                <w:sz w:val="18"/>
                <w:szCs w:val="18"/>
              </w:rPr>
              <w:t>对符合法定条件的行政许可申请不予受理的；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2.</w:t>
            </w:r>
            <w:r>
              <w:rPr>
                <w:rFonts w:hint="eastAsia" w:ascii="仿宋_GB2312" w:hAnsi="仿宋_GB2312" w:eastAsia="仿宋_GB2312" w:cs="仿宋_GB2312"/>
                <w:color w:val="000000"/>
                <w:sz w:val="18"/>
                <w:szCs w:val="18"/>
              </w:rPr>
              <w:t>不在办公场所公示依法应当公示的材料的；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3.</w:t>
            </w:r>
            <w:r>
              <w:rPr>
                <w:rFonts w:hint="eastAsia" w:ascii="仿宋_GB2312" w:hAnsi="仿宋_GB2312" w:eastAsia="仿宋_GB2312" w:cs="仿宋_GB2312"/>
                <w:color w:val="000000"/>
                <w:sz w:val="18"/>
                <w:szCs w:val="18"/>
              </w:rPr>
              <w:t>在受理、审查、决定行政许可过程中，未向申请人、利害关系人履行法定告知义务的；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4.</w:t>
            </w:r>
            <w:r>
              <w:rPr>
                <w:rFonts w:hint="eastAsia" w:ascii="仿宋_GB2312" w:hAnsi="仿宋_GB2312" w:eastAsia="仿宋_GB2312" w:cs="仿宋_GB2312"/>
                <w:color w:val="000000"/>
                <w:sz w:val="18"/>
                <w:szCs w:val="18"/>
              </w:rPr>
              <w:t>申请人提交的申请材料不齐全、不符合法定形式，不一次告知申请人必须补正的全部内容的；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5.</w:t>
            </w:r>
            <w:r>
              <w:rPr>
                <w:rFonts w:hint="eastAsia" w:ascii="仿宋_GB2312" w:hAnsi="仿宋_GB2312" w:eastAsia="仿宋_GB2312" w:cs="仿宋_GB2312"/>
                <w:color w:val="000000"/>
                <w:sz w:val="18"/>
                <w:szCs w:val="18"/>
              </w:rPr>
              <w:t>违法披露申请人提交的商业秘密、未披露信息或者保密商务信息的；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6.</w:t>
            </w:r>
            <w:r>
              <w:rPr>
                <w:rFonts w:hint="eastAsia" w:ascii="仿宋_GB2312" w:hAnsi="仿宋_GB2312" w:eastAsia="仿宋_GB2312" w:cs="仿宋_GB2312"/>
                <w:color w:val="000000"/>
                <w:sz w:val="18"/>
                <w:szCs w:val="18"/>
              </w:rPr>
              <w:t>以转让技术作为取得行政许可的条件，或者在实施行政许可的过程中直接或者间接地要求转让技术的；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7.</w:t>
            </w:r>
            <w:r>
              <w:rPr>
                <w:rFonts w:hint="eastAsia" w:ascii="仿宋_GB2312" w:hAnsi="仿宋_GB2312" w:eastAsia="仿宋_GB2312" w:cs="仿宋_GB2312"/>
                <w:color w:val="000000"/>
                <w:sz w:val="18"/>
                <w:szCs w:val="18"/>
              </w:rPr>
              <w:t>未依法说明不受理行政许可申请或者不予行政许可的理由的；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8.</w:t>
            </w:r>
            <w:r>
              <w:rPr>
                <w:rFonts w:hint="eastAsia" w:ascii="仿宋_GB2312" w:hAnsi="仿宋_GB2312" w:eastAsia="仿宋_GB2312" w:cs="仿宋_GB2312"/>
                <w:color w:val="000000"/>
                <w:sz w:val="18"/>
                <w:szCs w:val="18"/>
              </w:rPr>
              <w:t>依法应当举行听证而不举行听证的；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9.</w:t>
            </w:r>
            <w:r>
              <w:rPr>
                <w:rFonts w:hint="eastAsia" w:ascii="仿宋_GB2312" w:hAnsi="仿宋_GB2312" w:eastAsia="仿宋_GB2312" w:cs="仿宋_GB2312"/>
                <w:color w:val="000000"/>
                <w:sz w:val="18"/>
                <w:szCs w:val="18"/>
              </w:rPr>
              <w:t>对不符合法定条件的申请人准予行政许可或者超越法定职权作出准予行政许可决定的；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10.</w:t>
            </w:r>
            <w:r>
              <w:rPr>
                <w:rFonts w:hint="eastAsia" w:ascii="仿宋_GB2312" w:hAnsi="仿宋_GB2312" w:eastAsia="仿宋_GB2312" w:cs="仿宋_GB2312"/>
                <w:color w:val="000000"/>
                <w:sz w:val="18"/>
                <w:szCs w:val="18"/>
              </w:rPr>
              <w:t>对符合法定条件的申请人不予行政许可或者不在法定期限内作出准予行政许可决定的；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eastAsia="zh-CN"/>
              </w:rPr>
              <w:t>1.</w:t>
            </w:r>
            <w:r>
              <w:rPr>
                <w:rFonts w:hint="eastAsia" w:ascii="仿宋_GB2312" w:hAnsi="仿宋_GB2312" w:eastAsia="仿宋_GB2312" w:cs="仿宋_GB2312"/>
                <w:color w:val="000000"/>
                <w:sz w:val="18"/>
                <w:szCs w:val="18"/>
              </w:rPr>
              <w:t>依法应当根据招标、拍卖结果或者考试成绩择优作出准予行政许可决定，未经招标、拍卖或者考试，或者不根据招标、拍卖结果或者考试成绩择优作出准予行政许可决定的；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eastAsia="zh-CN"/>
              </w:rPr>
              <w:t>2.</w:t>
            </w:r>
            <w:r>
              <w:rPr>
                <w:rFonts w:hint="eastAsia" w:ascii="仿宋_GB2312" w:hAnsi="仿宋_GB2312" w:eastAsia="仿宋_GB2312" w:cs="仿宋_GB2312"/>
                <w:color w:val="000000"/>
                <w:sz w:val="18"/>
                <w:szCs w:val="18"/>
              </w:rPr>
              <w:t>擅自收费或者不按照法定项目和标准收费的；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eastAsia="zh-CN"/>
              </w:rPr>
              <w:t>3.</w:t>
            </w:r>
            <w:r>
              <w:rPr>
                <w:rFonts w:hint="eastAsia" w:ascii="仿宋_GB2312" w:hAnsi="仿宋_GB2312" w:eastAsia="仿宋_GB2312" w:cs="仿宋_GB2312"/>
                <w:color w:val="000000"/>
                <w:sz w:val="18"/>
                <w:szCs w:val="18"/>
              </w:rPr>
              <w:t>不依法履行监督职责或者监督不力，造成严重后果的；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eastAsia="zh-CN"/>
              </w:rPr>
              <w:t>4.</w:t>
            </w:r>
            <w:r>
              <w:rPr>
                <w:rFonts w:hint="eastAsia" w:ascii="仿宋_GB2312" w:hAnsi="仿宋_GB2312" w:eastAsia="仿宋_GB2312" w:cs="仿宋_GB2312"/>
                <w:color w:val="000000"/>
                <w:sz w:val="18"/>
                <w:szCs w:val="18"/>
              </w:rPr>
              <w:t>索取或者收受他人财物或者谋取其他利益的。</w:t>
            </w:r>
          </w:p>
          <w:p>
            <w:pPr>
              <w:widowControl/>
              <w:jc w:val="left"/>
              <w:textAlignment w:val="center"/>
              <w:rPr>
                <w:rFonts w:ascii="黑体" w:eastAsia="黑体" w:cs="黑体"/>
                <w:color w:val="000000"/>
                <w:szCs w:val="21"/>
              </w:rPr>
            </w:pPr>
            <w:r>
              <w:rPr>
                <w:rFonts w:hint="eastAsia" w:ascii="仿宋_GB2312" w:hAnsi="仿宋_GB2312" w:eastAsia="仿宋_GB2312" w:cs="仿宋_GB2312"/>
                <w:color w:val="000000"/>
                <w:sz w:val="18"/>
                <w:szCs w:val="18"/>
                <w:lang w:val="en-US" w:eastAsia="zh-CN"/>
              </w:rPr>
              <w:t>15.</w:t>
            </w:r>
            <w:r>
              <w:rPr>
                <w:rFonts w:hint="eastAsia" w:ascii="仿宋_GB2312" w:hAnsi="仿宋_GB2312" w:eastAsia="仿宋_GB2312" w:cs="仿宋_GB2312"/>
                <w:color w:val="000000"/>
                <w:sz w:val="18"/>
                <w:szCs w:val="18"/>
              </w:rPr>
              <w:t>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jc w:val="left"/>
              <w:textAlignment w:val="center"/>
              <w:rPr>
                <w:rFonts w:hint="default" w:ascii="黑体" w:eastAsia="仿宋_GB2312" w:cs="黑体"/>
                <w:color w:val="000000"/>
                <w:sz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99"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pStyle w:val="7"/>
              <w:numPr>
                <w:ilvl w:val="0"/>
                <w:numId w:val="0"/>
              </w:numPr>
              <w:ind w:firstLine="360" w:firstLineChars="200"/>
              <w:rPr>
                <w:rFonts w:ascii="黑体" w:eastAsia="黑体" w:cs="黑体"/>
                <w:b/>
                <w:bCs/>
                <w:color w:val="000000"/>
                <w:szCs w:val="21"/>
              </w:rPr>
            </w:pPr>
            <w:r>
              <w:rPr>
                <w:rFonts w:hint="eastAsia" w:ascii="仿宋_GB2312" w:hAnsi="仿宋_GB2312" w:eastAsia="仿宋_GB2312" w:cs="仿宋_GB2312"/>
                <w:sz w:val="18"/>
                <w:szCs w:val="18"/>
              </w:rPr>
              <w:t>行政复议</w:t>
            </w:r>
            <w:r>
              <w:rPr>
                <w:rFonts w:hint="eastAsia" w:ascii="仿宋_GB2312" w:hAnsi="仿宋_GB2312" w:eastAsia="仿宋_GB2312" w:cs="仿宋_GB2312"/>
                <w:sz w:val="18"/>
                <w:szCs w:val="18"/>
                <w:lang w:eastAsia="zh-CN"/>
              </w:rPr>
              <w:t>、</w:t>
            </w:r>
            <w:r>
              <w:rPr>
                <w:rFonts w:hint="eastAsia" w:ascii="仿宋_GB2312" w:hAnsi="仿宋_GB2312" w:eastAsia="仿宋_GB2312" w:cs="仿宋_GB2312"/>
                <w:sz w:val="18"/>
                <w:szCs w:val="18"/>
              </w:rPr>
              <w:t>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560" w:lineRule="exac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3ZDYyNGQ0ZWRmNzY5Y2ZkODVkOTIxNDgzNjcxYTkifQ=="/>
  </w:docVars>
  <w:rsids>
    <w:rsidRoot w:val="00F35FED"/>
    <w:rsid w:val="000C0BFD"/>
    <w:rsid w:val="002455E6"/>
    <w:rsid w:val="00252F81"/>
    <w:rsid w:val="002F371C"/>
    <w:rsid w:val="003E269F"/>
    <w:rsid w:val="00526E1F"/>
    <w:rsid w:val="00646AB2"/>
    <w:rsid w:val="00682557"/>
    <w:rsid w:val="006A7DFC"/>
    <w:rsid w:val="0073198C"/>
    <w:rsid w:val="007B3AB4"/>
    <w:rsid w:val="009A0D43"/>
    <w:rsid w:val="00A52FD2"/>
    <w:rsid w:val="00CA20EC"/>
    <w:rsid w:val="00D24BC2"/>
    <w:rsid w:val="00DB558F"/>
    <w:rsid w:val="00E454F1"/>
    <w:rsid w:val="00EF269E"/>
    <w:rsid w:val="00F03CB5"/>
    <w:rsid w:val="00F35FED"/>
    <w:rsid w:val="00F81182"/>
    <w:rsid w:val="06365847"/>
    <w:rsid w:val="120A1F9D"/>
    <w:rsid w:val="19032629"/>
    <w:rsid w:val="19D159ED"/>
    <w:rsid w:val="1C8B63BD"/>
    <w:rsid w:val="1F7B5542"/>
    <w:rsid w:val="25493224"/>
    <w:rsid w:val="2A4D7CD4"/>
    <w:rsid w:val="2D1166CA"/>
    <w:rsid w:val="300F2AEB"/>
    <w:rsid w:val="309A0DD7"/>
    <w:rsid w:val="3A895DBC"/>
    <w:rsid w:val="4886465F"/>
    <w:rsid w:val="495D254A"/>
    <w:rsid w:val="4BB91E72"/>
    <w:rsid w:val="5AAF437D"/>
    <w:rsid w:val="5CEB13C0"/>
    <w:rsid w:val="6183261A"/>
    <w:rsid w:val="665F74AA"/>
    <w:rsid w:val="6C9D1A3F"/>
    <w:rsid w:val="7133733A"/>
    <w:rsid w:val="72477770"/>
    <w:rsid w:val="77E55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6"/>
    <w:semiHidden/>
    <w:unhideWhenUsed/>
    <w:uiPriority w:val="99"/>
    <w:rPr>
      <w:sz w:val="18"/>
      <w:szCs w:val="18"/>
    </w:rPr>
  </w:style>
  <w:style w:type="character" w:customStyle="1" w:styleId="5">
    <w:name w:val="font112"/>
    <w:basedOn w:val="4"/>
    <w:qFormat/>
    <w:uiPriority w:val="0"/>
    <w:rPr>
      <w:rFonts w:ascii="仿宋_GB2312" w:eastAsia="仿宋_GB2312" w:cs="仿宋_GB2312"/>
      <w:color w:val="000000"/>
      <w:sz w:val="18"/>
      <w:szCs w:val="18"/>
      <w:u w:val="none"/>
    </w:rPr>
  </w:style>
  <w:style w:type="character" w:customStyle="1" w:styleId="6">
    <w:name w:val="批注框文本 Char"/>
    <w:basedOn w:val="4"/>
    <w:link w:val="2"/>
    <w:semiHidden/>
    <w:uiPriority w:val="99"/>
    <w:rPr>
      <w:rFonts w:ascii="Calibri" w:hAnsi="Calibri" w:eastAsia="宋体" w:cs="Arial"/>
      <w:sz w:val="18"/>
      <w:szCs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3054</Words>
  <Characters>3157</Characters>
  <Lines>24</Lines>
  <Paragraphs>6</Paragraphs>
  <TotalTime>5</TotalTime>
  <ScaleCrop>false</ScaleCrop>
  <LinksUpToDate>false</LinksUpToDate>
  <CharactersWithSpaces>3162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WPS_1601461663</cp:lastModifiedBy>
  <cp:lastPrinted>2023-08-15T01:13:00Z</cp:lastPrinted>
  <dcterms:modified xsi:type="dcterms:W3CDTF">2024-06-14T01:22:05Z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0723C539ADA84BA0AFE9E5836C81CDD7_13</vt:lpwstr>
  </property>
</Properties>
</file>