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textAlignment w:val="center"/>
        <w:rPr>
          <w:rFonts w:ascii="黑体" w:eastAsia="黑体" w:cs="黑体"/>
          <w:color w:val="000000"/>
          <w:kern w:val="0"/>
          <w:sz w:val="30"/>
          <w:szCs w:val="30"/>
        </w:rPr>
      </w:pPr>
      <w:r>
        <w:rPr>
          <w:rFonts w:hint="eastAsia" w:ascii="黑体" w:eastAsia="黑体" w:cs="黑体"/>
          <w:color w:val="000000"/>
          <w:kern w:val="0"/>
          <w:sz w:val="30"/>
          <w:szCs w:val="30"/>
        </w:rPr>
        <w:t>附件</w:t>
      </w:r>
    </w:p>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履职行权规程（政务服务类样表）</w:t>
      </w:r>
    </w:p>
    <w:tbl>
      <w:tblPr>
        <w:tblStyle w:val="3"/>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49"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rPr>
              <w:t>行政</w:t>
            </w:r>
            <w:r>
              <w:rPr>
                <w:rFonts w:hint="eastAsia" w:ascii="仿宋_GB2312" w:eastAsia="仿宋_GB2312" w:cs="仿宋_GB2312"/>
                <w:color w:val="000000"/>
                <w:kern w:val="0"/>
                <w:sz w:val="18"/>
                <w:szCs w:val="18"/>
                <w:lang w:val="en-US" w:eastAsia="zh-CN"/>
              </w:rPr>
              <w:t>裁决</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val="en-US" w:eastAsia="zh-CN"/>
              </w:rPr>
              <w:t>区水</w:t>
            </w:r>
            <w:r>
              <w:rPr>
                <w:rFonts w:hint="eastAsia" w:ascii="仿宋_GB2312" w:eastAsia="仿宋_GB2312" w:cs="仿宋_GB2312"/>
                <w:color w:val="000000"/>
                <w:kern w:val="0"/>
                <w:sz w:val="18"/>
                <w:szCs w:val="18"/>
              </w:rPr>
              <w:t>务局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4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hint="eastAsia" w:ascii="仿宋_GB2312" w:eastAsia="仿宋_GB2312" w:cs="仿宋_GB2312"/>
                <w:color w:val="000000"/>
                <w:kern w:val="0"/>
                <w:sz w:val="18"/>
                <w:szCs w:val="18"/>
                <w:lang w:val="en-US" w:eastAsia="zh-CN"/>
              </w:rPr>
              <w:t>水事纠纷裁决</w:t>
            </w:r>
            <w:r>
              <w:rPr>
                <w:rFonts w:hint="eastAsia" w:ascii="仿宋_GB2312" w:eastAsia="仿宋_GB2312" w:cs="仿宋_GB2312"/>
                <w:color w:val="000000"/>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42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1.《中华人民共和国水法》第十八条 县级以上人民政府水行政主管部门或者其授权的部门在处理水事纠纷时，有权采取临时处置，有关各方或当事人必须服从。第四十六条 县级以上地方人民政府水行政主管部门或者流域管理机构应当根据批准的水量分配方案和年度预测来水量，制定年度水量分配方案和调度计划，实施水量统一调度；有关地方人民政府必须服从。国家确定的重要江河、湖泊的年度水量分配方案，应当纳入国家的国民经济和社会发展年度计划。第五十六条 不同行政区域之间发生水事纠纷的，应当协商处理；协商不成的，由上一级人民政府裁决，有关各方必须遵照执行。在水事纠纷解决前，未经各方达成协议或者共同的上一级人民政府批准，在行政区域交界线两侧一定范围内，任何一方不得修建排水、阻水、取水和截（蓄）水工程，不得单方面改变水的现状。第五十七条 单位之间、个人之间、单位与个人之间发生的水事纠纷，应当协商解决；当事人不愿协商或者协商不成的，可以申请县级以上地方人民政府或者其授权的部门调解，也可以直接向人民法院提起民事诉讼。县级以上地方人民政府或者其授权的部门调解不成的，当事人可以向人民法院提起民事诉讼。</w:t>
            </w:r>
          </w:p>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outlineLvl w:val="9"/>
              <w:rPr>
                <w:rStyle w:val="5"/>
                <w:rFonts w:hint="eastAsia" w:ascii="仿宋_GB2312" w:hAnsi="仿宋_GB2312" w:eastAsia="仿宋_GB2312" w:cs="仿宋_GB2312"/>
                <w:sz w:val="18"/>
                <w:szCs w:val="18"/>
                <w:lang w:val="en-US" w:eastAsia="zh-CN" w:bidi="ar"/>
              </w:rPr>
            </w:pPr>
            <w:r>
              <w:rPr>
                <w:rStyle w:val="5"/>
                <w:rFonts w:hint="eastAsia" w:ascii="仿宋_GB2312" w:hAnsi="仿宋_GB2312" w:eastAsia="仿宋_GB2312" w:cs="仿宋_GB2312"/>
                <w:sz w:val="18"/>
                <w:szCs w:val="18"/>
                <w:lang w:val="en-US" w:eastAsia="zh-CN" w:bidi="ar"/>
              </w:rPr>
              <w:t>2.《中华人民共和国水土保持法》第四十六条 不同行政区域之间发生水土流失纠纷应当协商解决；协商不成的，由共同的上一级人民政府裁决。</w:t>
            </w:r>
          </w:p>
          <w:p>
            <w:pPr>
              <w:spacing w:line="240" w:lineRule="exact"/>
              <w:rPr>
                <w:rFonts w:ascii="黑体" w:eastAsia="黑体" w:cs="黑体"/>
                <w:b/>
                <w:bCs/>
                <w:color w:val="000000"/>
                <w:szCs w:val="21"/>
              </w:rPr>
            </w:pPr>
            <w:r>
              <w:rPr>
                <w:rStyle w:val="5"/>
                <w:rFonts w:hint="eastAsia" w:ascii="仿宋_GB2312" w:hAnsi="仿宋_GB2312" w:eastAsia="仿宋_GB2312" w:cs="仿宋_GB2312"/>
                <w:sz w:val="18"/>
                <w:szCs w:val="18"/>
                <w:lang w:val="en-US" w:eastAsia="zh-CN" w:bidi="ar"/>
              </w:rPr>
              <w:t>3.《取水许可和水资源费征收管理条例》第四十六条第三款 上一级水行政主管部门或者流域管理机构发现越权审批、取水许可证核准的总取水量超过水量分配方案或者协议规定的数量、年度实际取水总量超过下达的年度水量分配方案和年度取水计划的，应当及时要求有关水行政主管部门或者流域管理机构纠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6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w:t>
            </w:r>
            <w:bookmarkStart w:id="0" w:name="_GoBack"/>
            <w:bookmarkEnd w:id="0"/>
            <w:r>
              <w:rPr>
                <w:rFonts w:hint="eastAsia" w:ascii="黑体" w:eastAsia="黑体" w:cs="黑体"/>
                <w:b/>
                <w:bCs/>
                <w:color w:val="000000"/>
                <w:kern w:val="0"/>
                <w:szCs w:val="21"/>
              </w:rPr>
              <w:t>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4"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hint="eastAsia" w:ascii="黑体" w:eastAsia="黑体" w:cs="黑体"/>
                <w:color w:val="000000"/>
                <w:sz w:val="18"/>
                <w:szCs w:val="18"/>
                <w:lang w:eastAsia="zh-CN"/>
              </w:rPr>
            </w:pPr>
            <w:r>
              <w:rPr>
                <w:rFonts w:hint="eastAsia" w:ascii="黑体" w:eastAsia="黑体" w:cs="黑体"/>
                <w:color w:val="000000"/>
                <w:sz w:val="18"/>
                <w:szCs w:val="18"/>
                <w:lang w:val="en-US" w:eastAsia="zh-CN"/>
              </w:rPr>
              <w:t>申请</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hAnsi="仿宋_GB2312" w:eastAsia="仿宋_GB2312" w:cs="仿宋_GB2312"/>
                <w:i w:val="0"/>
                <w:iCs w:val="0"/>
                <w:caps w:val="0"/>
                <w:color w:val="333333"/>
                <w:spacing w:val="0"/>
                <w:sz w:val="18"/>
                <w:szCs w:val="18"/>
                <w:shd w:val="clear" w:fill="FFFFFF"/>
              </w:rPr>
              <w:t>自然人、企业法人、事业法人、社会组织法人、非法人企业、行政机关、其他组织</w:t>
            </w:r>
          </w:p>
        </w:tc>
        <w:tc>
          <w:tcPr>
            <w:tcW w:w="1339" w:type="dxa"/>
            <w:gridSpan w:val="2"/>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1工作日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val="en-US" w:eastAsia="zh-CN"/>
              </w:rPr>
              <w:t>窗口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34"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依法受理或不予受理，并一次性告之不予受理理由或需补充提供的相关材料目录</w:t>
            </w:r>
          </w:p>
        </w:tc>
        <w:tc>
          <w:tcPr>
            <w:tcW w:w="1339" w:type="dxa"/>
            <w:gridSpan w:val="2"/>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1工作日</w:t>
            </w:r>
          </w:p>
        </w:tc>
        <w:tc>
          <w:tcPr>
            <w:tcW w:w="1159" w:type="dxa"/>
            <w:tcBorders>
              <w:tl2br w:val="nil"/>
              <w:tr2bl w:val="nil"/>
            </w:tcBorders>
            <w:shd w:val="clear" w:color="auto" w:fill="auto"/>
            <w:vAlign w:val="center"/>
          </w:tcPr>
          <w:p>
            <w:pPr>
              <w:jc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政策法规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84"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rPr>
              <w:t>审查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审查</w:t>
            </w:r>
            <w:r>
              <w:rPr>
                <w:rFonts w:ascii="仿宋_GB2312" w:eastAsia="仿宋_GB2312" w:cs="仿宋_GB2312"/>
                <w:color w:val="000000"/>
                <w:kern w:val="0"/>
                <w:sz w:val="18"/>
                <w:szCs w:val="18"/>
              </w:rPr>
              <w:t>申请对象提供的相关材料</w:t>
            </w:r>
          </w:p>
        </w:tc>
        <w:tc>
          <w:tcPr>
            <w:tcW w:w="1339" w:type="dxa"/>
            <w:gridSpan w:val="2"/>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6工作日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val="en-US" w:eastAsia="zh-CN"/>
              </w:rPr>
              <w:t>政策法规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04"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决定</w:t>
            </w:r>
          </w:p>
        </w:tc>
        <w:tc>
          <w:tcPr>
            <w:tcW w:w="5287" w:type="dxa"/>
            <w:gridSpan w:val="5"/>
            <w:tcBorders>
              <w:tl2br w:val="nil"/>
              <w:tr2bl w:val="nil"/>
            </w:tcBorders>
            <w:shd w:val="clear" w:color="auto" w:fill="auto"/>
            <w:vAlign w:val="center"/>
          </w:tcPr>
          <w:p>
            <w:pPr>
              <w:rPr>
                <w:rFonts w:hint="default" w:ascii="仿宋_GB2312" w:eastAsia="仿宋_GB2312" w:cs="仿宋_GB2312"/>
                <w:color w:val="000000"/>
                <w:kern w:val="0"/>
                <w:sz w:val="18"/>
                <w:szCs w:val="18"/>
                <w:lang w:val="en-US" w:eastAsia="zh-CN"/>
              </w:rPr>
            </w:pPr>
          </w:p>
        </w:tc>
        <w:tc>
          <w:tcPr>
            <w:tcW w:w="1339" w:type="dxa"/>
            <w:gridSpan w:val="2"/>
            <w:tcBorders>
              <w:tl2br w:val="nil"/>
              <w:tr2bl w:val="nil"/>
            </w:tcBorders>
            <w:shd w:val="clear" w:color="auto" w:fill="auto"/>
            <w:vAlign w:val="center"/>
          </w:tcPr>
          <w:p>
            <w:pPr>
              <w:jc w:val="center"/>
              <w:rPr>
                <w:rFonts w:hint="default" w:ascii="仿宋_GB2312" w:eastAsia="仿宋_GB2312" w:cs="仿宋_GB2312"/>
                <w:color w:val="000000"/>
                <w:kern w:val="0"/>
                <w:sz w:val="18"/>
                <w:szCs w:val="18"/>
                <w:lang w:val="en-US" w:eastAsia="zh-CN"/>
              </w:rPr>
            </w:pPr>
            <w:r>
              <w:rPr>
                <w:rFonts w:hint="eastAsia" w:ascii="黑体" w:eastAsia="黑体" w:cs="黑体"/>
                <w:color w:val="000000"/>
                <w:sz w:val="18"/>
                <w:szCs w:val="18"/>
                <w:lang w:val="en-US" w:eastAsia="zh-CN"/>
              </w:rPr>
              <w:t>1工作日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val="en-US" w:eastAsia="zh-CN"/>
              </w:rPr>
              <w:t>窗口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rPr>
                <w:rFonts w:ascii="黑体" w:eastAsia="黑体" w:cs="黑体"/>
                <w:color w:val="000000"/>
                <w:sz w:val="18"/>
                <w:szCs w:val="18"/>
              </w:rPr>
            </w:pPr>
          </w:p>
        </w:tc>
        <w:tc>
          <w:tcPr>
            <w:tcW w:w="5287" w:type="dxa"/>
            <w:gridSpan w:val="5"/>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b/>
                <w:bCs/>
                <w:kern w:val="0"/>
                <w:szCs w:val="21"/>
              </w:rPr>
              <w:t>是否容缺办理</w:t>
            </w: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86"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widowControl/>
              <w:spacing w:line="240" w:lineRule="exact"/>
              <w:jc w:val="left"/>
              <w:textAlignment w:val="center"/>
              <w:rPr>
                <w:rFonts w:ascii="黑体" w:eastAsia="黑体" w:cs="黑体"/>
                <w:color w:val="000000"/>
                <w:sz w:val="18"/>
                <w:szCs w:val="18"/>
              </w:rPr>
            </w:pPr>
          </w:p>
        </w:tc>
        <w:tc>
          <w:tcPr>
            <w:tcW w:w="5287" w:type="dxa"/>
            <w:gridSpan w:val="5"/>
            <w:tcBorders>
              <w:tl2br w:val="nil"/>
              <w:tr2bl w:val="nil"/>
            </w:tcBorders>
            <w:shd w:val="clear" w:color="auto" w:fill="auto"/>
            <w:vAlign w:val="center"/>
          </w:tcPr>
          <w:p>
            <w:pPr>
              <w:jc w:val="center"/>
              <w:rPr>
                <w:rFonts w:ascii="黑体" w:eastAsia="黑体" w:cs="黑体"/>
                <w:color w:val="000000"/>
                <w:sz w:val="18"/>
                <w:szCs w:val="18"/>
              </w:rPr>
            </w:pP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spacing w:line="240" w:lineRule="exact"/>
              <w:rPr>
                <w:rFonts w:ascii="仿宋_GB2312" w:eastAsia="仿宋_GB2312" w:cs="仿宋_GB2312"/>
                <w:color w:val="000000"/>
                <w:kern w:val="0"/>
                <w:sz w:val="18"/>
                <w:szCs w:val="18"/>
              </w:rPr>
            </w:pPr>
            <w:r>
              <w:rPr>
                <w:rFonts w:hint="eastAsia" w:ascii="仿宋_GB2312" w:hAnsi="仿宋_GB2312" w:eastAsia="仿宋_GB2312" w:cs="仿宋_GB2312"/>
                <w:i w:val="0"/>
                <w:iCs w:val="0"/>
                <w:caps w:val="0"/>
                <w:color w:val="333333"/>
                <w:spacing w:val="0"/>
                <w:sz w:val="18"/>
                <w:szCs w:val="18"/>
              </w:rPr>
              <w:t>申请人符合申请条件；申请事项属于本机关受理权限；申请材料齐全、符合法定条件</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5"/>
                <w:rFonts w:hint="default" w:eastAsia="仿宋_GB2312"/>
                <w:color w:val="auto"/>
                <w:lang w:val="en-US" w:eastAsia="zh-CN"/>
              </w:rPr>
            </w:pPr>
            <w:r>
              <w:rPr>
                <w:rFonts w:hint="eastAsia" w:ascii="仿宋_GB2312" w:eastAsia="仿宋_GB2312" w:cs="仿宋_GB2312"/>
                <w:color w:val="000000"/>
                <w:kern w:val="0"/>
                <w:sz w:val="18"/>
                <w:szCs w:val="18"/>
              </w:rPr>
              <w:t>1.业务咨询：</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4186694  7166696</w:t>
            </w:r>
            <w:r>
              <w:rPr>
                <w:rFonts w:hint="eastAsia" w:ascii="仿宋_GB2312" w:eastAsia="仿宋_GB2312" w:cs="仿宋_GB2312"/>
                <w:color w:val="000000"/>
                <w:kern w:val="0"/>
                <w:sz w:val="18"/>
                <w:szCs w:val="18"/>
              </w:rPr>
              <w:br w:type="textWrapping"/>
            </w:r>
            <w:r>
              <w:rPr>
                <w:rFonts w:hint="eastAsia" w:ascii="仿宋_GB2312" w:eastAsia="仿宋_GB2312" w:cs="仿宋_GB2312"/>
                <w:color w:val="000000"/>
                <w:kern w:val="0"/>
                <w:sz w:val="18"/>
                <w:szCs w:val="18"/>
              </w:rPr>
              <w:t>2.投诉举报电话：</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4186378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0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1.对符合条件的权属争议裁决申请不予受理、裁决的；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2.对不符合法定条件的权属争议裁决申请受理、裁决的；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3.因裁决不当给行政相对人造成损失的；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4.没有法律和事实依据进行行政裁决的；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5.符合听证条件、当事人要求听证，应予组织听证而不组织听证的；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6.在裁决工作中玩忽职守、滥用职权的；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7.在行政裁决过程中发生腐败行为的；</w:t>
            </w:r>
          </w:p>
          <w:p>
            <w:pPr>
              <w:widowControl/>
              <w:jc w:val="left"/>
              <w:textAlignment w:val="center"/>
              <w:rPr>
                <w:rFonts w:ascii="黑体" w:eastAsia="黑体" w:cs="黑体"/>
                <w:color w:val="000000"/>
                <w:szCs w:val="21"/>
              </w:rPr>
            </w:pPr>
            <w:r>
              <w:rPr>
                <w:rFonts w:hint="eastAsia" w:ascii="仿宋_GB2312" w:hAnsi="仿宋_GB2312" w:eastAsia="仿宋_GB2312" w:cs="仿宋_GB2312"/>
                <w:i w:val="0"/>
                <w:color w:val="000000"/>
                <w:kern w:val="0"/>
                <w:sz w:val="18"/>
                <w:szCs w:val="18"/>
                <w:u w:val="none"/>
                <w:lang w:val="en-US" w:eastAsia="zh-CN" w:bidi="ar"/>
              </w:rPr>
              <w:t>8.其他违反法律法规规章文件规定的行为。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jc w:val="left"/>
              <w:textAlignment w:val="center"/>
              <w:rPr>
                <w:rFonts w:hint="default" w:ascii="黑体" w:eastAsia="仿宋_GB2312" w:cs="黑体"/>
                <w:color w:val="000000"/>
                <w:sz w:val="24"/>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99"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pStyle w:val="7"/>
              <w:numPr>
                <w:ilvl w:val="0"/>
                <w:numId w:val="0"/>
              </w:numPr>
              <w:ind w:firstLine="360" w:firstLineChars="200"/>
              <w:rPr>
                <w:rFonts w:ascii="黑体" w:eastAsia="黑体" w:cs="黑体"/>
                <w:b/>
                <w:bCs/>
                <w:color w:val="000000"/>
                <w:szCs w:val="21"/>
              </w:rPr>
            </w:pPr>
            <w:r>
              <w:rPr>
                <w:rFonts w:hint="eastAsia" w:ascii="仿宋_GB2312" w:hAnsi="仿宋_GB2312" w:eastAsia="仿宋_GB2312" w:cs="仿宋_GB2312"/>
                <w:sz w:val="18"/>
                <w:szCs w:val="18"/>
              </w:rPr>
              <w:t>行政复议</w:t>
            </w:r>
            <w:r>
              <w:rPr>
                <w:rFonts w:hint="eastAsia" w:ascii="仿宋_GB2312" w:hAnsi="仿宋_GB2312" w:eastAsia="仿宋_GB2312" w:cs="仿宋_GB2312"/>
                <w:sz w:val="18"/>
                <w:szCs w:val="18"/>
                <w:lang w:eastAsia="zh-CN"/>
              </w:rPr>
              <w:t>、</w:t>
            </w:r>
            <w:r>
              <w:rPr>
                <w:rFonts w:hint="eastAsia" w:ascii="仿宋_GB2312" w:hAnsi="仿宋_GB2312" w:eastAsia="仿宋_GB2312" w:cs="仿宋_GB2312"/>
                <w:sz w:val="18"/>
                <w:szCs w:val="18"/>
              </w:rPr>
              <w:t>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560" w:lineRule="exact"/>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3ZDYyNGQ0ZWRmNzY5Y2ZkODVkOTIxNDgzNjcxYTkifQ=="/>
  </w:docVars>
  <w:rsids>
    <w:rsidRoot w:val="00F35FED"/>
    <w:rsid w:val="000C0BFD"/>
    <w:rsid w:val="002455E6"/>
    <w:rsid w:val="00252F81"/>
    <w:rsid w:val="002F371C"/>
    <w:rsid w:val="003E269F"/>
    <w:rsid w:val="00526E1F"/>
    <w:rsid w:val="00646AB2"/>
    <w:rsid w:val="00682557"/>
    <w:rsid w:val="006A7DFC"/>
    <w:rsid w:val="0073198C"/>
    <w:rsid w:val="007B3AB4"/>
    <w:rsid w:val="009A0D43"/>
    <w:rsid w:val="00A52FD2"/>
    <w:rsid w:val="00CA20EC"/>
    <w:rsid w:val="00D24BC2"/>
    <w:rsid w:val="00DB558F"/>
    <w:rsid w:val="00E454F1"/>
    <w:rsid w:val="00EF269E"/>
    <w:rsid w:val="00F03CB5"/>
    <w:rsid w:val="00F35FED"/>
    <w:rsid w:val="00F81182"/>
    <w:rsid w:val="04CC45D7"/>
    <w:rsid w:val="05720B50"/>
    <w:rsid w:val="06365847"/>
    <w:rsid w:val="06C94BD2"/>
    <w:rsid w:val="0A096257"/>
    <w:rsid w:val="120A1F9D"/>
    <w:rsid w:val="12443DC6"/>
    <w:rsid w:val="17B44FF8"/>
    <w:rsid w:val="19032629"/>
    <w:rsid w:val="19D159ED"/>
    <w:rsid w:val="1AA23409"/>
    <w:rsid w:val="1B3808EA"/>
    <w:rsid w:val="1C8B63BD"/>
    <w:rsid w:val="1CA4563B"/>
    <w:rsid w:val="1F7B5542"/>
    <w:rsid w:val="2249544A"/>
    <w:rsid w:val="23244490"/>
    <w:rsid w:val="25493224"/>
    <w:rsid w:val="25845CD5"/>
    <w:rsid w:val="262B46D7"/>
    <w:rsid w:val="2A4D7CD4"/>
    <w:rsid w:val="2B24319D"/>
    <w:rsid w:val="2D1166CA"/>
    <w:rsid w:val="300F2AEB"/>
    <w:rsid w:val="309A0DD7"/>
    <w:rsid w:val="32A22B50"/>
    <w:rsid w:val="36BC4A3E"/>
    <w:rsid w:val="39691347"/>
    <w:rsid w:val="3A895DBC"/>
    <w:rsid w:val="3AAF406A"/>
    <w:rsid w:val="3D762284"/>
    <w:rsid w:val="44076AA9"/>
    <w:rsid w:val="45CD7101"/>
    <w:rsid w:val="468477C0"/>
    <w:rsid w:val="4886465F"/>
    <w:rsid w:val="495D254A"/>
    <w:rsid w:val="4BB91E72"/>
    <w:rsid w:val="510F2A57"/>
    <w:rsid w:val="54B8159C"/>
    <w:rsid w:val="563034C0"/>
    <w:rsid w:val="5AAF437D"/>
    <w:rsid w:val="5B890E05"/>
    <w:rsid w:val="5CEB13C0"/>
    <w:rsid w:val="6183261A"/>
    <w:rsid w:val="665F74AA"/>
    <w:rsid w:val="6C9D1A3F"/>
    <w:rsid w:val="7133733A"/>
    <w:rsid w:val="72477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6"/>
    <w:semiHidden/>
    <w:unhideWhenUsed/>
    <w:uiPriority w:val="99"/>
    <w:rPr>
      <w:sz w:val="18"/>
      <w:szCs w:val="18"/>
    </w:rPr>
  </w:style>
  <w:style w:type="character" w:customStyle="1" w:styleId="5">
    <w:name w:val="font112"/>
    <w:basedOn w:val="4"/>
    <w:autoRedefine/>
    <w:qFormat/>
    <w:uiPriority w:val="0"/>
    <w:rPr>
      <w:rFonts w:ascii="仿宋_GB2312" w:eastAsia="仿宋_GB2312" w:cs="仿宋_GB2312"/>
      <w:color w:val="000000"/>
      <w:sz w:val="18"/>
      <w:szCs w:val="18"/>
      <w:u w:val="none"/>
    </w:rPr>
  </w:style>
  <w:style w:type="character" w:customStyle="1" w:styleId="6">
    <w:name w:val="批注框文本 Char"/>
    <w:basedOn w:val="4"/>
    <w:link w:val="2"/>
    <w:semiHidden/>
    <w:uiPriority w:val="99"/>
    <w:rPr>
      <w:rFonts w:ascii="Calibri" w:hAnsi="Calibri" w:eastAsia="宋体" w:cs="Arial"/>
      <w:sz w:val="18"/>
      <w:szCs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3054</Words>
  <Characters>3157</Characters>
  <Lines>24</Lines>
  <Paragraphs>6</Paragraphs>
  <TotalTime>0</TotalTime>
  <ScaleCrop>false</ScaleCrop>
  <LinksUpToDate>false</LinksUpToDate>
  <CharactersWithSpaces>3162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2023-07-31T02:33:00Z</dcterms:created>
  <dc:creator>xb21cn</dc:creator>
  <cp:lastModifiedBy>WPS_1601461663</cp:lastModifiedBy>
  <cp:lastPrinted>2023-08-15T01:13:00Z</cp:lastPrinted>
  <dcterms:modified xsi:type="dcterms:W3CDTF">2024-02-05T03:25:47Z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302C46204FD14EC487AC593D6FA44D60_12</vt:lpwstr>
  </property>
</Properties>
</file>