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textAlignment w:val="center"/>
        <w:rPr>
          <w:rFonts w:ascii="黑体" w:eastAsia="黑体" w:cs="黑体"/>
          <w:color w:val="000000"/>
          <w:kern w:val="0"/>
          <w:sz w:val="30"/>
          <w:szCs w:val="30"/>
        </w:rPr>
      </w:pPr>
      <w:r>
        <w:rPr>
          <w:rFonts w:hint="eastAsia" w:ascii="黑体" w:eastAsia="黑体" w:cs="黑体"/>
          <w:color w:val="000000"/>
          <w:kern w:val="0"/>
          <w:sz w:val="30"/>
          <w:szCs w:val="30"/>
        </w:rPr>
        <w:t>附件</w:t>
      </w:r>
    </w:p>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履职行权规程（政务服务类样表）</w:t>
      </w:r>
    </w:p>
    <w:tbl>
      <w:tblPr>
        <w:tblStyle w:val="3"/>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254"/>
        <w:gridCol w:w="709"/>
        <w:gridCol w:w="992"/>
        <w:gridCol w:w="567"/>
        <w:gridCol w:w="772"/>
        <w:gridCol w:w="115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0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gridSpan w:val="2"/>
            <w:tcBorders>
              <w:tl2br w:val="nil"/>
              <w:tr2bl w:val="nil"/>
            </w:tcBorders>
            <w:shd w:val="clear" w:color="auto" w:fill="auto"/>
            <w:vAlign w:val="center"/>
          </w:tcPr>
          <w:p>
            <w:pPr>
              <w:widowControl/>
              <w:jc w:val="center"/>
              <w:textAlignment w:val="center"/>
              <w:rPr>
                <w:rFonts w:hint="default"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lang w:val="en-US" w:eastAsia="zh-CN"/>
              </w:rPr>
              <w:t>其他行政权力</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val="en-US" w:eastAsia="zh-CN"/>
              </w:rPr>
              <w:t>区水</w:t>
            </w:r>
            <w:r>
              <w:rPr>
                <w:rFonts w:hint="eastAsia" w:ascii="仿宋_GB2312" w:eastAsia="仿宋_GB2312" w:cs="仿宋_GB2312"/>
                <w:color w:val="000000"/>
                <w:kern w:val="0"/>
                <w:sz w:val="18"/>
                <w:szCs w:val="18"/>
              </w:rPr>
              <w:t>务局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2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9"/>
            <w:tcBorders>
              <w:tl2br w:val="nil"/>
              <w:tr2bl w:val="nil"/>
            </w:tcBorders>
            <w:shd w:val="clear" w:color="auto" w:fill="auto"/>
            <w:vAlign w:val="center"/>
          </w:tcPr>
          <w:p>
            <w:pPr>
              <w:jc w:val="center"/>
              <w:rPr>
                <w:rFonts w:ascii="黑体" w:eastAsia="黑体" w:cs="黑体"/>
                <w:b/>
                <w:bCs/>
                <w:color w:val="000000"/>
                <w:szCs w:val="21"/>
              </w:rPr>
            </w:pPr>
            <w:r>
              <w:rPr>
                <w:rFonts w:hint="eastAsia" w:ascii="仿宋_GB2312" w:eastAsia="仿宋_GB2312" w:cs="仿宋_GB2312"/>
                <w:color w:val="000000"/>
                <w:kern w:val="0"/>
                <w:sz w:val="18"/>
                <w:szCs w:val="18"/>
              </w:rPr>
              <w:t xml:space="preserve">水利工程建设项目验收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427"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9"/>
            <w:tcBorders>
              <w:tl2br w:val="nil"/>
              <w:tr2bl w:val="nil"/>
            </w:tcBorders>
            <w:shd w:val="clear" w:color="auto" w:fill="auto"/>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Style w:val="8"/>
                <w:rFonts w:hint="eastAsia" w:ascii="仿宋_GB2312" w:hAnsi="仿宋_GB2312" w:eastAsia="仿宋_GB2312" w:cs="仿宋_GB2312"/>
                <w:sz w:val="18"/>
                <w:szCs w:val="18"/>
                <w:lang w:val="en-US" w:eastAsia="zh-CN" w:bidi="ar"/>
              </w:rPr>
            </w:pPr>
            <w:r>
              <w:rPr>
                <w:rStyle w:val="8"/>
                <w:rFonts w:hint="eastAsia" w:ascii="仿宋_GB2312" w:hAnsi="仿宋_GB2312" w:eastAsia="仿宋_GB2312" w:cs="仿宋_GB2312"/>
                <w:sz w:val="18"/>
                <w:szCs w:val="18"/>
                <w:lang w:val="en-US" w:eastAsia="zh-CN" w:bidi="ar"/>
              </w:rPr>
              <w:t>1.《水利工程建设项目管理规定》（水建〔1995〕128号）第十五条 1.工程阶段验收：阶段验收是工程竣工验收的基础和重要内容，凡能独立发挥作用的单项工程均。应进行阶段验收，如：截流（包括分期导流）、下闸蓄水、机组起动、通水等是重要的阶段验收。2.工程竣工验收：中央参与投资的地方重点水利建设项目由省（自治区、直辖市）政府会同水利部或流域机构主持验收。地方水利建设项目由地方水利主管部门主持验收。其中，大型建设项目验收，水利部或流域机构派员参加；重要中型建设项目验收，流域机构派员参加。</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仿宋_GB2312" w:hAnsi="仿宋_GB2312" w:eastAsia="仿宋_GB2312" w:cs="仿宋_GB2312"/>
                <w:i w:val="0"/>
                <w:color w:val="000000"/>
                <w:kern w:val="0"/>
                <w:sz w:val="18"/>
                <w:szCs w:val="18"/>
                <w:u w:val="none"/>
                <w:lang w:val="en-US" w:eastAsia="zh-CN" w:bidi="ar"/>
              </w:rPr>
            </w:pPr>
            <w:r>
              <w:rPr>
                <w:rStyle w:val="8"/>
                <w:rFonts w:hint="eastAsia" w:ascii="仿宋_GB2312" w:hAnsi="仿宋_GB2312" w:eastAsia="仿宋_GB2312" w:cs="仿宋_GB2312"/>
                <w:sz w:val="18"/>
                <w:szCs w:val="18"/>
                <w:lang w:val="en-US" w:eastAsia="zh-CN" w:bidi="ar"/>
              </w:rPr>
              <w:t>2.《水利工程建设项目验收管理规定》（2006年水利部令第30号）第二十条 （一）水利部负责初步设计审批的地方项目，以中央投资为主的，竣工验收主持单位为水利部或者流域管理机构，以地方投资为主的，竣工验收主持单位为省级人民政府（或者其委托的单位）或者省级人民政府水行政主管部门（或者其委托的单位）；（二）地方负责初步设计审批的项目，竣工验收主持单位为省级人民政府水行政主管部门（或者其委托的单位）。竣工验收主持单位为水利部或者流域管理机构的，可以根据工程实际情况，会同省级人民政府或者有关部门共同主持。第二十三条 工程建设进入枢纽工程导（截）流、水库下闸蓄水、引（调）排水工程通水、首（末）台机组启动等关键阶段，应当组织进行阶段验收。竣工验收主持单位根据工程建设的实际需要，可以增设阶段验收的环节。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5287" w:type="dxa"/>
            <w:gridSpan w:val="5"/>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9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hint="eastAsia" w:ascii="黑体" w:eastAsia="黑体" w:cs="黑体"/>
                <w:color w:val="000000"/>
                <w:sz w:val="18"/>
                <w:szCs w:val="18"/>
                <w:lang w:eastAsia="zh-CN"/>
              </w:rPr>
            </w:pPr>
            <w:r>
              <w:rPr>
                <w:rFonts w:hint="eastAsia" w:ascii="黑体" w:eastAsia="黑体" w:cs="黑体"/>
                <w:color w:val="000000"/>
                <w:sz w:val="18"/>
                <w:szCs w:val="18"/>
                <w:lang w:val="en-US" w:eastAsia="zh-CN"/>
              </w:rPr>
              <w:t>申请</w:t>
            </w:r>
          </w:p>
        </w:tc>
        <w:tc>
          <w:tcPr>
            <w:tcW w:w="5287" w:type="dxa"/>
            <w:gridSpan w:val="5"/>
            <w:tcBorders>
              <w:tl2br w:val="nil"/>
              <w:tr2bl w:val="nil"/>
            </w:tcBorders>
            <w:shd w:val="clear" w:color="auto" w:fill="auto"/>
            <w:vAlign w:val="center"/>
          </w:tcPr>
          <w:p>
            <w:pPr>
              <w:pStyle w:val="7"/>
              <w:numPr>
                <w:ilvl w:val="0"/>
                <w:numId w:val="0"/>
              </w:numPr>
              <w:rPr>
                <w:rFonts w:ascii="黑体" w:eastAsia="黑体" w:cs="黑体"/>
                <w:color w:val="000000"/>
                <w:sz w:val="18"/>
                <w:szCs w:val="18"/>
              </w:rPr>
            </w:pPr>
            <w:r>
              <w:rPr>
                <w:rFonts w:hint="eastAsia" w:ascii="仿宋_GB2312" w:hAnsi="仿宋_GB2312" w:eastAsia="仿宋_GB2312" w:cs="仿宋_GB2312"/>
                <w:i w:val="0"/>
                <w:iCs w:val="0"/>
                <w:caps w:val="0"/>
                <w:color w:val="333333"/>
                <w:spacing w:val="0"/>
                <w:sz w:val="18"/>
                <w:szCs w:val="18"/>
                <w:shd w:val="clear" w:fill="FFFFFF"/>
              </w:rPr>
              <w:t>事业法人、行政机关</w:t>
            </w:r>
          </w:p>
        </w:tc>
        <w:tc>
          <w:tcPr>
            <w:tcW w:w="1339" w:type="dxa"/>
            <w:gridSpan w:val="2"/>
            <w:tcBorders>
              <w:tl2br w:val="nil"/>
              <w:tr2bl w:val="nil"/>
            </w:tcBorders>
            <w:shd w:val="clear" w:color="auto" w:fill="auto"/>
            <w:vAlign w:val="center"/>
          </w:tcPr>
          <w:p>
            <w:pPr>
              <w:jc w:val="center"/>
              <w:rPr>
                <w:rFonts w:hint="default" w:ascii="黑体" w:eastAsia="黑体" w:cs="黑体"/>
                <w:color w:val="000000"/>
                <w:sz w:val="18"/>
                <w:szCs w:val="18"/>
                <w:lang w:val="en-US" w:eastAsia="zh-CN"/>
              </w:rPr>
            </w:pPr>
            <w:r>
              <w:rPr>
                <w:rFonts w:hint="eastAsia" w:ascii="黑体" w:eastAsia="黑体" w:cs="黑体"/>
                <w:color w:val="000000"/>
                <w:sz w:val="18"/>
                <w:szCs w:val="18"/>
                <w:lang w:val="en-US" w:eastAsia="zh-CN"/>
              </w:rPr>
              <w:t>3工作日</w:t>
            </w: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val="en-US" w:eastAsia="zh-CN"/>
              </w:rPr>
              <w:t>窗口</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74"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受理</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依法受理或不予受理，并一次性告之不予受理理由或需补充提供的相关材料目录</w:t>
            </w:r>
          </w:p>
        </w:tc>
        <w:tc>
          <w:tcPr>
            <w:tcW w:w="1339" w:type="dxa"/>
            <w:gridSpan w:val="2"/>
            <w:tcBorders>
              <w:tl2br w:val="nil"/>
              <w:tr2bl w:val="nil"/>
            </w:tcBorders>
            <w:shd w:val="clear" w:color="auto" w:fill="auto"/>
            <w:vAlign w:val="center"/>
          </w:tcPr>
          <w:p>
            <w:pPr>
              <w:jc w:val="center"/>
              <w:rPr>
                <w:rFonts w:hint="default" w:ascii="黑体" w:eastAsia="黑体" w:cs="黑体"/>
                <w:color w:val="000000"/>
                <w:sz w:val="18"/>
                <w:szCs w:val="18"/>
                <w:lang w:val="en-US" w:eastAsia="zh-CN"/>
              </w:rPr>
            </w:pPr>
            <w:r>
              <w:rPr>
                <w:rFonts w:hint="eastAsia" w:ascii="黑体" w:eastAsia="黑体" w:cs="黑体"/>
                <w:color w:val="000000"/>
                <w:sz w:val="18"/>
                <w:szCs w:val="18"/>
                <w:lang w:val="en-US" w:eastAsia="zh-CN"/>
              </w:rPr>
              <w:t>7工作日</w:t>
            </w:r>
          </w:p>
        </w:tc>
        <w:tc>
          <w:tcPr>
            <w:tcW w:w="1159" w:type="dxa"/>
            <w:tcBorders>
              <w:tl2br w:val="nil"/>
              <w:tr2bl w:val="nil"/>
            </w:tcBorders>
            <w:shd w:val="clear" w:color="auto" w:fill="auto"/>
            <w:vAlign w:val="center"/>
          </w:tcPr>
          <w:p>
            <w:pPr>
              <w:jc w:val="center"/>
              <w:rPr>
                <w:rFonts w:hint="default"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lang w:val="en-US" w:eastAsia="zh-CN"/>
              </w:rPr>
              <w:t>规计科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14"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hint="default" w:ascii="黑体" w:eastAsia="黑体" w:cs="黑体"/>
                <w:color w:val="000000"/>
                <w:sz w:val="18"/>
                <w:szCs w:val="18"/>
                <w:lang w:val="en-US" w:eastAsia="zh-CN"/>
              </w:rPr>
            </w:pPr>
            <w:r>
              <w:rPr>
                <w:rFonts w:hint="eastAsia" w:ascii="黑体" w:eastAsia="黑体" w:cs="黑体"/>
                <w:color w:val="000000"/>
                <w:sz w:val="18"/>
                <w:szCs w:val="18"/>
              </w:rPr>
              <w:t>审查</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审查</w:t>
            </w:r>
            <w:r>
              <w:rPr>
                <w:rFonts w:ascii="仿宋_GB2312" w:eastAsia="仿宋_GB2312" w:cs="仿宋_GB2312"/>
                <w:color w:val="000000"/>
                <w:kern w:val="0"/>
                <w:sz w:val="18"/>
                <w:szCs w:val="18"/>
              </w:rPr>
              <w:t>申请对象提供的相关材料</w:t>
            </w:r>
          </w:p>
        </w:tc>
        <w:tc>
          <w:tcPr>
            <w:tcW w:w="1339" w:type="dxa"/>
            <w:gridSpan w:val="2"/>
            <w:tcBorders>
              <w:tl2br w:val="nil"/>
              <w:tr2bl w:val="nil"/>
            </w:tcBorders>
            <w:shd w:val="clear" w:color="auto" w:fill="auto"/>
            <w:vAlign w:val="center"/>
          </w:tcPr>
          <w:p>
            <w:pPr>
              <w:jc w:val="center"/>
              <w:rPr>
                <w:rFonts w:hint="default" w:ascii="黑体" w:eastAsia="黑体" w:cs="黑体"/>
                <w:color w:val="000000"/>
                <w:sz w:val="18"/>
                <w:szCs w:val="18"/>
                <w:lang w:val="en-US" w:eastAsia="zh-CN"/>
              </w:rPr>
            </w:pPr>
            <w:r>
              <w:rPr>
                <w:rFonts w:hint="eastAsia" w:ascii="黑体" w:eastAsia="黑体" w:cs="黑体"/>
                <w:color w:val="000000"/>
                <w:sz w:val="18"/>
                <w:szCs w:val="18"/>
                <w:lang w:val="en-US" w:eastAsia="zh-CN"/>
              </w:rPr>
              <w:t>9</w:t>
            </w:r>
            <w:bookmarkStart w:id="0" w:name="_GoBack"/>
            <w:bookmarkEnd w:id="0"/>
            <w:r>
              <w:rPr>
                <w:rFonts w:hint="eastAsia" w:ascii="黑体" w:eastAsia="黑体" w:cs="黑体"/>
                <w:color w:val="000000"/>
                <w:sz w:val="18"/>
                <w:szCs w:val="18"/>
                <w:lang w:val="en-US" w:eastAsia="zh-CN"/>
              </w:rPr>
              <w:t>工作日</w:t>
            </w: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val="en-US" w:eastAsia="zh-CN"/>
              </w:rPr>
              <w:t>规计科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7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hint="default" w:ascii="黑体" w:eastAsia="黑体" w:cs="黑体"/>
                <w:color w:val="000000"/>
                <w:sz w:val="18"/>
                <w:szCs w:val="18"/>
                <w:lang w:val="en-US" w:eastAsia="zh-CN"/>
              </w:rPr>
            </w:pPr>
            <w:r>
              <w:rPr>
                <w:rFonts w:hint="eastAsia" w:ascii="黑体" w:eastAsia="黑体" w:cs="黑体"/>
                <w:color w:val="000000"/>
                <w:sz w:val="18"/>
                <w:szCs w:val="18"/>
                <w:lang w:val="en-US" w:eastAsia="zh-CN"/>
              </w:rPr>
              <w:t>决定</w:t>
            </w:r>
          </w:p>
        </w:tc>
        <w:tc>
          <w:tcPr>
            <w:tcW w:w="5287" w:type="dxa"/>
            <w:gridSpan w:val="5"/>
            <w:tcBorders>
              <w:tl2br w:val="nil"/>
              <w:tr2bl w:val="nil"/>
            </w:tcBorders>
            <w:shd w:val="clear" w:color="auto" w:fill="auto"/>
            <w:vAlign w:val="center"/>
          </w:tcPr>
          <w:p>
            <w:pPr>
              <w:rPr>
                <w:rFonts w:hint="default" w:ascii="仿宋_GB2312" w:eastAsia="仿宋_GB2312" w:cs="仿宋_GB2312"/>
                <w:color w:val="000000"/>
                <w:kern w:val="0"/>
                <w:sz w:val="18"/>
                <w:szCs w:val="18"/>
                <w:lang w:val="en-US" w:eastAsia="zh-CN"/>
              </w:rPr>
            </w:pPr>
          </w:p>
        </w:tc>
        <w:tc>
          <w:tcPr>
            <w:tcW w:w="1339" w:type="dxa"/>
            <w:gridSpan w:val="2"/>
            <w:tcBorders>
              <w:tl2br w:val="nil"/>
              <w:tr2bl w:val="nil"/>
            </w:tcBorders>
            <w:shd w:val="clear" w:color="auto" w:fill="auto"/>
            <w:vAlign w:val="center"/>
          </w:tcPr>
          <w:p>
            <w:pPr>
              <w:jc w:val="center"/>
              <w:rPr>
                <w:rFonts w:hint="default" w:ascii="仿宋_GB2312" w:eastAsia="仿宋_GB2312" w:cs="仿宋_GB2312"/>
                <w:color w:val="000000"/>
                <w:kern w:val="0"/>
                <w:sz w:val="18"/>
                <w:szCs w:val="18"/>
                <w:lang w:val="en-US" w:eastAsia="zh-CN"/>
              </w:rPr>
            </w:pPr>
            <w:r>
              <w:rPr>
                <w:rFonts w:hint="eastAsia" w:ascii="黑体" w:eastAsia="黑体" w:cs="黑体"/>
                <w:color w:val="000000"/>
                <w:sz w:val="18"/>
                <w:szCs w:val="18"/>
                <w:lang w:val="en-US" w:eastAsia="zh-CN"/>
              </w:rPr>
              <w:t>1工作日</w:t>
            </w: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val="en-US" w:eastAsia="zh-CN"/>
              </w:rPr>
              <w:t>窗口</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rPr>
                <w:rFonts w:ascii="黑体" w:eastAsia="黑体" w:cs="黑体"/>
                <w:color w:val="000000"/>
                <w:sz w:val="18"/>
                <w:szCs w:val="18"/>
              </w:rPr>
            </w:pPr>
          </w:p>
        </w:tc>
        <w:tc>
          <w:tcPr>
            <w:tcW w:w="5287" w:type="dxa"/>
            <w:gridSpan w:val="5"/>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b/>
                <w:bCs/>
                <w:kern w:val="0"/>
                <w:szCs w:val="21"/>
              </w:rPr>
              <w:t>是否容缺办理</w:t>
            </w:r>
          </w:p>
        </w:tc>
        <w:tc>
          <w:tcPr>
            <w:tcW w:w="1339" w:type="dxa"/>
            <w:gridSpan w:val="2"/>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lang w:val="en-US" w:eastAsia="zh-CN"/>
              </w:rPr>
              <w:t>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92"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widowControl/>
              <w:spacing w:line="240" w:lineRule="exact"/>
              <w:jc w:val="left"/>
              <w:textAlignment w:val="center"/>
              <w:rPr>
                <w:rFonts w:ascii="黑体" w:eastAsia="黑体" w:cs="黑体"/>
                <w:color w:val="000000"/>
                <w:sz w:val="18"/>
                <w:szCs w:val="18"/>
              </w:rPr>
            </w:pPr>
          </w:p>
        </w:tc>
        <w:tc>
          <w:tcPr>
            <w:tcW w:w="5287" w:type="dxa"/>
            <w:gridSpan w:val="5"/>
            <w:tcBorders>
              <w:tl2br w:val="nil"/>
              <w:tr2bl w:val="nil"/>
            </w:tcBorders>
            <w:shd w:val="clear" w:color="auto" w:fill="auto"/>
            <w:vAlign w:val="center"/>
          </w:tcPr>
          <w:p>
            <w:pPr>
              <w:jc w:val="center"/>
              <w:rPr>
                <w:rFonts w:ascii="黑体" w:eastAsia="黑体" w:cs="黑体"/>
                <w:color w:val="000000"/>
                <w:sz w:val="18"/>
                <w:szCs w:val="18"/>
              </w:rPr>
            </w:pPr>
          </w:p>
        </w:tc>
        <w:tc>
          <w:tcPr>
            <w:tcW w:w="1339" w:type="dxa"/>
            <w:gridSpan w:val="2"/>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01" w:hRule="atLeast"/>
          <w:jc w:val="center"/>
        </w:trPr>
        <w:tc>
          <w:tcPr>
            <w:tcW w:w="1463" w:type="dxa"/>
            <w:tcBorders>
              <w:tl2br w:val="nil"/>
              <w:tr2bl w:val="nil"/>
            </w:tcBorders>
            <w:shd w:val="clear" w:color="auto" w:fill="auto"/>
            <w:vAlign w:val="center"/>
          </w:tcPr>
          <w:p>
            <w:pPr>
              <w:jc w:val="center"/>
              <w:rPr>
                <w:rFonts w:ascii="黑体" w:hAnsi="黑体" w:eastAsia="黑体"/>
                <w:b/>
              </w:rPr>
            </w:pPr>
            <w:r>
              <w:rPr>
                <w:rFonts w:hint="eastAsia" w:ascii="黑体" w:hAnsi="黑体" w:eastAsia="黑体"/>
                <w:b/>
              </w:rPr>
              <w:t>办理渠道</w:t>
            </w:r>
          </w:p>
        </w:tc>
        <w:tc>
          <w:tcPr>
            <w:tcW w:w="4636" w:type="dxa"/>
            <w:gridSpan w:val="4"/>
            <w:tcBorders>
              <w:tl2br w:val="nil"/>
              <w:tr2bl w:val="nil"/>
            </w:tcBorders>
            <w:shd w:val="clear" w:color="auto" w:fill="auto"/>
            <w:vAlign w:val="center"/>
          </w:tcPr>
          <w:p>
            <w:pPr>
              <w:spacing w:line="240" w:lineRule="exact"/>
              <w:rPr>
                <w:rFonts w:ascii="仿宋_GB2312" w:eastAsia="仿宋_GB2312" w:cs="仿宋_GB2312"/>
                <w:color w:val="000000"/>
                <w:kern w:val="0"/>
                <w:sz w:val="18"/>
                <w:szCs w:val="18"/>
              </w:rPr>
            </w:pPr>
            <w:r>
              <w:rPr>
                <w:rFonts w:hint="eastAsia" w:ascii="仿宋_GB2312" w:hAnsi="仿宋_GB2312" w:eastAsia="仿宋_GB2312" w:cs="仿宋_GB2312"/>
                <w:i w:val="0"/>
                <w:iCs w:val="0"/>
                <w:caps w:val="0"/>
                <w:color w:val="333333"/>
                <w:spacing w:val="0"/>
                <w:sz w:val="18"/>
                <w:szCs w:val="18"/>
              </w:rPr>
              <w:t>申请人符合申请条件；申请事项属于本机关受理权限；申请材料齐全、符合法定条件</w:t>
            </w:r>
          </w:p>
        </w:tc>
        <w:tc>
          <w:tcPr>
            <w:tcW w:w="1701"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p>
        </w:tc>
        <w:tc>
          <w:tcPr>
            <w:tcW w:w="2498"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kern w:val="0"/>
                <w:szCs w:val="21"/>
              </w:rPr>
            </w:pPr>
            <w:r>
              <w:rPr>
                <w:rFonts w:hint="eastAsia" w:ascii="黑体" w:eastAsia="黑体" w:cs="黑体"/>
                <w:b/>
                <w:bCs/>
                <w:kern w:val="0"/>
                <w:szCs w:val="21"/>
              </w:rPr>
              <w:t>所需资料</w:t>
            </w:r>
          </w:p>
        </w:tc>
        <w:tc>
          <w:tcPr>
            <w:tcW w:w="8835" w:type="dxa"/>
            <w:gridSpan w:val="9"/>
            <w:tcBorders>
              <w:tl2br w:val="nil"/>
              <w:tr2bl w:val="nil"/>
            </w:tcBorders>
            <w:shd w:val="clear" w:color="auto" w:fill="auto"/>
            <w:vAlign w:val="center"/>
          </w:tcPr>
          <w:p>
            <w:pPr>
              <w:widowControl/>
              <w:spacing w:line="240" w:lineRule="exact"/>
              <w:jc w:val="left"/>
              <w:textAlignment w:val="center"/>
              <w:rPr>
                <w:rStyle w:val="5"/>
                <w:rFonts w:hint="default" w:eastAsia="仿宋_GB2312"/>
                <w:color w:val="auto"/>
                <w:lang w:val="en-US" w:eastAsia="zh-CN"/>
              </w:rPr>
            </w:pPr>
            <w:r>
              <w:rPr>
                <w:rFonts w:hint="eastAsia" w:ascii="仿宋_GB2312" w:eastAsia="仿宋_GB2312" w:cs="仿宋_GB2312"/>
                <w:color w:val="000000"/>
                <w:kern w:val="0"/>
                <w:sz w:val="18"/>
                <w:szCs w:val="18"/>
              </w:rPr>
              <w:t>1.业务咨询：</w:t>
            </w:r>
            <w:r>
              <w:rPr>
                <w:rFonts w:ascii="仿宋_GB2312" w:eastAsia="仿宋_GB2312" w:cs="仿宋_GB2312"/>
                <w:color w:val="000000"/>
                <w:kern w:val="0"/>
                <w:sz w:val="18"/>
                <w:szCs w:val="18"/>
              </w:rPr>
              <w:t>0335-</w:t>
            </w:r>
            <w:r>
              <w:rPr>
                <w:rFonts w:hint="eastAsia" w:ascii="仿宋_GB2312" w:eastAsia="仿宋_GB2312" w:cs="仿宋_GB2312"/>
                <w:color w:val="000000"/>
                <w:kern w:val="0"/>
                <w:sz w:val="18"/>
                <w:szCs w:val="18"/>
                <w:lang w:val="en-US" w:eastAsia="zh-CN"/>
              </w:rPr>
              <w:t>4186694  7166689</w:t>
            </w:r>
            <w:r>
              <w:rPr>
                <w:rFonts w:hint="eastAsia" w:ascii="仿宋_GB2312" w:eastAsia="仿宋_GB2312" w:cs="仿宋_GB2312"/>
                <w:color w:val="000000"/>
                <w:kern w:val="0"/>
                <w:sz w:val="18"/>
                <w:szCs w:val="18"/>
              </w:rPr>
              <w:br w:type="textWrapping"/>
            </w:r>
            <w:r>
              <w:rPr>
                <w:rFonts w:hint="eastAsia" w:ascii="仿宋_GB2312" w:eastAsia="仿宋_GB2312" w:cs="仿宋_GB2312"/>
                <w:color w:val="000000"/>
                <w:kern w:val="0"/>
                <w:sz w:val="18"/>
                <w:szCs w:val="18"/>
              </w:rPr>
              <w:t>2.投诉举报电话：</w:t>
            </w:r>
            <w:r>
              <w:rPr>
                <w:rFonts w:ascii="仿宋_GB2312" w:eastAsia="仿宋_GB2312" w:cs="仿宋_GB2312"/>
                <w:color w:val="000000"/>
                <w:kern w:val="0"/>
                <w:sz w:val="18"/>
                <w:szCs w:val="18"/>
              </w:rPr>
              <w:t>0335-</w:t>
            </w:r>
            <w:r>
              <w:rPr>
                <w:rFonts w:hint="eastAsia" w:ascii="仿宋_GB2312" w:eastAsia="仿宋_GB2312" w:cs="仿宋_GB2312"/>
                <w:color w:val="000000"/>
                <w:kern w:val="0"/>
                <w:sz w:val="18"/>
                <w:szCs w:val="18"/>
                <w:lang w:val="en-US" w:eastAsia="zh-CN"/>
              </w:rPr>
              <w:t>4186378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170"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9"/>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1.对符合法定条件的基建项目竣工验收申请不予受理的；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2.对不符合法定条件的申请人准予受理或者超越法定职权作出准予受理的；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3.对符合法定条件的申请人不予受理或者不在法定期限内作出准予行政许可决定的；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4.违反法定程序实施项目验收的；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5.工作中玩忽职守、滥用职权的；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6.进行项目验收、实施监督检查，索取或者收受他人财物或者谋取其他利益的；</w:t>
            </w:r>
          </w:p>
          <w:p>
            <w:pPr>
              <w:widowControl/>
              <w:jc w:val="left"/>
              <w:textAlignment w:val="center"/>
              <w:rPr>
                <w:rFonts w:ascii="黑体" w:eastAsia="黑体" w:cs="黑体"/>
                <w:color w:val="000000"/>
                <w:szCs w:val="21"/>
              </w:rPr>
            </w:pPr>
            <w:r>
              <w:rPr>
                <w:rFonts w:hint="eastAsia" w:ascii="仿宋_GB2312" w:hAnsi="仿宋_GB2312" w:eastAsia="仿宋_GB2312" w:cs="仿宋_GB2312"/>
                <w:i w:val="0"/>
                <w:color w:val="000000"/>
                <w:kern w:val="0"/>
                <w:sz w:val="18"/>
                <w:szCs w:val="18"/>
                <w:u w:val="none"/>
                <w:lang w:val="en-US" w:eastAsia="zh-CN" w:bidi="ar"/>
              </w:rPr>
              <w:t>7.其他违反法律法规规章文件规定的行为。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90"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9"/>
            <w:tcBorders>
              <w:tl2br w:val="nil"/>
              <w:tr2bl w:val="nil"/>
            </w:tcBorders>
            <w:shd w:val="clear" w:color="auto" w:fill="auto"/>
            <w:vAlign w:val="center"/>
          </w:tcPr>
          <w:p>
            <w:pPr>
              <w:widowControl/>
              <w:jc w:val="left"/>
              <w:textAlignment w:val="center"/>
              <w:rPr>
                <w:rFonts w:hint="default" w:ascii="黑体" w:eastAsia="仿宋_GB2312" w:cs="黑体"/>
                <w:color w:val="000000"/>
                <w:sz w:val="24"/>
                <w:lang w:val="en-US"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99"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9"/>
            <w:tcBorders>
              <w:tl2br w:val="nil"/>
              <w:tr2bl w:val="nil"/>
            </w:tcBorders>
            <w:shd w:val="clear" w:color="auto" w:fill="auto"/>
            <w:vAlign w:val="center"/>
          </w:tcPr>
          <w:p>
            <w:pPr>
              <w:pStyle w:val="7"/>
              <w:numPr>
                <w:ilvl w:val="0"/>
                <w:numId w:val="0"/>
              </w:numPr>
              <w:ind w:firstLine="360" w:firstLineChars="200"/>
              <w:rPr>
                <w:rFonts w:ascii="黑体" w:eastAsia="黑体" w:cs="黑体"/>
                <w:b/>
                <w:bCs/>
                <w:color w:val="000000"/>
                <w:szCs w:val="21"/>
              </w:rPr>
            </w:pPr>
            <w:r>
              <w:rPr>
                <w:rFonts w:hint="eastAsia" w:ascii="仿宋_GB2312" w:hAnsi="仿宋_GB2312" w:eastAsia="仿宋_GB2312" w:cs="仿宋_GB2312"/>
                <w:sz w:val="18"/>
                <w:szCs w:val="18"/>
              </w:rPr>
              <w:t>行政复议</w:t>
            </w:r>
            <w:r>
              <w:rPr>
                <w:rFonts w:hint="eastAsia" w:ascii="仿宋_GB2312" w:hAnsi="仿宋_GB2312" w:eastAsia="仿宋_GB2312" w:cs="仿宋_GB2312"/>
                <w:sz w:val="18"/>
                <w:szCs w:val="18"/>
                <w:lang w:eastAsia="zh-CN"/>
              </w:rPr>
              <w:t>、</w:t>
            </w:r>
            <w:r>
              <w:rPr>
                <w:rFonts w:hint="eastAsia" w:ascii="仿宋_GB2312" w:hAnsi="仿宋_GB2312" w:eastAsia="仿宋_GB2312" w:cs="仿宋_GB2312"/>
                <w:sz w:val="18"/>
                <w:szCs w:val="18"/>
              </w:rPr>
              <w:t>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28"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9"/>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560" w:lineRule="exact"/>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3ZDYyNGQ0ZWRmNzY5Y2ZkODVkOTIxNDgzNjcxYTkifQ=="/>
  </w:docVars>
  <w:rsids>
    <w:rsidRoot w:val="00F35FED"/>
    <w:rsid w:val="000C0BFD"/>
    <w:rsid w:val="002455E6"/>
    <w:rsid w:val="00252F81"/>
    <w:rsid w:val="002F371C"/>
    <w:rsid w:val="003E269F"/>
    <w:rsid w:val="00526E1F"/>
    <w:rsid w:val="00646AB2"/>
    <w:rsid w:val="00682557"/>
    <w:rsid w:val="006A7DFC"/>
    <w:rsid w:val="0073198C"/>
    <w:rsid w:val="007B3AB4"/>
    <w:rsid w:val="009A0D43"/>
    <w:rsid w:val="00A52FD2"/>
    <w:rsid w:val="00CA20EC"/>
    <w:rsid w:val="00D24BC2"/>
    <w:rsid w:val="00DB558F"/>
    <w:rsid w:val="00E454F1"/>
    <w:rsid w:val="00EF269E"/>
    <w:rsid w:val="00F03CB5"/>
    <w:rsid w:val="00F35FED"/>
    <w:rsid w:val="00F81182"/>
    <w:rsid w:val="017D1E60"/>
    <w:rsid w:val="04CC45D7"/>
    <w:rsid w:val="05720B50"/>
    <w:rsid w:val="06365847"/>
    <w:rsid w:val="06C94BD2"/>
    <w:rsid w:val="0A096257"/>
    <w:rsid w:val="120A1F9D"/>
    <w:rsid w:val="12443DC6"/>
    <w:rsid w:val="17B44FF8"/>
    <w:rsid w:val="19032629"/>
    <w:rsid w:val="19D159ED"/>
    <w:rsid w:val="1AA23409"/>
    <w:rsid w:val="1B3808EA"/>
    <w:rsid w:val="1C8B63BD"/>
    <w:rsid w:val="1DE44FAA"/>
    <w:rsid w:val="1F7B5542"/>
    <w:rsid w:val="209C2034"/>
    <w:rsid w:val="2249544A"/>
    <w:rsid w:val="23244490"/>
    <w:rsid w:val="25493224"/>
    <w:rsid w:val="25845CD5"/>
    <w:rsid w:val="2A4D7CD4"/>
    <w:rsid w:val="2A9E2A29"/>
    <w:rsid w:val="2B24319D"/>
    <w:rsid w:val="2B6F372F"/>
    <w:rsid w:val="2D1166CA"/>
    <w:rsid w:val="2F1F6DA3"/>
    <w:rsid w:val="300F2AEB"/>
    <w:rsid w:val="309A0DD7"/>
    <w:rsid w:val="36BC4A3E"/>
    <w:rsid w:val="39691347"/>
    <w:rsid w:val="3A895DBC"/>
    <w:rsid w:val="3B8763FC"/>
    <w:rsid w:val="3D762284"/>
    <w:rsid w:val="45CD7101"/>
    <w:rsid w:val="468477C0"/>
    <w:rsid w:val="4886465F"/>
    <w:rsid w:val="495D254A"/>
    <w:rsid w:val="4BB91E72"/>
    <w:rsid w:val="510F2A57"/>
    <w:rsid w:val="54B8159C"/>
    <w:rsid w:val="557B213D"/>
    <w:rsid w:val="571E6C34"/>
    <w:rsid w:val="5AAF437D"/>
    <w:rsid w:val="5CEB13C0"/>
    <w:rsid w:val="6183261A"/>
    <w:rsid w:val="665F74AA"/>
    <w:rsid w:val="68F13618"/>
    <w:rsid w:val="6C9D1A3F"/>
    <w:rsid w:val="7059540B"/>
    <w:rsid w:val="7133733A"/>
    <w:rsid w:val="71870F41"/>
    <w:rsid w:val="724777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6"/>
    <w:semiHidden/>
    <w:unhideWhenUsed/>
    <w:uiPriority w:val="99"/>
    <w:rPr>
      <w:sz w:val="18"/>
      <w:szCs w:val="18"/>
    </w:rPr>
  </w:style>
  <w:style w:type="character" w:customStyle="1" w:styleId="5">
    <w:name w:val="font112"/>
    <w:basedOn w:val="4"/>
    <w:autoRedefine/>
    <w:qFormat/>
    <w:uiPriority w:val="0"/>
    <w:rPr>
      <w:rFonts w:ascii="仿宋_GB2312" w:eastAsia="仿宋_GB2312" w:cs="仿宋_GB2312"/>
      <w:color w:val="000000"/>
      <w:sz w:val="18"/>
      <w:szCs w:val="18"/>
      <w:u w:val="none"/>
    </w:rPr>
  </w:style>
  <w:style w:type="character" w:customStyle="1" w:styleId="6">
    <w:name w:val="批注框文本 Char"/>
    <w:basedOn w:val="4"/>
    <w:link w:val="2"/>
    <w:autoRedefine/>
    <w:semiHidden/>
    <w:qFormat/>
    <w:uiPriority w:val="99"/>
    <w:rPr>
      <w:rFonts w:ascii="Calibri" w:hAnsi="Calibri" w:eastAsia="宋体" w:cs="Arial"/>
      <w:sz w:val="18"/>
      <w:szCs w:val="18"/>
    </w:rPr>
  </w:style>
  <w:style w:type="paragraph" w:styleId="7">
    <w:name w:val="List Paragraph"/>
    <w:basedOn w:val="1"/>
    <w:qFormat/>
    <w:uiPriority w:val="34"/>
    <w:pPr>
      <w:ind w:firstLine="420" w:firstLineChars="200"/>
    </w:pPr>
  </w:style>
  <w:style w:type="character" w:customStyle="1" w:styleId="8">
    <w:name w:val="font41"/>
    <w:basedOn w:val="4"/>
    <w:autoRedefine/>
    <w:qFormat/>
    <w:uiPriority w:val="0"/>
    <w:rPr>
      <w:rFonts w:hint="eastAsia" w:ascii="仿宋" w:hAnsi="仿宋" w:eastAsia="仿宋" w:cs="仿宋"/>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3054</Words>
  <Characters>3157</Characters>
  <Lines>24</Lines>
  <Paragraphs>6</Paragraphs>
  <TotalTime>1</TotalTime>
  <ScaleCrop>false</ScaleCrop>
  <LinksUpToDate>false</LinksUpToDate>
  <CharactersWithSpaces>3162</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2023-07-31T02:33:00Z</dcterms:created>
  <dc:creator>xb21cn</dc:creator>
  <cp:lastModifiedBy>WPS_1601461663</cp:lastModifiedBy>
  <cp:lastPrinted>2023-08-15T01:13:00Z</cp:lastPrinted>
  <dcterms:modified xsi:type="dcterms:W3CDTF">2024-02-05T03:19:57Z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302C46204FD14EC487AC593D6FA44D60_12</vt:lpwstr>
  </property>
</Properties>
</file>