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640" w:lineRule="exact"/>
        <w:ind w:firstLine="640"/>
        <w:jc w:val="center"/>
        <w:rPr>
          <w:rFonts w:eastAsia="方正小标宋简体"/>
          <w:sz w:val="44"/>
          <w:szCs w:val="44"/>
        </w:rPr>
      </w:pPr>
      <w:r>
        <w:rPr>
          <w:rFonts w:hint="eastAsia" w:eastAsia="方正小标宋简体"/>
          <w:sz w:val="44"/>
          <w:szCs w:val="44"/>
        </w:rPr>
        <w:t>关于监督抽检</w:t>
      </w:r>
    </w:p>
    <w:p>
      <w:pPr>
        <w:spacing w:after="120" w:line="640" w:lineRule="exact"/>
        <w:ind w:firstLine="640"/>
        <w:jc w:val="center"/>
        <w:rPr>
          <w:rFonts w:eastAsia="方正小标宋简体"/>
          <w:color w:val="000000"/>
          <w:sz w:val="44"/>
          <w:szCs w:val="44"/>
        </w:rPr>
      </w:pPr>
      <w:r>
        <w:rPr>
          <w:rFonts w:hint="eastAsia" w:eastAsia="方正小标宋简体"/>
          <w:sz w:val="44"/>
          <w:szCs w:val="44"/>
        </w:rPr>
        <w:t>不合格食品核查处置情况的通告</w:t>
      </w:r>
    </w:p>
    <w:p>
      <w:pPr>
        <w:spacing w:after="120" w:line="560" w:lineRule="exact"/>
        <w:ind w:firstLine="640"/>
        <w:jc w:val="center"/>
        <w:rPr>
          <w:rFonts w:eastAsia="楷体_GB2312"/>
          <w:sz w:val="32"/>
          <w:szCs w:val="32"/>
        </w:rPr>
      </w:pPr>
    </w:p>
    <w:p>
      <w:pPr>
        <w:spacing w:line="360" w:lineRule="auto"/>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现将不合格食品核查处置情况通告如下：</w:t>
      </w:r>
    </w:p>
    <w:p>
      <w:pPr>
        <w:spacing w:line="360" w:lineRule="auto"/>
        <w:ind w:firstLine="1920" w:firstLineChars="600"/>
        <w:rPr>
          <w:rFonts w:hint="eastAsia" w:ascii="仿宋_GB2312" w:hAnsi="仿宋_GB2312" w:eastAsia="仿宋_GB2312" w:cs="仿宋_GB2312"/>
          <w:sz w:val="32"/>
          <w:szCs w:val="32"/>
          <w:lang w:eastAsia="zh-CN"/>
        </w:rPr>
      </w:pPr>
      <w:bookmarkStart w:id="0" w:name="OLE_LINK1"/>
      <w:r>
        <w:rPr>
          <w:rFonts w:hint="eastAsia" w:ascii="仿宋_GB2312" w:hAnsi="仿宋_GB2312" w:eastAsia="仿宋_GB2312" w:cs="仿宋_GB2312"/>
          <w:sz w:val="32"/>
          <w:szCs w:val="32"/>
          <w:lang w:val="en-US" w:eastAsia="zh-CN"/>
        </w:rPr>
        <w:t>秦皇岛市同德餐饮</w:t>
      </w:r>
      <w:r>
        <w:rPr>
          <w:rFonts w:hint="eastAsia" w:ascii="仿宋_GB2312" w:hAnsi="仿宋_GB2312" w:eastAsia="仿宋_GB2312" w:cs="仿宋_GB2312"/>
          <w:sz w:val="32"/>
          <w:szCs w:val="32"/>
          <w:lang w:eastAsia="zh-CN"/>
        </w:rPr>
        <w:t>有限公司</w:t>
      </w:r>
      <w:r>
        <w:rPr>
          <w:rFonts w:hint="eastAsia" w:ascii="仿宋_GB2312" w:hAnsi="仿宋_GB2312" w:eastAsia="仿宋_GB2312" w:cs="仿宋_GB2312"/>
          <w:sz w:val="32"/>
          <w:szCs w:val="32"/>
        </w:rPr>
        <w:t>经营的</w:t>
      </w:r>
      <w:r>
        <w:rPr>
          <w:rFonts w:hint="eastAsia" w:ascii="仿宋_GB2312" w:hAnsi="仿宋_GB2312" w:eastAsia="仿宋_GB2312" w:cs="仿宋_GB2312"/>
          <w:sz w:val="32"/>
          <w:szCs w:val="32"/>
          <w:lang w:val="en-US" w:eastAsia="zh-CN"/>
        </w:rPr>
        <w:t>木瓜</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（一）、抽检的基本情况</w:t>
      </w:r>
    </w:p>
    <w:p>
      <w:pPr>
        <w:spacing w:line="360" w:lineRule="auto"/>
        <w:ind w:firstLine="480"/>
        <w:rPr>
          <w:rFonts w:ascii="仿宋_GB2312" w:hAnsi="仿宋_GB2312" w:eastAsia="仿宋_GB2312" w:cs="仿宋_GB2312"/>
          <w:sz w:val="32"/>
          <w:szCs w:val="32"/>
        </w:rPr>
      </w:pPr>
      <w:bookmarkStart w:id="1" w:name="OLE_LINK34"/>
      <w:bookmarkStart w:id="2" w:name="OLE_LINK10"/>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日，我局接到编号为</w:t>
      </w:r>
      <w:bookmarkEnd w:id="1"/>
      <w:bookmarkEnd w:id="2"/>
      <w:bookmarkStart w:id="3" w:name="OLE_LINK24"/>
      <w:bookmarkStart w:id="4" w:name="OLE_LINK8"/>
      <w:r>
        <w:rPr>
          <w:rFonts w:hint="eastAsia" w:ascii="仿宋_GB2312" w:hAnsi="仿宋_GB2312" w:eastAsia="仿宋_GB2312" w:cs="仿宋_GB2312"/>
          <w:sz w:val="32"/>
          <w:szCs w:val="32"/>
        </w:rPr>
        <w:t>N</w:t>
      </w:r>
      <w:bookmarkStart w:id="5" w:name="OLE_LINK16"/>
      <w:r>
        <w:rPr>
          <w:rFonts w:hint="eastAsia" w:ascii="仿宋_GB2312" w:hAnsi="仿宋_GB2312" w:eastAsia="仿宋_GB2312" w:cs="仿宋_GB2312"/>
          <w:sz w:val="32"/>
          <w:szCs w:val="32"/>
        </w:rPr>
        <w:t>o:</w:t>
      </w:r>
      <w:bookmarkEnd w:id="3"/>
      <w:bookmarkEnd w:id="4"/>
      <w:bookmarkEnd w:id="5"/>
      <w:r>
        <w:rPr>
          <w:rFonts w:hint="eastAsia" w:ascii="仿宋_GB2312" w:hAnsi="仿宋_GB2312" w:eastAsia="仿宋_GB2312" w:cs="仿宋_GB2312"/>
          <w:sz w:val="32"/>
          <w:szCs w:val="32"/>
          <w:lang w:val="en-US" w:eastAsia="zh-CN"/>
        </w:rPr>
        <w:t>AAF603021AAF60X8911</w:t>
      </w:r>
      <w:r>
        <w:rPr>
          <w:rFonts w:hint="eastAsia" w:ascii="仿宋_GB2312" w:hAnsi="仿宋_GB2312" w:eastAsia="仿宋_GB2312" w:cs="仿宋_GB2312"/>
          <w:sz w:val="32"/>
          <w:szCs w:val="32"/>
        </w:rPr>
        <w:t>的检验报告称2025年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日在</w:t>
      </w:r>
      <w:bookmarkStart w:id="6" w:name="OLE_LINK27"/>
      <w:r>
        <w:rPr>
          <w:rFonts w:hint="eastAsia" w:ascii="仿宋_GB2312" w:hAnsi="仿宋_GB2312" w:eastAsia="仿宋_GB2312" w:cs="仿宋_GB2312"/>
          <w:sz w:val="32"/>
          <w:szCs w:val="32"/>
        </w:rPr>
        <w:t>秦皇岛</w:t>
      </w:r>
      <w:r>
        <w:rPr>
          <w:rFonts w:hint="eastAsia" w:ascii="仿宋_GB2312" w:hAnsi="仿宋_GB2312" w:eastAsia="仿宋_GB2312" w:cs="仿宋_GB2312"/>
          <w:sz w:val="32"/>
          <w:szCs w:val="32"/>
          <w:lang w:val="en-US" w:eastAsia="zh-CN"/>
        </w:rPr>
        <w:t>市同德餐饮</w:t>
      </w:r>
      <w:r>
        <w:rPr>
          <w:rFonts w:hint="eastAsia" w:ascii="仿宋_GB2312" w:hAnsi="仿宋_GB2312" w:eastAsia="仿宋_GB2312" w:cs="仿宋_GB2312"/>
          <w:sz w:val="32"/>
          <w:szCs w:val="32"/>
          <w:lang w:eastAsia="zh-CN"/>
        </w:rPr>
        <w:t>有限公司</w:t>
      </w:r>
      <w:r>
        <w:rPr>
          <w:rFonts w:hint="eastAsia" w:ascii="仿宋_GB2312" w:hAnsi="仿宋_GB2312" w:eastAsia="仿宋_GB2312" w:cs="仿宋_GB2312"/>
          <w:sz w:val="32"/>
          <w:szCs w:val="32"/>
        </w:rPr>
        <w:t>抽检的</w:t>
      </w:r>
      <w:r>
        <w:rPr>
          <w:rFonts w:hint="eastAsia" w:ascii="仿宋_GB2312" w:hAnsi="仿宋_GB2312" w:eastAsia="仿宋_GB2312" w:cs="仿宋_GB2312"/>
          <w:sz w:val="32"/>
          <w:szCs w:val="32"/>
          <w:lang w:val="en-US" w:eastAsia="zh-CN"/>
        </w:rPr>
        <w:t>木瓜</w:t>
      </w:r>
      <w:r>
        <w:rPr>
          <w:rFonts w:hint="eastAsia" w:ascii="仿宋_GB2312" w:hAnsi="仿宋_GB2312" w:eastAsia="仿宋_GB2312" w:cs="仿宋_GB2312"/>
          <w:sz w:val="32"/>
          <w:szCs w:val="32"/>
        </w:rPr>
        <w:t>检查项目</w:t>
      </w:r>
      <w:r>
        <w:rPr>
          <w:rFonts w:hint="eastAsia" w:ascii="仿宋_GB2312" w:hAnsi="仿宋_GB2312" w:eastAsia="仿宋_GB2312" w:cs="仿宋_GB2312"/>
          <w:sz w:val="32"/>
          <w:szCs w:val="32"/>
          <w:lang w:val="en-US" w:eastAsia="zh-CN"/>
        </w:rPr>
        <w:t>噻虫胺</w:t>
      </w:r>
      <w:r>
        <w:rPr>
          <w:rFonts w:hint="eastAsia" w:ascii="仿宋_GB2312" w:hAnsi="仿宋_GB2312" w:eastAsia="仿宋_GB2312" w:cs="仿宋_GB2312"/>
          <w:sz w:val="32"/>
          <w:szCs w:val="32"/>
        </w:rPr>
        <w:t>判定结</w:t>
      </w:r>
      <w:r>
        <w:rPr>
          <w:rFonts w:hint="eastAsia" w:ascii="仿宋_GB2312" w:eastAsia="仿宋_GB2312"/>
          <w:sz w:val="32"/>
          <w:szCs w:val="32"/>
        </w:rPr>
        <w:t>果为不合格</w:t>
      </w:r>
      <w:bookmarkEnd w:id="6"/>
      <w:r>
        <w:rPr>
          <w:rFonts w:hint="eastAsia" w:ascii="仿宋_GB2312" w:hAnsi="仿宋_GB2312" w:eastAsia="仿宋_GB2312" w:cs="仿宋_GB2312"/>
          <w:sz w:val="32"/>
          <w:szCs w:val="32"/>
        </w:rPr>
        <w:t>。</w:t>
      </w:r>
    </w:p>
    <w:p>
      <w:pPr>
        <w:pStyle w:val="2"/>
        <w:tabs>
          <w:tab w:val="left" w:pos="8890"/>
        </w:tabs>
        <w:spacing w:line="560" w:lineRule="exact"/>
        <w:ind w:firstLine="627" w:firstLineChars="196"/>
        <w:rPr>
          <w:rFonts w:ascii="仿宋_GB2312" w:eastAsia="仿宋_GB2312"/>
        </w:rPr>
      </w:pPr>
      <w:r>
        <w:rPr>
          <w:rFonts w:hint="eastAsia" w:ascii="仿宋_GB2312" w:eastAsia="仿宋_GB2312"/>
        </w:rPr>
        <w:t>（二）、原因排查情况</w:t>
      </w:r>
    </w:p>
    <w:p>
      <w:pPr>
        <w:spacing w:line="360" w:lineRule="auto"/>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经调查，当事人公司采购部购进了</w:t>
      </w:r>
      <w:r>
        <w:rPr>
          <w:rFonts w:hint="eastAsia" w:ascii="仿宋_GB2312" w:hAnsi="仿宋_GB2312" w:eastAsia="仿宋_GB2312" w:cs="仿宋_GB2312"/>
          <w:sz w:val="32"/>
          <w:szCs w:val="32"/>
          <w:lang w:val="en-US" w:eastAsia="zh-CN"/>
        </w:rPr>
        <w:t>5公斤</w:t>
      </w:r>
      <w:r>
        <w:rPr>
          <w:rFonts w:hint="eastAsia" w:ascii="仿宋_GB2312" w:hAnsi="仿宋_GB2312" w:eastAsia="仿宋_GB2312" w:cs="仿宋_GB2312"/>
          <w:sz w:val="32"/>
          <w:szCs w:val="32"/>
        </w:rPr>
        <w:t>由</w:t>
      </w:r>
      <w:r>
        <w:rPr>
          <w:rFonts w:hint="eastAsia" w:ascii="仿宋_GB2312" w:hAnsi="仿宋_GB2312" w:eastAsia="仿宋_GB2312" w:cs="仿宋_GB2312"/>
          <w:color w:val="auto"/>
          <w:sz w:val="32"/>
          <w:szCs w:val="32"/>
          <w:lang w:val="en-US" w:eastAsia="zh-CN"/>
        </w:rPr>
        <w:t>海港区秦吴水果店经营</w:t>
      </w:r>
      <w:r>
        <w:rPr>
          <w:rFonts w:hint="eastAsia" w:ascii="仿宋_GB2312" w:hAnsi="仿宋_GB2312" w:eastAsia="仿宋_GB2312" w:cs="仿宋_GB2312"/>
          <w:color w:val="auto"/>
          <w:sz w:val="32"/>
          <w:szCs w:val="32"/>
        </w:rPr>
        <w:t>的</w:t>
      </w:r>
      <w:r>
        <w:rPr>
          <w:rFonts w:hint="eastAsia" w:ascii="仿宋_GB2312" w:eastAsia="仿宋_GB2312"/>
          <w:color w:val="auto"/>
          <w:sz w:val="32"/>
          <w:szCs w:val="32"/>
          <w:lang w:val="en-US" w:eastAsia="zh-CN"/>
        </w:rPr>
        <w:t>木瓜</w:t>
      </w:r>
      <w:r>
        <w:rPr>
          <w:rFonts w:hint="eastAsia" w:ascii="仿宋_GB2312" w:hAnsi="仿宋_GB2312" w:eastAsia="仿宋_GB2312" w:cs="仿宋_GB2312"/>
          <w:sz w:val="32"/>
          <w:szCs w:val="32"/>
        </w:rPr>
        <w:t>，当事人经营的</w:t>
      </w:r>
      <w:r>
        <w:rPr>
          <w:rFonts w:hint="eastAsia" w:ascii="仿宋_GB2312" w:hAnsi="仿宋_GB2312" w:eastAsia="仿宋_GB2312" w:cs="仿宋_GB2312"/>
          <w:sz w:val="32"/>
          <w:szCs w:val="32"/>
          <w:lang w:val="en-US" w:eastAsia="zh-CN"/>
        </w:rPr>
        <w:t>木瓜</w:t>
      </w:r>
      <w:r>
        <w:rPr>
          <w:rFonts w:hint="eastAsia" w:ascii="仿宋_GB2312" w:hAnsi="仿宋_GB2312" w:eastAsia="仿宋_GB2312" w:cs="仿宋_GB2312"/>
          <w:sz w:val="32"/>
          <w:szCs w:val="32"/>
        </w:rPr>
        <w:t>在进货时查验了供货方的营业执照以及该批次</w:t>
      </w:r>
      <w:r>
        <w:rPr>
          <w:rFonts w:hint="eastAsia" w:ascii="仿宋_GB2312" w:hAnsi="仿宋_GB2312" w:eastAsia="仿宋_GB2312" w:cs="仿宋_GB2312"/>
          <w:sz w:val="32"/>
          <w:szCs w:val="32"/>
          <w:lang w:val="en-US" w:eastAsia="zh-CN"/>
        </w:rPr>
        <w:t>木瓜</w:t>
      </w:r>
      <w:r>
        <w:rPr>
          <w:rFonts w:hint="eastAsia" w:ascii="仿宋_GB2312" w:hAnsi="仿宋_GB2312" w:eastAsia="仿宋_GB2312" w:cs="仿宋_GB2312"/>
          <w:sz w:val="32"/>
          <w:szCs w:val="32"/>
        </w:rPr>
        <w:t>的检验报告等复印件，其履行了进货查验义务，并能说明进货来源。</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（三）、企业整改情况</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当事人积极配合执法人员进行调查处理，立即对同批次的</w:t>
      </w:r>
      <w:r>
        <w:rPr>
          <w:rFonts w:hint="eastAsia" w:ascii="仿宋_GB2312" w:hAnsi="仿宋_GB2312" w:eastAsia="仿宋_GB2312" w:cs="仿宋_GB2312"/>
          <w:sz w:val="32"/>
          <w:szCs w:val="32"/>
          <w:lang w:val="en-US" w:eastAsia="zh-CN"/>
        </w:rPr>
        <w:t>木瓜</w:t>
      </w:r>
      <w:r>
        <w:rPr>
          <w:rFonts w:hint="eastAsia" w:ascii="仿宋_GB2312" w:eastAsia="仿宋_GB2312"/>
          <w:sz w:val="32"/>
          <w:szCs w:val="32"/>
        </w:rPr>
        <w:t>进行自查，发现同批次</w:t>
      </w:r>
      <w:r>
        <w:rPr>
          <w:rFonts w:hint="eastAsia" w:ascii="仿宋_GB2312" w:eastAsia="仿宋_GB2312"/>
          <w:sz w:val="32"/>
          <w:szCs w:val="32"/>
          <w:lang w:val="en-US" w:eastAsia="zh-CN"/>
        </w:rPr>
        <w:t>木瓜</w:t>
      </w:r>
      <w:r>
        <w:rPr>
          <w:rFonts w:hint="eastAsia" w:ascii="仿宋_GB2312" w:eastAsia="仿宋_GB2312"/>
          <w:sz w:val="32"/>
          <w:szCs w:val="32"/>
        </w:rPr>
        <w:t>全部售出，张贴公告，召回已销售</w:t>
      </w:r>
      <w:r>
        <w:rPr>
          <w:rFonts w:hint="eastAsia" w:ascii="仿宋_GB2312" w:eastAsia="仿宋_GB2312"/>
          <w:sz w:val="32"/>
          <w:szCs w:val="32"/>
          <w:lang w:val="en-US" w:eastAsia="zh-CN"/>
        </w:rPr>
        <w:t>木瓜</w:t>
      </w:r>
      <w:r>
        <w:rPr>
          <w:rFonts w:hint="eastAsia" w:ascii="仿宋_GB2312" w:eastAsia="仿宋_GB2312"/>
          <w:sz w:val="32"/>
          <w:szCs w:val="32"/>
        </w:rPr>
        <w:t>。同时加强食品安全法的法律法规学习，落实主体责任，认真履行索证索票义务。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（四）、行政处罚情况</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当事人销售</w:t>
      </w:r>
      <w:r>
        <w:rPr>
          <w:rFonts w:hint="eastAsia" w:ascii="仿宋_GB2312" w:hAnsi="仿宋_GB2312" w:eastAsia="仿宋_GB2312" w:cs="仿宋_GB2312"/>
          <w:sz w:val="32"/>
          <w:szCs w:val="32"/>
          <w:lang w:val="en-US" w:eastAsia="zh-CN"/>
        </w:rPr>
        <w:t>噻虫胺</w:t>
      </w:r>
      <w:r>
        <w:rPr>
          <w:rFonts w:hint="eastAsia" w:ascii="仿宋_GB2312" w:hAnsi="仿宋_GB2312" w:eastAsia="仿宋_GB2312" w:cs="仿宋_GB2312"/>
          <w:sz w:val="32"/>
          <w:szCs w:val="32"/>
        </w:rPr>
        <w:t>超过标准的食品，其</w:t>
      </w:r>
      <w:r>
        <w:rPr>
          <w:rFonts w:hint="eastAsia" w:ascii="仿宋_GB2312" w:hAnsi="仿宋_GB2312" w:eastAsia="仿宋_GB2312" w:cs="仿宋_GB2312"/>
          <w:color w:val="000000"/>
          <w:sz w:val="32"/>
          <w:szCs w:val="32"/>
        </w:rPr>
        <w:t>行为违反了《中华人民共和国食品安全法》第三十四条</w:t>
      </w:r>
      <w:r>
        <w:rPr>
          <w:rFonts w:hint="eastAsia" w:ascii="仿宋_GB2312" w:hAnsi="仿宋_GB2312" w:eastAsia="仿宋_GB2312" w:cs="仿宋_GB2312"/>
          <w:sz w:val="32"/>
          <w:szCs w:val="32"/>
          <w:lang w:eastAsia="zh-CN"/>
        </w:rPr>
        <w:t>第二项</w:t>
      </w:r>
      <w:r>
        <w:rPr>
          <w:rFonts w:hint="eastAsia" w:ascii="仿宋_GB2312" w:hAnsi="仿宋_GB2312" w:eastAsia="仿宋_GB2312" w:cs="仿宋_GB2312"/>
          <w:color w:val="000000"/>
          <w:sz w:val="32"/>
          <w:szCs w:val="32"/>
        </w:rPr>
        <w:t>“禁止生产经营下列食品……</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二</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致病性微生物、农药残留、兽药残留、重金属、污染物质以及其他危害人体健康的物质含量超过食品安全标准限量的食品……</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之规定，构成经营农药残留含量超过食品安全标准限量食品的违法行为。当事人在进货时已经按规定履行了进货查验义务，留存了相关材料复印件，并能说明进货来源，由于农药残留超标并非属于通过日常查验可以发现的情况，根据《中华人民共和国食品安全法》第一百三十六条的规定，当事人符合《中华人民共和国食品安全法》规定免于处罚的情形，我局于</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rPr>
        <w:t>5年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日下达了不予处罚决定书。</w:t>
      </w:r>
    </w:p>
    <w:p>
      <w:pPr>
        <w:spacing w:line="560" w:lineRule="exact"/>
        <w:ind w:firstLine="420" w:firstLineChars="200"/>
        <w:rPr>
          <w:rFonts w:ascii="仿宋_GB2312" w:hAnsi="仿宋_GB2312" w:eastAsia="仿宋_GB2312" w:cs="仿宋_GB2312"/>
          <w:color w:val="000000"/>
          <w:sz w:val="32"/>
          <w:szCs w:val="32"/>
        </w:rPr>
      </w:pPr>
      <w:r>
        <w:t xml:space="preserve">    </w:t>
      </w:r>
      <w:r>
        <w:rPr>
          <w:rFonts w:hint="eastAsia" w:ascii="仿宋_GB2312" w:hAnsi="仿宋_GB2312" w:eastAsia="仿宋_GB2312" w:cs="仿宋_GB2312"/>
          <w:color w:val="000000"/>
          <w:sz w:val="32"/>
          <w:szCs w:val="32"/>
        </w:rPr>
        <w:t>（五）、通报移送情况</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由于当事人不在我区购进的超食品安全标准限量的</w:t>
      </w:r>
      <w:r>
        <w:rPr>
          <w:rFonts w:hint="eastAsia" w:ascii="仿宋_GB2312" w:hAnsi="仿宋_GB2312" w:eastAsia="仿宋_GB2312" w:cs="仿宋_GB2312"/>
          <w:color w:val="000000"/>
          <w:sz w:val="32"/>
          <w:szCs w:val="32"/>
          <w:lang w:val="en-US" w:eastAsia="zh-CN"/>
        </w:rPr>
        <w:t>木瓜</w:t>
      </w:r>
      <w:r>
        <w:rPr>
          <w:rFonts w:hint="eastAsia" w:ascii="仿宋_GB2312" w:hAnsi="仿宋_GB2312" w:eastAsia="仿宋_GB2312" w:cs="仿宋_GB2312"/>
          <w:color w:val="000000"/>
          <w:sz w:val="32"/>
          <w:szCs w:val="32"/>
        </w:rPr>
        <w:t>不属于我局管辖。依据《市场监督管理行政处罚程序暂行规定》第十三条的规定，我局于</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rPr>
        <w:t>5年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日将案件线索移送至</w:t>
      </w:r>
      <w:r>
        <w:rPr>
          <w:rFonts w:hint="eastAsia" w:ascii="仿宋_GB2312" w:hAnsi="仿宋_GB2312" w:eastAsia="仿宋_GB2312" w:cs="仿宋_GB2312"/>
          <w:color w:val="000000"/>
          <w:sz w:val="32"/>
          <w:szCs w:val="32"/>
          <w:lang w:val="en-US" w:eastAsia="zh-CN"/>
        </w:rPr>
        <w:t>海港区</w:t>
      </w:r>
      <w:r>
        <w:rPr>
          <w:rFonts w:hint="eastAsia" w:ascii="仿宋_GB2312" w:hAnsi="仿宋_GB2312" w:eastAsia="仿宋_GB2312" w:cs="仿宋_GB2312"/>
          <w:color w:val="000000"/>
          <w:sz w:val="32"/>
          <w:szCs w:val="32"/>
        </w:rPr>
        <w:t>农业农村局。</w:t>
      </w:r>
    </w:p>
    <w:bookmarkEnd w:id="0"/>
    <w:p>
      <w:pPr>
        <w:spacing w:line="560" w:lineRule="exact"/>
        <w:ind w:firstLine="420" w:firstLineChars="200"/>
        <w:rPr>
          <w:rFonts w:ascii="仿宋_GB2312" w:hAnsi="仿宋_GB2312" w:eastAsia="仿宋_GB2312" w:cs="仿宋_GB2312"/>
          <w:color w:val="000000"/>
          <w:sz w:val="32"/>
          <w:szCs w:val="32"/>
        </w:rPr>
      </w:pPr>
      <w:r>
        <w:t xml:space="preserve">    </w:t>
      </w:r>
    </w:p>
    <w:p>
      <w:pPr>
        <w:spacing w:line="560" w:lineRule="exact"/>
        <w:ind w:firstLine="640" w:firstLineChars="200"/>
        <w:rPr>
          <w:rFonts w:ascii="仿宋_GB2312" w:hAnsi="仿宋_GB2312" w:eastAsia="仿宋_GB2312" w:cs="仿宋_GB2312"/>
          <w:color w:val="000000"/>
          <w:sz w:val="32"/>
          <w:szCs w:val="32"/>
        </w:rPr>
      </w:pPr>
      <w:bookmarkStart w:id="7" w:name="_GoBack"/>
    </w:p>
    <w:bookmarkEnd w:id="7"/>
    <w:p>
      <w:pPr>
        <w:spacing w:line="560" w:lineRule="exact"/>
        <w:ind w:firstLine="643" w:firstLineChars="200"/>
        <w:rPr>
          <w:rFonts w:ascii="仿宋_GB2312" w:eastAsia="仿宋_GB2312"/>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&#1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ZDg3MmRkZTQ5NmM2NDNmZTc4MGM0OGM1MzBhOTNlYzEifQ=="/>
  </w:docVars>
  <w:rsids>
    <w:rsidRoot w:val="00CD1440"/>
    <w:rsid w:val="000B6BA6"/>
    <w:rsid w:val="000B744D"/>
    <w:rsid w:val="00236D06"/>
    <w:rsid w:val="00244444"/>
    <w:rsid w:val="002528D0"/>
    <w:rsid w:val="002F2BD0"/>
    <w:rsid w:val="002F2C98"/>
    <w:rsid w:val="00312F8D"/>
    <w:rsid w:val="00382D32"/>
    <w:rsid w:val="004B3362"/>
    <w:rsid w:val="005249A1"/>
    <w:rsid w:val="005364E7"/>
    <w:rsid w:val="00565C9B"/>
    <w:rsid w:val="00590EDF"/>
    <w:rsid w:val="00594247"/>
    <w:rsid w:val="005E1864"/>
    <w:rsid w:val="005F3740"/>
    <w:rsid w:val="00630E62"/>
    <w:rsid w:val="00631356"/>
    <w:rsid w:val="00666C3A"/>
    <w:rsid w:val="006D41ED"/>
    <w:rsid w:val="00713054"/>
    <w:rsid w:val="00724DF7"/>
    <w:rsid w:val="007472C6"/>
    <w:rsid w:val="008176D8"/>
    <w:rsid w:val="00900ACF"/>
    <w:rsid w:val="009B3CAB"/>
    <w:rsid w:val="009D245E"/>
    <w:rsid w:val="009D7468"/>
    <w:rsid w:val="00A00BA5"/>
    <w:rsid w:val="00A07C0E"/>
    <w:rsid w:val="00A6172B"/>
    <w:rsid w:val="00A73837"/>
    <w:rsid w:val="00B405D2"/>
    <w:rsid w:val="00B55ADC"/>
    <w:rsid w:val="00B742EE"/>
    <w:rsid w:val="00BF4ECD"/>
    <w:rsid w:val="00C826F8"/>
    <w:rsid w:val="00CA37FC"/>
    <w:rsid w:val="00CD1440"/>
    <w:rsid w:val="00D104AE"/>
    <w:rsid w:val="00D81E19"/>
    <w:rsid w:val="00D83A9E"/>
    <w:rsid w:val="00DD3B3E"/>
    <w:rsid w:val="00E2237B"/>
    <w:rsid w:val="00EC1AE3"/>
    <w:rsid w:val="00EC28DB"/>
    <w:rsid w:val="00ED0E1C"/>
    <w:rsid w:val="00F04230"/>
    <w:rsid w:val="00F73408"/>
    <w:rsid w:val="00FD2BB1"/>
    <w:rsid w:val="010509C1"/>
    <w:rsid w:val="05A671F6"/>
    <w:rsid w:val="07D80112"/>
    <w:rsid w:val="1D763768"/>
    <w:rsid w:val="20F34C31"/>
    <w:rsid w:val="250A5AA6"/>
    <w:rsid w:val="2BF46EA6"/>
    <w:rsid w:val="2C3E7916"/>
    <w:rsid w:val="2D6E009E"/>
    <w:rsid w:val="2E2F06BF"/>
    <w:rsid w:val="31DE250A"/>
    <w:rsid w:val="37F01D8E"/>
    <w:rsid w:val="44C95D69"/>
    <w:rsid w:val="46F45618"/>
    <w:rsid w:val="4DD91E44"/>
    <w:rsid w:val="4E4804C8"/>
    <w:rsid w:val="530B009C"/>
    <w:rsid w:val="608A5AFA"/>
    <w:rsid w:val="60FA08C8"/>
    <w:rsid w:val="7CEB75C3"/>
    <w:rsid w:val="7D7D3D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iPriority="99"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99"/>
    <w:pPr>
      <w:autoSpaceDE w:val="0"/>
      <w:autoSpaceDN w:val="0"/>
      <w:adjustRightInd w:val="0"/>
      <w:jc w:val="left"/>
    </w:pPr>
    <w:rPr>
      <w:rFonts w:ascii="Arial Unicode MS" w:eastAsia="Times New Roman"/>
      <w:kern w:val="0"/>
      <w:sz w:val="32"/>
      <w:szCs w:val="32"/>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semiHidden/>
    <w:unhideWhenUsed/>
    <w:qFormat/>
    <w:lock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semiHidden/>
    <w:qFormat/>
    <w:locked/>
    <w:uiPriority w:val="99"/>
    <w:rPr>
      <w:rFonts w:ascii="Times New Roman" w:hAnsi="Times New Roman" w:cs="Times New Roman"/>
      <w:sz w:val="24"/>
      <w:szCs w:val="24"/>
    </w:rPr>
  </w:style>
  <w:style w:type="character" w:customStyle="1" w:styleId="8">
    <w:name w:val="页脚 Char"/>
    <w:basedOn w:val="6"/>
    <w:link w:val="3"/>
    <w:semiHidden/>
    <w:qFormat/>
    <w:locked/>
    <w:uiPriority w:val="99"/>
    <w:rPr>
      <w:rFonts w:ascii="Times New Roman" w:hAnsi="Times New Roman" w:cs="Times New Roman"/>
      <w:sz w:val="18"/>
      <w:szCs w:val="18"/>
    </w:rPr>
  </w:style>
  <w:style w:type="character" w:customStyle="1" w:styleId="9">
    <w:name w:val="页眉 Char"/>
    <w:basedOn w:val="6"/>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729</Words>
  <Characters>767</Characters>
  <Lines>1</Lines>
  <Paragraphs>1</Paragraphs>
  <TotalTime>3</TotalTime>
  <ScaleCrop>false</ScaleCrop>
  <LinksUpToDate>false</LinksUpToDate>
  <CharactersWithSpaces>776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FMM</cp:lastModifiedBy>
  <dcterms:modified xsi:type="dcterms:W3CDTF">2025-09-19T02:01:37Z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31A7E4E8DD7140EB80D845C81989B787</vt:lpwstr>
  </property>
  <property fmtid="{D5CDD505-2E9C-101B-9397-08002B2CF9AE}" pid="4" name="KSOTemplateDocerSaveRecord">
    <vt:lpwstr>eyJoZGlkIjoiMGFlNDY2MWNhM2Y1ZDViNmM3ZDA2NDYzYzJkYjU4NjMiLCJ1c2VySWQiOiI1MTI4NDQyOTcifQ==</vt:lpwstr>
  </property>
</Properties>
</file>