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-102870</wp:posOffset>
                </wp:positionV>
                <wp:extent cx="916940" cy="5994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4080" y="514350"/>
                          <a:ext cx="916940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pt;margin-top:-8.1pt;height:47.2pt;width:72.2pt;z-index:251659264;mso-width-relative:page;mso-height-relative:page;" filled="f" stroked="f" coordsize="21600,21600" o:gfxdata="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R0eltgAAAAJAQAADwAAAAAAAAABACAAAAAiAAAA&#10;ZHJzL2Rvd25yZXYueG1sUEsBAhQAFAAAAAgAh07iQEN5qaZAAgAAbwQAAA4AAAAAAAAAAQAgAAAA&#10;J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北戴河区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2025年生活垃圾分类工作任务清单</w:t>
      </w:r>
    </w:p>
    <w:tbl>
      <w:tblPr>
        <w:tblStyle w:val="5"/>
        <w:tblW w:w="15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33"/>
        <w:gridCol w:w="2040"/>
        <w:gridCol w:w="3483"/>
        <w:gridCol w:w="3615"/>
        <w:gridCol w:w="1518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tblHeader/>
          <w:jc w:val="center"/>
        </w:trPr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348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51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263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体制机制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健全生活垃圾分类工作体制</w:t>
            </w:r>
          </w:p>
        </w:tc>
        <w:tc>
          <w:tcPr>
            <w:tcW w:w="3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健全生活垃圾分类工作体制机制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，推进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市、区、街道、社区四级党组织协同联动，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强化部门协同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提供常态化联动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工作制度说明，相关制度文件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提供联动会议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及联动活动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情况描述（会议纪要、会议通知、现场照片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活动方案、活动通知）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0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政府（管委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）印发的工作方案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区两级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会议的通知、纪要和现场照片，联合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调研指导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、整改反馈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完善生活垃圾分类设施管理制度</w:t>
            </w:r>
          </w:p>
        </w:tc>
        <w:tc>
          <w:tcPr>
            <w:tcW w:w="3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完善生活垃圾分类设施管理制度，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指导生活垃圾分类设施配置，完善生活垃圾分类设施运行管理规范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完善指导目录、规范设置分类类别及分类标志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制定生活垃圾设施设备配置要求标准、规范相关文件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000000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发改局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制定生活垃圾分类设施(转运站、分拣中心、填埋场及各类垃圾处理厂等)运行管理规范的文件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推动源头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限制商品过度包装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落实限制商品过度包装有关规定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提供相关法律、法规、制度、通知等有效措施相关文件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1" w:name="OLE_LINK2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  <w:bookmarkEnd w:id="1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、整改情况、现场照片，具体措施和工作成效说明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推动源头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减量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禁止或限制部分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一次性塑料制品的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生产、销售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落实禁止或限制部分一次性塑料制品的生产、销售和利用有关规定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提供相关法律、法规、制度、通知等有效措施相关文件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旅游文广局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方案、通报、整改情况、现场照片，具体措施和工作成效说明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推行不主动提供一次性用品有关规定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落实在旅游、住宿等行业推行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不主动提供一次性用品有关规定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CFCFC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提供相关法律、法规、制度、通知等有效措施相关文件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旅游文广局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卫健局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发改局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4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运行中心</w:t>
            </w:r>
          </w:p>
          <w:bookmarkEnd w:id="3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CFCFC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方案、通报、整改情况、现场照片，具体措施和工作成效说明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开展“光盘行动”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落实反食品浪费法有关规定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开展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光盘行动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  <w:lang w:eastAsia="zh-CN"/>
              </w:rPr>
              <w:t>”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CFCFC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提供相关法律、法规、制度、通知等有效措施相关文件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旅游文广局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OLE_LINK5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运行中心</w:t>
            </w:r>
          </w:p>
          <w:bookmarkEnd w:id="4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CFCFC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方案、通报、整改情况、现场照片，具体措施和工作成效说明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推动办公场所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无纸化办公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落实推动办公场所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CFCFC"/>
              </w:rPr>
              <w:t>无纸化办公有关规定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提供相关法律、法规、制度、通知等有效措施相关文件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方案、通报、整改情况、现场照片，具体措施和工作成效说明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分类投放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分类投放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居民小区生活垃圾分类投放管理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落实居民小区生活垃圾分类投放管理，生活垃圾分类覆盖率达到100%。确保投放设施设备布局配置科学合理，投放点干净整洁、无异味，提升投放准确度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提供生活垃圾分类投放设施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已覆盖的居民小区数量；已覆盖的居民小区投放设施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容器配置台账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OLE_LINK7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bookmarkEnd w:id="5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提供投放设施布局方便群众，配置人性化设施设备文件及现场照片；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升级改造后投放点位台账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制定包含投放准确度的检查标准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、措施、操作规范的制度文件；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方案、通报、整改情况、现场照片，明确投放准确率具体数值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及投放点周边环境卫生情况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公共机构生活垃圾分类投放管理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公共机构生活垃圾分类投放管理，制定公共机构生活垃圾分类工作指引；生活垃圾分类日常管理制度文件，生活垃圾分类覆盖率达到100%，确保投放设施设备布局配置科学合理，常态化宣传，提升投放准确度措施相关材料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提供公共机构垃圾分类工作指引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提供公共机构生活垃圾分类日常工作管理制度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提供生活垃圾分类实现有效覆盖的公共机构台账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制定公共机构宣传活动方案，提供公共机构宣传标语、口号等照片以及宣传活动照片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各责任单位生活垃圾分类工作推进情况；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制定包含投放准确度的检查标准，提供检查方案、通报、整改情况、现场照片，明确投放准确率具体数值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公共场所经营区域生活垃圾分类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投放管理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公共场所和经营区域生活垃圾分类投放管理，制定公共场所、经营区域生活垃圾分类工作指引，生活垃圾分类覆盖率达到90%，确保投放设施布局、配置科学合理，宣传内容丰富、形式多样，提升投放准确度措施相关材料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公共场所、经营区域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生活垃圾分类日常工作管理制度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各责任单位行业生活垃圾分类工作推进情况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发改局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旅游文广局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卫健局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经营区域生活垃圾分类工作指引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提供日常垃圾分类宣传活动总结及活动清单、照片；宣传栏、宣传海报照片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提供生活垃圾分类实现有效覆盖的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经营区域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台账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制定包含投放准确度的检查标准，提供对宾馆酒店、餐饮饭店、农贸市场、商铺超市等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调研指导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的方案、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调研指导情况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问题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整改情况、现场照片，明确投放准确率具体数值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更新投放设施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更新老旧生活垃圾分类投放设施设备，配套完善便民服务的投放设施设备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制定生活垃圾分类投放收集点（站）升级改造工作相关文件；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城区居民小区投放点（站）数量；升级改造的投放点数量；遮雨功能、照明功能、洗手功能、擦手功能、其他功能数量；改造情况说明及相关证明材料；改造后典型的投放点的图片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分类收集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分类运输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分类收集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分类运输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健全生活垃圾分类收运体系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生活垃圾分类收集和分类运输体系，将分类收集、转运设施布局纳入相关规划，督导检查收集、运输车辆配置合理，收运车辆车容车貌良好，分类标识统一规范。督导检查分类收运，无混装混运，实现日产日清。确保收集转运设施运行规范，安全稳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提供相关规划或设施布局管理文件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资源规划局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8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环卫保障中心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bookmarkEnd w:id="6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运输车数量、额定吨位、运输频次、日运输能力数据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提供日转运总能力数据转运站台账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制定印发统一车辆分类标识相关文件，提供各类收运车辆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制定无混装混运相关制度、通知；提供检查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方案、通报、整改情况、现场照片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提供安全管理、应急预案等文件或图片，安全运行检查的方案、通报、整改情况、现场照片等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制定居民厨余垃圾单独收运和餐厨垃圾清运措施内容的文件，建立密闭高效运输系统的相关文件；提供厨余垃圾、其他垃圾单独收运的图片，车辆收运图片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提供采取措施说明描述、图片以及相关文件，提供厨余垃圾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、其他垃圾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运输车辆照片，提供对运输车辆检查的方案、通报、整改情况、现场照片等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完善可回收物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回收利用体系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可回收物回收利用体系，出台可回收物制度，将交投点（回收点）、中转站、分拣中心等纳入相关规划，科学合理布局收运设施，推进低值可回收物回收，建立全市可回收物管理台账，实现信息准确统计。推进大件垃圾收运管理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提供可回收物回收利用体系建设规划，以及相关用地规划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资源规划局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环卫保障中心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7" w:name="OLE_LINK9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bookmarkEnd w:id="7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提供回收网点数量、中转站数量、分拣中心数量和处理品类和对应规模描述；设施运行台账和安全生产管理规定、应急预案等文件和图片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提供大件垃圾临时堆放点数量；大件垃圾运输车辆数量；收运处理及管理的相关材料（管理规范制度文件、管理台账、收运台账、收运总结、运输车辆台账等文件）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提供低值可回收物回收和再生利用制度文件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；提供低值可回收物台账及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具体措施和工作成效说明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规范有害垃圾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管理处置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规范有害垃圾收运管理和处置，确保暂存设施建设规范、能力充足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提供建设及运行管理相关文件；暂存设施台账（台账含设施名称、详细地址、暂存能力、有害垃圾暂存种类、运营单位、负责人、联系方式、所属区域等信息）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提供转运和处理规范等相关文件。（有害垃圾收集、转移台账、转移联单）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常态化监管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方案、通报、整改情况、现场照片，以及具体措施和工作成效说明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3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分类处理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生活垃圾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无害化处理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保持生活垃圾无害化处理率100%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提供生活垃圾焚烧量与厨余垃圾处理量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restart"/>
            <w:tcBorders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环卫保障中心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0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生活垃圾回收利用和资源化利用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实现生活垃圾回收利用率生活垃圾回收利用率达到35%，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生活垃圾资源化利用率达到70%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提供可回收物量、小区内的垃圾产生量、其他垃圾产生量、厨余垃圾产生量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8" w:name="OLE_LINK6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9" w:name="OLE_LINK12"/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组织动员和宣传教育</w:t>
            </w:r>
            <w:bookmarkEnd w:id="8"/>
          </w:p>
          <w:bookmarkEnd w:id="9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组织动员和宣传教育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常态化开展生活垃圾分类主题宣传和志愿服务</w:t>
            </w:r>
            <w:r>
              <w:rPr>
                <w:rFonts w:hint="eastAsia"/>
                <w:lang w:val="en-US" w:eastAsia="zh-CN"/>
              </w:rPr>
              <w:t>活动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常态化开展全市范围宣传活动、志愿服务或公益活动，完善生活垃圾分类志愿服务体系，调动市场主体、社会力量参与生活垃圾分类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区级志愿者服务队伍名单（名称、人数、负责人、联系方式等内容）、提供志愿服务队伍日常制度文件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；制定志愿者服务方案；制定调动市场主体、社会力量参与生活垃圾分类的工作方案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教体局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提供常态化开展志愿服务或公益活动的相关材料（包括活动次数、活动情况描述、志愿服务活动台账、活动总结、图片、媒体报道文件等）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提供调动市场主体、社会力量参与的相关材料（各类协会等机构报送活动、会议或培训的相关美篇、媒体报道、工作总结、工作台账等）以及措施说明及成效描述。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加强垃圾分类培训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加强垃圾分类培训</w:t>
            </w:r>
          </w:p>
        </w:tc>
        <w:tc>
          <w:tcPr>
            <w:tcW w:w="3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常态化开展技术培训和业务指导，充分发挥相关行业协会及社会组织作用，加强行业培训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常态化开展技术培训和业务指导，充分发挥相关行业协会及社会组织作用，加强行业培训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制定垃圾分类技术培训和业务指导制度文件或培训方案；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制定相关行业协会及社会组织作用制度文件或培训方案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5月底</w:t>
            </w:r>
          </w:p>
        </w:tc>
        <w:tc>
          <w:tcPr>
            <w:tcW w:w="26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0" w:name="OLE_LINK11"/>
            <w:bookmarkStart w:id="11" w:name="OLE_LINK1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bookmarkEnd w:id="1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区直各单位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  <w:bookmarkEnd w:id="11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区直各单位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常态化开展技术培训和业务指导的相关材料（活动或会议通知、方案、总结活动或会议图片等）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26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发挥相关行业协会及社会组织作用的相关材料（报送活动、会议或培训的相关美篇、媒体报道、工作总结、工作台账、活动或会议通知、方案、总结活动或会议图片等）</w:t>
            </w: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城管执法局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区直各单位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</w:pPr>
    </w:p>
    <w:p/>
    <w:sectPr>
      <w:headerReference r:id="rId3" w:type="default"/>
      <w:footerReference r:id="rId4" w:type="default"/>
      <w:pgSz w:w="16838" w:h="11906" w:orient="landscape"/>
      <w:pgMar w:top="1701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9B4"/>
    <w:rsid w:val="04D273A4"/>
    <w:rsid w:val="08101B10"/>
    <w:rsid w:val="0C121E8A"/>
    <w:rsid w:val="17096C96"/>
    <w:rsid w:val="21B5496E"/>
    <w:rsid w:val="28816EA0"/>
    <w:rsid w:val="4E037920"/>
    <w:rsid w:val="50127FCA"/>
    <w:rsid w:val="652D6B19"/>
    <w:rsid w:val="6C8D5649"/>
    <w:rsid w:val="7CD12380"/>
    <w:rsid w:val="7CE263EF"/>
    <w:rsid w:val="7DE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3845</Words>
  <Characters>3863</Characters>
  <Lines>0</Lines>
  <Paragraphs>0</Paragraphs>
  <TotalTime>13</TotalTime>
  <ScaleCrop>false</ScaleCrop>
  <LinksUpToDate>false</LinksUpToDate>
  <CharactersWithSpaces>3864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2025-05-13T00:08:00Z</dcterms:created>
  <dc:creator>Administrator</dc:creator>
  <cp:lastModifiedBy>付文亮</cp:lastModifiedBy>
  <dcterms:modified xsi:type="dcterms:W3CDTF">2025-05-20T07:54:04Z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FDEB42AF0CCE4ACABE2230037335E83F</vt:lpwstr>
  </property>
  <property fmtid="{D5CDD505-2E9C-101B-9397-08002B2CF9AE}" pid="4" name="KSOTemplateDocerSaveRecord">
    <vt:lpwstr>eyJoZGlkIjoiY2E5Y2VlMDhlYmRjZGFjZGZkNjY5ZjFkMTBjYmMwMWEiLCJ1c2VySWQiOiI0MTk2Mzg0NjIifQ==</vt:lpwstr>
  </property>
</Properties>
</file>